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3" w:lineRule="exact"/>
        <w:rPr>
          <w:sz w:val="24"/>
          <w:szCs w:val="24"/>
          <w:color w:val="auto"/>
        </w:rPr>
      </w:pPr>
    </w:p>
    <w:p>
      <w:pPr>
        <w:ind w:left="3420" w:right="1600" w:hanging="3412"/>
        <w:spacing w:after="0" w:line="325" w:lineRule="auto"/>
        <w:tabs>
          <w:tab w:leader="none" w:pos="40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80"/>
        <w:spacing w:after="0"/>
        <w:tabs>
          <w:tab w:leader="none" w:pos="678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860" w:type="dxa"/>
        <w:tblCellMar>
          <w:top w:w="0" w:type="dxa"/>
          <w:left w:w="0" w:type="dxa"/>
          <w:bottom w:w="0" w:type="dxa"/>
          <w:right w:w="0" w:type="dxa"/>
        </w:tblCellMar>
      </w:tblPr>
      <w:tr>
        <w:trPr>
          <w:trHeight w:val="209"/>
        </w:trPr>
        <w:tc>
          <w:tcPr>
            <w:tcW w:w="3960" w:type="dxa"/>
            <w:vAlign w:val="bottom"/>
          </w:tcPr>
          <w:p>
            <w:pPr>
              <w:jc w:val="center"/>
              <w:ind w:right="1965"/>
              <w:spacing w:after="0"/>
              <w:rPr>
                <w:sz w:val="20"/>
                <w:szCs w:val="20"/>
                <w:color w:val="auto"/>
              </w:rPr>
            </w:pPr>
            <w:r>
              <w:rPr>
                <w:rFonts w:ascii="Arial" w:cs="Arial" w:eastAsia="Arial" w:hAnsi="Arial"/>
                <w:sz w:val="18"/>
                <w:szCs w:val="18"/>
                <w:b w:val="1"/>
                <w:bCs w:val="1"/>
                <w:color w:val="auto"/>
              </w:rPr>
              <w:t>Delaware</w:t>
            </w:r>
          </w:p>
        </w:tc>
        <w:tc>
          <w:tcPr>
            <w:tcW w:w="3180" w:type="dxa"/>
            <w:vAlign w:val="bottom"/>
          </w:tcPr>
          <w:p>
            <w:pPr>
              <w:jc w:val="center"/>
              <w:ind w:left="1985"/>
              <w:spacing w:after="0"/>
              <w:rPr>
                <w:sz w:val="20"/>
                <w:szCs w:val="20"/>
                <w:color w:val="auto"/>
              </w:rPr>
            </w:pPr>
            <w:r>
              <w:rPr>
                <w:rFonts w:ascii="Arial" w:cs="Arial" w:eastAsia="Arial" w:hAnsi="Arial"/>
                <w:sz w:val="18"/>
                <w:szCs w:val="18"/>
                <w:b w:val="1"/>
                <w:bCs w:val="1"/>
                <w:color w:val="auto"/>
                <w:w w:val="99"/>
              </w:rPr>
              <w:t>33-0174996</w:t>
            </w:r>
          </w:p>
        </w:tc>
      </w:tr>
      <w:tr>
        <w:trPr>
          <w:trHeight w:val="148"/>
        </w:trPr>
        <w:tc>
          <w:tcPr>
            <w:tcW w:w="3960" w:type="dxa"/>
            <w:vAlign w:val="bottom"/>
          </w:tcPr>
          <w:p>
            <w:pPr>
              <w:jc w:val="center"/>
              <w:ind w:right="1985"/>
              <w:spacing w:after="0"/>
              <w:rPr>
                <w:sz w:val="20"/>
                <w:szCs w:val="20"/>
                <w:color w:val="auto"/>
              </w:rPr>
            </w:pPr>
            <w:r>
              <w:rPr>
                <w:rFonts w:ascii="Arial" w:cs="Arial" w:eastAsia="Arial" w:hAnsi="Arial"/>
                <w:sz w:val="13"/>
                <w:szCs w:val="13"/>
                <w:b w:val="1"/>
                <w:bCs w:val="1"/>
                <w:color w:val="auto"/>
              </w:rPr>
              <w:t>(State or other jurisdiction of</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(I.R.S. Employer</w:t>
            </w:r>
          </w:p>
        </w:tc>
      </w:tr>
      <w:tr>
        <w:trPr>
          <w:trHeight w:val="190"/>
        </w:trPr>
        <w:tc>
          <w:tcPr>
            <w:tcW w:w="3960" w:type="dxa"/>
            <w:vAlign w:val="bottom"/>
          </w:tcPr>
          <w:p>
            <w:pPr>
              <w:jc w:val="center"/>
              <w:ind w:right="1965"/>
              <w:spacing w:after="0"/>
              <w:rPr>
                <w:sz w:val="20"/>
                <w:szCs w:val="20"/>
                <w:color w:val="auto"/>
              </w:rPr>
            </w:pPr>
            <w:r>
              <w:rPr>
                <w:rFonts w:ascii="Arial" w:cs="Arial" w:eastAsia="Arial" w:hAnsi="Arial"/>
                <w:sz w:val="13"/>
                <w:szCs w:val="13"/>
                <w:b w:val="1"/>
                <w:bCs w:val="1"/>
                <w:color w:val="auto"/>
              </w:rPr>
              <w:t>incorporation or organization)</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Identification No.)</w:t>
            </w: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(Trading Symbol)</w:t>
            </w: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08"/>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1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spacing w:after="0" w:line="6" w:lineRule="exact"/>
        <w:rPr>
          <w:sz w:val="24"/>
          <w:szCs w:val="24"/>
          <w:color w:val="auto"/>
        </w:rPr>
      </w:pPr>
    </w:p>
    <w:p>
      <w:pPr>
        <w:ind w:right="260" w:firstLine="510"/>
        <w:spacing w:after="0" w:line="24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59" w:lineRule="exact"/>
        <w:rPr>
          <w:sz w:val="24"/>
          <w:szCs w:val="24"/>
          <w:color w:val="auto"/>
        </w:rPr>
      </w:pPr>
    </w:p>
    <w:p>
      <w:pPr>
        <w:jc w:val="both"/>
        <w:ind w:right="660" w:firstLine="51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 w:lineRule="exact"/>
        <w:rPr>
          <w:sz w:val="24"/>
          <w:szCs w:val="24"/>
          <w:color w:val="auto"/>
        </w:rPr>
      </w:pPr>
    </w:p>
    <w:p>
      <w:pPr>
        <w:ind w:right="440" w:firstLine="51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0" w:right="339" w:bottom="1440" w:gutter="0" w:footer="0" w:header="0"/>
        </w:sectPr>
      </w:pPr>
    </w:p>
    <w:p>
      <w:pPr>
        <w:spacing w:after="0" w:line="5"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p>
    <w:p>
      <w:pPr>
        <w:spacing w:after="0" w:line="90"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128"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Emerging growth company</w:t>
      </w:r>
    </w:p>
    <w:p>
      <w:pPr>
        <w:spacing w:after="0" w:line="77" w:lineRule="exact"/>
        <w:rPr>
          <w:sz w:val="24"/>
          <w:szCs w:val="24"/>
          <w:color w:val="auto"/>
        </w:rPr>
      </w:pPr>
    </w:p>
    <w:p>
      <w:pPr>
        <w:ind w:right="280" w:firstLine="51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7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October 23, 2020 was 67,532,889.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960" w:space="60"/>
            <w:col w:w="220"/>
          </w:cols>
          <w:pgMar w:left="320" w:top="3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34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34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Income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Equity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3.</w:t>
              </w:r>
            </w:hyperlink>
          </w:p>
        </w:tc>
        <w:tc>
          <w:tcPr>
            <w:tcW w:w="9760" w:type="dxa"/>
            <w:vAlign w:val="bottom"/>
          </w:tcPr>
          <w:p>
            <w:pPr>
              <w:ind w:left="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4"/>
        </w:trPr>
        <w:tc>
          <w:tcPr>
            <w:tcW w:w="5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4.</w:t>
              </w:r>
            </w:hyperlink>
          </w:p>
        </w:tc>
        <w:tc>
          <w:tcPr>
            <w:tcW w:w="9760" w:type="dxa"/>
            <w:vAlign w:val="bottom"/>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8"/>
        </w:trPr>
        <w:tc>
          <w:tcPr>
            <w:tcW w:w="10340" w:type="dxa"/>
            <w:vAlign w:val="bottom"/>
            <w:gridSpan w:val="2"/>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 OTHER INFORMATION</w:t>
              </w:r>
            </w:hyperlink>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w:t>
              </w:r>
            </w:hyperlink>
          </w:p>
        </w:tc>
        <w:tc>
          <w:tcPr>
            <w:tcW w:w="9760" w:type="dxa"/>
            <w:vAlign w:val="bottom"/>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1A. 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6.</w:t>
              </w:r>
            </w:hyperlink>
          </w:p>
        </w:tc>
        <w:tc>
          <w:tcPr>
            <w:tcW w:w="9760" w:type="dxa"/>
            <w:vAlign w:val="bottom"/>
          </w:tcPr>
          <w:p>
            <w:pPr>
              <w:ind w:left="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6"/>
        </w:trPr>
        <w:tc>
          <w:tcPr>
            <w:tcW w:w="10340" w:type="dxa"/>
            <w:vAlign w:val="bottom"/>
            <w:gridSpan w:val="2"/>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9760" w:type="dxa"/>
            <w:vAlign w:val="bottom"/>
          </w:tcPr>
          <w:p>
            <w:pPr>
              <w:ind w:left="50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97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 of</w:t>
            </w:r>
          </w:p>
        </w:tc>
      </w:tr>
      <w:tr>
        <w:trPr>
          <w:trHeight w:val="177"/>
        </w:trPr>
        <w:tc>
          <w:tcPr>
            <w:tcW w:w="5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2020</w:t>
            </w:r>
          </w:p>
        </w:tc>
        <w:tc>
          <w:tcPr>
            <w:tcW w:w="36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2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350,433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249,581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330,698</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332,927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116,281</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1,041,119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1,045,704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2,848,640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2,586,735</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339,770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308,441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121,765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121,197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840,072</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807,352</w:t>
            </w:r>
          </w:p>
        </w:tc>
        <w:tc>
          <w:tcPr>
            <w:tcW w:w="100" w:type="dxa"/>
            <w:vAlign w:val="bottom"/>
            <w:shd w:val="clear" w:color="auto" w:fill="CFF0FC"/>
          </w:tcPr>
          <w:p>
            <w:pPr>
              <w:spacing w:after="0"/>
              <w:rPr>
                <w:sz w:val="18"/>
                <w:szCs w:val="18"/>
                <w:color w:val="auto"/>
              </w:rPr>
            </w:pPr>
          </w:p>
        </w:tc>
      </w:tr>
      <w:tr>
        <w:trPr>
          <w:trHeight w:val="249"/>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5,203,396</w:t>
            </w: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4,883,868</w:t>
            </w:r>
          </w:p>
        </w:tc>
        <w:tc>
          <w:tcPr>
            <w:tcW w:w="100" w:type="dxa"/>
            <w:vAlign w:val="bottom"/>
            <w:tcBorders>
              <w:bottom w:val="single" w:sz="8" w:color="CFF0FC"/>
            </w:tcBorders>
          </w:tcPr>
          <w:p>
            <w:pPr>
              <w:spacing w:after="0"/>
              <w:rPr>
                <w:sz w:val="21"/>
                <w:szCs w:val="21"/>
                <w:color w:val="auto"/>
              </w:rPr>
            </w:pPr>
          </w:p>
        </w:tc>
      </w:tr>
      <w:tr>
        <w:trPr>
          <w:trHeight w:val="197"/>
        </w:trPr>
        <w:tc>
          <w:tcPr>
            <w:tcW w:w="5920" w:type="dxa"/>
            <w:vAlign w:val="bottom"/>
            <w:shd w:val="clear" w:color="auto" w:fill="CFF0FC"/>
          </w:tcPr>
          <w:p>
            <w:pPr>
              <w:ind w:left="24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169,264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183,601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423,018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391,190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32,301</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100" w:type="dxa"/>
            <w:vAlign w:val="bottom"/>
            <w:shd w:val="clear" w:color="auto" w:fill="CFF0FC"/>
          </w:tcPr>
          <w:p>
            <w:pPr>
              <w:spacing w:after="0"/>
              <w:rPr>
                <w:sz w:val="18"/>
                <w:szCs w:val="18"/>
                <w:color w:val="auto"/>
              </w:rPr>
            </w:pPr>
          </w:p>
        </w:tc>
      </w:tr>
      <w:tr>
        <w:trPr>
          <w:trHeight w:val="209"/>
        </w:trPr>
        <w:tc>
          <w:tcPr>
            <w:tcW w:w="59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624,583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604,579</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Senior notes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1,681,773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1,285,497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132,904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536,166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313,085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286,550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143,360</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120,934</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2,895,705</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2,833,726</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Equity:</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2,047,525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1,788,456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234,947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245,373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(2,433)</w:t>
            </w: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(6,048)</w:t>
            </w: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2,280,046</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2,027,787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27,645</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2,307,691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2,050,142</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5,203,396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255,980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306,830</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506,614</w:t>
            </w:r>
          </w:p>
        </w:tc>
        <w:tc>
          <w:tcPr>
            <w:tcW w:w="140" w:type="dxa"/>
            <w:vAlign w:val="bottom"/>
          </w:tcPr>
          <w:p>
            <w:pPr>
              <w:spacing w:after="0"/>
              <w:rPr>
                <w:sz w:val="18"/>
                <w:szCs w:val="18"/>
                <w:color w:val="auto"/>
              </w:rPr>
            </w:pPr>
          </w:p>
        </w:tc>
        <w:tc>
          <w:tcPr>
            <w:tcW w:w="66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570,445</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4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578,152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558,848</w:t>
            </w:r>
          </w:p>
        </w:tc>
        <w:tc>
          <w:tcPr>
            <w:tcW w:w="100" w:type="dxa"/>
            <w:vAlign w:val="bottom"/>
            <w:shd w:val="clear" w:color="auto" w:fill="CFF0FC"/>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1,129,293</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191,890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379,782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420,015</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374,543</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125,451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252,523</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67,788</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4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Borders>
              <w:bottom w:val="single" w:sz="8" w:color="CFF0FC"/>
            </w:tcBorders>
          </w:tcPr>
          <w:p>
            <w:pPr>
              <w:spacing w:after="0"/>
              <w:rPr>
                <w:sz w:val="18"/>
                <w:szCs w:val="18"/>
                <w:color w:val="auto"/>
              </w:rPr>
            </w:pPr>
          </w:p>
        </w:tc>
      </w:tr>
      <w:tr>
        <w:trPr>
          <w:trHeight w:val="20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(9,790)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(9,540)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(19,314)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(20,714)</w:t>
            </w:r>
          </w:p>
        </w:tc>
      </w:tr>
      <w:tr>
        <w:trPr>
          <w:trHeight w:val="209"/>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8"/>
                <w:szCs w:val="18"/>
                <w:color w:val="auto"/>
              </w:rPr>
            </w:pPr>
          </w:p>
        </w:tc>
      </w:tr>
      <w:tr>
        <w:trPr>
          <w:trHeight w:val="193"/>
        </w:trPr>
        <w:tc>
          <w:tcPr>
            <w:tcW w:w="426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Equity in (loss) income of unconsolidated</w:t>
            </w: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affiliate, net</w:t>
            </w: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FF0FC"/>
          </w:tcPr>
          <w:p>
            <w:pPr>
              <w:spacing w:after="0"/>
              <w:rPr>
                <w:sz w:val="19"/>
                <w:szCs w:val="19"/>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r>
      <w:tr>
        <w:trPr>
          <w:trHeight w:val="193"/>
        </w:trPr>
        <w:tc>
          <w:tcPr>
            <w:tcW w:w="426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Less: net income attributable to</w:t>
            </w: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noncontrolling interest, net of tax</w:t>
            </w:r>
          </w:p>
        </w:tc>
        <w:tc>
          <w:tcPr>
            <w:tcW w:w="4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FF0FC"/>
          </w:tcPr>
          <w:p>
            <w:pPr>
              <w:spacing w:after="0"/>
              <w:rPr>
                <w:sz w:val="19"/>
                <w:szCs w:val="19"/>
                <w:color w:val="auto"/>
              </w:rPr>
            </w:pPr>
          </w:p>
        </w:tc>
      </w:tr>
      <w:tr>
        <w:trPr>
          <w:trHeight w:val="24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Viasat, Inc.</w:t>
            </w:r>
          </w:p>
        </w:tc>
        <w:tc>
          <w:tcPr>
            <w:tcW w:w="4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100" w:type="dxa"/>
            <w:vAlign w:val="bottom"/>
            <w:tcBorders>
              <w:bottom w:val="single" w:sz="8" w:color="CFF0FC"/>
            </w:tcBorders>
          </w:tcPr>
          <w:p>
            <w:pPr>
              <w:spacing w:after="0"/>
              <w:rPr>
                <w:sz w:val="21"/>
                <w:szCs w:val="21"/>
                <w:color w:val="auto"/>
              </w:rPr>
            </w:pPr>
          </w:p>
        </w:tc>
      </w:tr>
      <w:tr>
        <w:trPr>
          <w:trHeight w:val="174"/>
        </w:trPr>
        <w:tc>
          <w:tcPr>
            <w:tcW w:w="426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Basic net income (loss) per share attributable</w:t>
            </w: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5"/>
        </w:trPr>
        <w:tc>
          <w:tcPr>
            <w:tcW w:w="4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Viasat, Inc. common stockholders</w:t>
            </w:r>
          </w:p>
        </w:tc>
        <w:tc>
          <w:tcPr>
            <w:tcW w:w="84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(0.16)</w:t>
            </w:r>
          </w:p>
        </w:tc>
        <w:tc>
          <w:tcPr>
            <w:tcW w:w="660" w:type="dxa"/>
            <w:vAlign w:val="bottom"/>
            <w:gridSpan w:val="2"/>
            <w:shd w:val="clear" w:color="auto" w:fill="CFF0FC"/>
          </w:tcPr>
          <w:p>
            <w:pPr>
              <w:jc w:val="right"/>
              <w:ind w:right="39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r>
      <w:tr>
        <w:trPr>
          <w:trHeight w:val="193"/>
        </w:trPr>
        <w:tc>
          <w:tcPr>
            <w:tcW w:w="4260" w:type="dxa"/>
            <w:vAlign w:val="bottom"/>
          </w:tcPr>
          <w:p>
            <w:pPr>
              <w:spacing w:after="0" w:line="193" w:lineRule="exact"/>
              <w:rPr>
                <w:sz w:val="20"/>
                <w:szCs w:val="20"/>
                <w:color w:val="auto"/>
              </w:rPr>
            </w:pPr>
            <w:r>
              <w:rPr>
                <w:rFonts w:ascii="Arial" w:cs="Arial" w:eastAsia="Arial" w:hAnsi="Arial"/>
                <w:sz w:val="18"/>
                <w:szCs w:val="18"/>
                <w:color w:val="auto"/>
              </w:rPr>
              <w:t>Diluted net income (loss) per share attributable</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260" w:type="dxa"/>
            <w:vAlign w:val="bottom"/>
          </w:tcPr>
          <w:p>
            <w:pPr>
              <w:ind w:left="160"/>
              <w:spacing w:after="0"/>
              <w:rPr>
                <w:sz w:val="20"/>
                <w:szCs w:val="20"/>
                <w:color w:val="auto"/>
              </w:rPr>
            </w:pPr>
            <w:r>
              <w:rPr>
                <w:rFonts w:ascii="Arial" w:cs="Arial" w:eastAsia="Arial" w:hAnsi="Arial"/>
                <w:sz w:val="18"/>
                <w:szCs w:val="18"/>
                <w:color w:val="auto"/>
              </w:rPr>
              <w:t>to Viasat, Inc. common stockholders</w:t>
            </w:r>
          </w:p>
        </w:tc>
        <w:tc>
          <w:tcPr>
            <w:tcW w:w="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66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r>
        <w:trPr>
          <w:trHeight w:val="193"/>
        </w:trPr>
        <w:tc>
          <w:tcPr>
            <w:tcW w:w="426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Shares used in computing basic net income</w:t>
            </w: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(loss) per share</w:t>
            </w: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shd w:val="clear" w:color="auto" w:fill="CFF0FC"/>
          </w:tcPr>
          <w:p>
            <w:pPr>
              <w:spacing w:after="0"/>
              <w:rPr>
                <w:sz w:val="19"/>
                <w:szCs w:val="19"/>
                <w:color w:val="auto"/>
              </w:rPr>
            </w:pPr>
          </w:p>
        </w:tc>
      </w:tr>
      <w:tr>
        <w:trPr>
          <w:trHeight w:val="193"/>
        </w:trPr>
        <w:tc>
          <w:tcPr>
            <w:tcW w:w="4260" w:type="dxa"/>
            <w:vAlign w:val="bottom"/>
          </w:tcPr>
          <w:p>
            <w:pPr>
              <w:spacing w:after="0" w:line="193" w:lineRule="exact"/>
              <w:rPr>
                <w:sz w:val="20"/>
                <w:szCs w:val="20"/>
                <w:color w:val="auto"/>
              </w:rPr>
            </w:pPr>
            <w:r>
              <w:rPr>
                <w:rFonts w:ascii="Arial" w:cs="Arial" w:eastAsia="Arial" w:hAnsi="Arial"/>
                <w:sz w:val="18"/>
                <w:szCs w:val="18"/>
                <w:color w:val="auto"/>
              </w:rPr>
              <w:t>Shares used in computing diluted net income</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260" w:type="dxa"/>
            <w:vAlign w:val="bottom"/>
          </w:tcPr>
          <w:p>
            <w:pPr>
              <w:ind w:left="160"/>
              <w:spacing w:after="0"/>
              <w:rPr>
                <w:sz w:val="20"/>
                <w:szCs w:val="20"/>
                <w:color w:val="auto"/>
              </w:rPr>
            </w:pPr>
            <w:r>
              <w:rPr>
                <w:rFonts w:ascii="Arial" w:cs="Arial" w:eastAsia="Arial" w:hAnsi="Arial"/>
                <w:sz w:val="18"/>
                <w:szCs w:val="18"/>
                <w:color w:val="auto"/>
              </w:rPr>
              <w:t>(loss) per share</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62,761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19"/>
                <w:szCs w:val="19"/>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3,391</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8,062</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(5,136)</w:t>
            </w:r>
          </w:p>
        </w:tc>
        <w:tc>
          <w:tcPr>
            <w:tcW w:w="66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260"/>
              <w:spacing w:after="0"/>
              <w:rPr>
                <w:sz w:val="20"/>
                <w:szCs w:val="20"/>
                <w:color w:val="auto"/>
              </w:rPr>
            </w:pPr>
            <w:r>
              <w:rPr>
                <w:rFonts w:ascii="Arial" w:cs="Arial" w:eastAsia="Arial" w:hAnsi="Arial"/>
                <w:sz w:val="18"/>
                <w:szCs w:val="18"/>
                <w:color w:val="auto"/>
              </w:rPr>
              <w:t>Unrealized gain on hedging, net of tax</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193"/>
        </w:trPr>
        <w:tc>
          <w:tcPr>
            <w:tcW w:w="426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Foreign currency translation adjustments, net</w:t>
            </w: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2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of tax</w:t>
            </w: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(3,720)</w:t>
            </w:r>
          </w:p>
        </w:tc>
      </w:tr>
      <w:tr>
        <w:trPr>
          <w:trHeight w:val="20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FF0FC"/>
            </w:tcBorders>
          </w:tcPr>
          <w:p>
            <w:pPr>
              <w:spacing w:after="0"/>
              <w:rPr>
                <w:sz w:val="18"/>
                <w:szCs w:val="18"/>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FF0FC"/>
          </w:tcPr>
          <w:p>
            <w:pPr>
              <w:spacing w:after="0"/>
              <w:rPr>
                <w:sz w:val="18"/>
                <w:szCs w:val="18"/>
                <w:color w:val="auto"/>
              </w:rPr>
            </w:pPr>
          </w:p>
        </w:tc>
      </w:tr>
      <w:tr>
        <w:trPr>
          <w:trHeight w:val="193"/>
        </w:trPr>
        <w:tc>
          <w:tcPr>
            <w:tcW w:w="4260" w:type="dxa"/>
            <w:vAlign w:val="bottom"/>
          </w:tcPr>
          <w:p>
            <w:pPr>
              <w:spacing w:after="0" w:line="193" w:lineRule="exact"/>
              <w:rPr>
                <w:sz w:val="20"/>
                <w:szCs w:val="20"/>
                <w:color w:val="auto"/>
              </w:rPr>
            </w:pPr>
            <w:r>
              <w:rPr>
                <w:rFonts w:ascii="Arial" w:cs="Arial" w:eastAsia="Arial" w:hAnsi="Arial"/>
                <w:sz w:val="18"/>
                <w:szCs w:val="18"/>
                <w:color w:val="auto"/>
              </w:rPr>
              <w:t>Less: comprehensive income attributable</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26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 noncontrolling interest, net of tax</w:t>
            </w:r>
          </w:p>
        </w:tc>
        <w:tc>
          <w:tcPr>
            <w:tcW w:w="4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FF0FC"/>
            </w:tcBorders>
          </w:tcPr>
          <w:p>
            <w:pPr>
              <w:spacing w:after="0"/>
              <w:rPr>
                <w:sz w:val="19"/>
                <w:szCs w:val="19"/>
                <w:color w:val="auto"/>
              </w:rPr>
            </w:pPr>
          </w:p>
        </w:tc>
      </w:tr>
      <w:tr>
        <w:trPr>
          <w:trHeight w:val="187"/>
        </w:trPr>
        <w:tc>
          <w:tcPr>
            <w:tcW w:w="426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Comprehensive income (loss) attributable to</w:t>
            </w:r>
          </w:p>
        </w:tc>
        <w:tc>
          <w:tcPr>
            <w:tcW w:w="4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Viasat, Inc.</w:t>
            </w:r>
          </w:p>
        </w:tc>
        <w:tc>
          <w:tcPr>
            <w:tcW w:w="84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(6,811)</w:t>
            </w:r>
          </w:p>
        </w:tc>
        <w:tc>
          <w:tcPr>
            <w:tcW w:w="660" w:type="dxa"/>
            <w:vAlign w:val="bottom"/>
            <w:gridSpan w:val="2"/>
            <w:shd w:val="clear" w:color="auto" w:fill="CFF0FC"/>
          </w:tcPr>
          <w:p>
            <w:pPr>
              <w:jc w:val="right"/>
              <w:ind w:right="39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(11,946)</w:t>
            </w: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4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7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4"/>
                <w:szCs w:val="14"/>
                <w:color w:val="auto"/>
              </w:rPr>
            </w:pPr>
          </w:p>
        </w:tc>
      </w:tr>
      <w:tr>
        <w:trPr>
          <w:trHeight w:val="169"/>
        </w:trPr>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4"/>
          </w:tcPr>
          <w:p>
            <w:pPr>
              <w:jc w:val="right"/>
              <w:ind w:right="141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(5,136)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(1,675)</w:t>
            </w:r>
          </w:p>
        </w:tc>
      </w:tr>
      <w:tr>
        <w:trPr>
          <w:trHeight w:val="191"/>
        </w:trPr>
        <w:tc>
          <w:tcPr>
            <w:tcW w:w="714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Adjustments to reconcile net loss to net cash provided by</w:t>
            </w: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7"/>
        </w:trPr>
        <w:tc>
          <w:tcPr>
            <w:tcW w:w="71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157,939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135,144</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31,206</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43,328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42,328</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disposition of fixed assets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23,566</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non-cash adjustments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(2,354)</w:t>
            </w: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(4,023)</w:t>
            </w:r>
          </w:p>
        </w:tc>
      </w:tr>
      <w:tr>
        <w:trPr>
          <w:trHeight w:val="193"/>
        </w:trPr>
        <w:tc>
          <w:tcPr>
            <w:tcW w:w="714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Increase (decrease) in cash resulting from changes in operating</w:t>
            </w: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1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assets and liabilities:</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73,856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(38,034)</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(34,091)</w:t>
            </w: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19,513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(6,403)</w:t>
            </w: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(14,481)</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52,510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(2,292)</w:t>
            </w: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(2,972)</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(6,943)</w:t>
            </w:r>
          </w:p>
        </w:tc>
      </w:tr>
      <w:tr>
        <w:trPr>
          <w:trHeight w:val="210"/>
        </w:trPr>
        <w:tc>
          <w:tcPr>
            <w:tcW w:w="714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333,522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183,292</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Purchase of property, equipment and satellites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(426,298)</w:t>
            </w: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(329,558)</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patents, licenses and other assets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(33,586)</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(35,445)</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insurance claims on ViaSat-2 satellite</w:t>
            </w:r>
          </w:p>
        </w:tc>
        <w:tc>
          <w:tcPr>
            <w:tcW w:w="16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8"/>
                <w:szCs w:val="18"/>
                <w:color w:val="auto"/>
              </w:rPr>
            </w:pPr>
          </w:p>
        </w:tc>
      </w:tr>
      <w:tr>
        <w:trPr>
          <w:trHeight w:val="210"/>
        </w:trPr>
        <w:tc>
          <w:tcPr>
            <w:tcW w:w="7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(459,884)</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(362,726)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borrowings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Payments of debt borrowings</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(402,940)</w:t>
            </w:r>
          </w:p>
        </w:tc>
        <w:tc>
          <w:tcPr>
            <w:tcW w:w="18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(14,821)</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(4,882)</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(2,479)</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9,206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27,016</w:t>
            </w:r>
          </w:p>
        </w:tc>
        <w:tc>
          <w:tcPr>
            <w:tcW w:w="120" w:type="dxa"/>
            <w:vAlign w:val="bottom"/>
          </w:tcPr>
          <w:p>
            <w:pPr>
              <w:spacing w:after="0"/>
              <w:rPr>
                <w:sz w:val="18"/>
                <w:szCs w:val="18"/>
                <w:color w:val="auto"/>
              </w:rPr>
            </w:pPr>
          </w:p>
        </w:tc>
      </w:tr>
      <w:tr>
        <w:trPr>
          <w:trHeight w:val="193"/>
        </w:trPr>
        <w:tc>
          <w:tcPr>
            <w:tcW w:w="714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Purchase of common stock in treasury (immediately retired) related</w:t>
            </w: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1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 tax withholdings for stock-based compensation</w:t>
            </w:r>
          </w:p>
        </w:tc>
        <w:tc>
          <w:tcPr>
            <w:tcW w:w="16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(3,128)</w:t>
            </w:r>
          </w:p>
        </w:tc>
      </w:tr>
      <w:tr>
        <w:trPr>
          <w:trHeight w:val="193"/>
        </w:trPr>
        <w:tc>
          <w:tcPr>
            <w:tcW w:w="7140" w:type="dxa"/>
            <w:vAlign w:val="bottom"/>
          </w:tcPr>
          <w:p>
            <w:pPr>
              <w:ind w:left="260"/>
              <w:spacing w:after="0" w:line="193" w:lineRule="exact"/>
              <w:rPr>
                <w:sz w:val="20"/>
                <w:szCs w:val="20"/>
                <w:color w:val="auto"/>
              </w:rPr>
            </w:pPr>
            <w:r>
              <w:rPr>
                <w:rFonts w:ascii="Arial" w:cs="Arial" w:eastAsia="Arial" w:hAnsi="Arial"/>
                <w:sz w:val="18"/>
                <w:szCs w:val="18"/>
                <w:color w:val="auto"/>
              </w:rPr>
              <w:t>Proceeds from common stock issued in private placement, net</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140" w:type="dxa"/>
            <w:vAlign w:val="bottom"/>
          </w:tcPr>
          <w:p>
            <w:pPr>
              <w:ind w:left="400"/>
              <w:spacing w:after="0"/>
              <w:rPr>
                <w:sz w:val="20"/>
                <w:szCs w:val="20"/>
                <w:color w:val="auto"/>
              </w:rPr>
            </w:pPr>
            <w:r>
              <w:rPr>
                <w:rFonts w:ascii="Arial" w:cs="Arial" w:eastAsia="Arial" w:hAnsi="Arial"/>
                <w:sz w:val="18"/>
                <w:szCs w:val="18"/>
                <w:color w:val="auto"/>
              </w:rPr>
              <w:t>of issuance costs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174,749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financing activities</w:t>
            </w:r>
          </w:p>
        </w:tc>
        <w:tc>
          <w:tcPr>
            <w:tcW w:w="1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(3,454)</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(1,368)</w:t>
            </w:r>
          </w:p>
        </w:tc>
      </w:tr>
      <w:tr>
        <w:trPr>
          <w:trHeight w:val="210"/>
        </w:trPr>
        <w:tc>
          <w:tcPr>
            <w:tcW w:w="714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171,932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(442)</w:t>
            </w: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46,124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(174,656)</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261,701</w:t>
            </w:r>
          </w:p>
        </w:tc>
        <w:tc>
          <w:tcPr>
            <w:tcW w:w="120" w:type="dxa"/>
            <w:vAlign w:val="bottom"/>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350,433</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87,045</w:t>
            </w:r>
          </w:p>
        </w:tc>
        <w:tc>
          <w:tcPr>
            <w:tcW w:w="12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ind w:left="58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20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0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2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Interest in</w:t>
            </w:r>
          </w:p>
        </w:tc>
        <w:tc>
          <w:tcPr>
            <w:tcW w:w="86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Issued</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Subsidiary</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September 30, 2020</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June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63,026,001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$ 1,846,827</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232,984</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(6,851)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26,217</w:t>
            </w:r>
          </w:p>
        </w:tc>
        <w:tc>
          <w:tcPr>
            <w:tcW w:w="2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$ 2,099,183</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Common stock issued in private placement, net of</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4,474,559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174,748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174,749</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26,296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26,296</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32,309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1,428</w:t>
            </w:r>
          </w:p>
        </w:tc>
        <w:tc>
          <w:tcPr>
            <w:tcW w:w="2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3,391</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4,418</w:t>
            </w: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4,418</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4"/>
                <w:szCs w:val="14"/>
                <w:color w:val="auto"/>
              </w:rPr>
              <w:t>Balance at September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67,532,869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$ 2,047,525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234,947</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(2,433)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27,645</w:t>
            </w:r>
          </w:p>
        </w:tc>
        <w:tc>
          <w:tcPr>
            <w:tcW w:w="2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$ 2,307,691</w:t>
            </w:r>
          </w:p>
        </w:tc>
        <w:tc>
          <w:tcPr>
            <w:tcW w:w="0" w:type="dxa"/>
            <w:vAlign w:val="bottom"/>
          </w:tcPr>
          <w:p>
            <w:pPr>
              <w:spacing w:after="0"/>
              <w:rPr>
                <w:sz w:val="1"/>
                <w:szCs w:val="1"/>
                <w:color w:val="auto"/>
              </w:rPr>
            </w:pPr>
          </w:p>
        </w:tc>
      </w:tr>
      <w:tr>
        <w:trPr>
          <w:trHeight w:val="156"/>
        </w:trPr>
        <w:tc>
          <w:tcPr>
            <w:tcW w:w="38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b w:val="1"/>
                <w:bCs w:val="1"/>
                <w:color w:val="auto"/>
              </w:rPr>
              <w:t>For the Three Months Ended September 30, 2019</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61,276,933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$ 1,726,009</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234,117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10,061</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$ 1,973,292</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42,606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24,076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24,076</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120"/>
              <w:spacing w:after="0"/>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rPr>
                <w:sz w:val="20"/>
                <w:szCs w:val="20"/>
                <w:color w:val="auto"/>
              </w:rPr>
            </w:pPr>
            <w:r>
              <w:rPr>
                <w:rFonts w:ascii="Arial" w:cs="Arial" w:eastAsia="Arial" w:hAnsi="Arial"/>
                <w:sz w:val="14"/>
                <w:szCs w:val="14"/>
                <w:color w:val="auto"/>
              </w:rPr>
              <w:t>33,021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4,868</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8,062</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at September 30, 2019</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61,352,560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$ 1,751,924</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237,311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14,929</w:t>
            </w: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$ 2,005,836</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20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0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2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Interest in</w:t>
            </w:r>
          </w:p>
        </w:tc>
        <w:tc>
          <w:tcPr>
            <w:tcW w:w="86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Issued</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Earnings</w:t>
            </w: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Subsidiary</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Six Months Ended September 30, 2020</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62,147,140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$ 1,788,456</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245,373</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(6,048)</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22,355</w:t>
            </w:r>
          </w:p>
        </w:tc>
        <w:tc>
          <w:tcPr>
            <w:tcW w:w="2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$ 2,050,142</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282,269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9,206</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Common stock issued in private placement, net of</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120"/>
              <w:spacing w:after="0"/>
              <w:rPr>
                <w:sz w:val="20"/>
                <w:szCs w:val="20"/>
                <w:color w:val="auto"/>
              </w:rPr>
            </w:pPr>
            <w:r>
              <w:rPr>
                <w:rFonts w:ascii="Arial" w:cs="Arial" w:eastAsia="Arial" w:hAnsi="Arial"/>
                <w:sz w:val="14"/>
                <w:szCs w:val="14"/>
                <w:color w:val="auto"/>
              </w:rPr>
              <w:t>issuance costs</w:t>
            </w:r>
          </w:p>
        </w:tc>
        <w:tc>
          <w:tcPr>
            <w:tcW w:w="840" w:type="dxa"/>
            <w:vAlign w:val="bottom"/>
          </w:tcPr>
          <w:p>
            <w:pPr>
              <w:jc w:val="right"/>
              <w:spacing w:after="0"/>
              <w:rPr>
                <w:sz w:val="20"/>
                <w:szCs w:val="20"/>
                <w:color w:val="auto"/>
              </w:rPr>
            </w:pPr>
            <w:r>
              <w:rPr>
                <w:rFonts w:ascii="Arial" w:cs="Arial" w:eastAsia="Arial" w:hAnsi="Arial"/>
                <w:sz w:val="14"/>
                <w:szCs w:val="14"/>
                <w:color w:val="auto"/>
              </w:rPr>
              <w:t>4,474,559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174,748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174,749</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50,456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50,456</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120"/>
              <w:spacing w:after="0"/>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580,846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25,406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25,406</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48,055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Net (loss)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(10,426)</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5,290</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(5,136)</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3,615</w:t>
            </w:r>
          </w:p>
        </w:tc>
        <w:tc>
          <w:tcPr>
            <w:tcW w:w="2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3,615</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Arial" w:cs="Arial" w:eastAsia="Arial" w:hAnsi="Arial"/>
                <w:sz w:val="14"/>
                <w:szCs w:val="14"/>
                <w:color w:val="auto"/>
              </w:rPr>
              <w:t>Balance at September 30, 2020</w:t>
            </w:r>
          </w:p>
        </w:tc>
        <w:tc>
          <w:tcPr>
            <w:tcW w:w="840" w:type="dxa"/>
            <w:vAlign w:val="bottom"/>
          </w:tcPr>
          <w:p>
            <w:pPr>
              <w:jc w:val="right"/>
              <w:spacing w:after="0"/>
              <w:rPr>
                <w:sz w:val="20"/>
                <w:szCs w:val="20"/>
                <w:color w:val="auto"/>
              </w:rPr>
            </w:pPr>
            <w:r>
              <w:rPr>
                <w:rFonts w:ascii="Arial" w:cs="Arial" w:eastAsia="Arial" w:hAnsi="Arial"/>
                <w:sz w:val="14"/>
                <w:szCs w:val="14"/>
                <w:color w:val="auto"/>
              </w:rPr>
              <w:t>67,532,869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$ 2,047,525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234,947</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(2,433)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27,645</w:t>
            </w:r>
          </w:p>
        </w:tc>
        <w:tc>
          <w:tcPr>
            <w:tcW w:w="2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$ 2,307,691</w:t>
            </w:r>
          </w:p>
        </w:tc>
        <w:tc>
          <w:tcPr>
            <w:tcW w:w="0" w:type="dxa"/>
            <w:vAlign w:val="bottom"/>
          </w:tcPr>
          <w:p>
            <w:pPr>
              <w:spacing w:after="0"/>
              <w:rPr>
                <w:sz w:val="1"/>
                <w:szCs w:val="1"/>
                <w:color w:val="auto"/>
              </w:rPr>
            </w:pPr>
          </w:p>
        </w:tc>
      </w:tr>
      <w:tr>
        <w:trPr>
          <w:trHeight w:val="156"/>
        </w:trPr>
        <w:tc>
          <w:tcPr>
            <w:tcW w:w="38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b w:val="1"/>
                <w:bCs w:val="1"/>
                <w:color w:val="auto"/>
              </w:rPr>
              <w:t>For the Six Months Ended September 30, 2019</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60,550,093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$ 1,656,819</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245,585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8,330</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$ 1,916,078</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301,731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18,710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18,710</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165,770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8,306</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48,388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48,388</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255,615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22,829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22,829</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120"/>
              <w:spacing w:after="0"/>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rPr>
                <w:sz w:val="20"/>
                <w:szCs w:val="20"/>
                <w:color w:val="auto"/>
              </w:rPr>
            </w:pPr>
            <w:r>
              <w:rPr>
                <w:rFonts w:ascii="Arial" w:cs="Arial" w:eastAsia="Arial" w:hAnsi="Arial"/>
                <w:sz w:val="14"/>
                <w:szCs w:val="14"/>
                <w:color w:val="auto"/>
              </w:rPr>
              <w:t>79,351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(3,128)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(3,128)</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(8,274)</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6,599</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(3,672)</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(3,672)</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at September 30, 2019</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61,352,560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$ 1,751,924</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237,311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14,929</w:t>
            </w:r>
          </w:p>
        </w:tc>
        <w:tc>
          <w:tcPr>
            <w:tcW w:w="22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$ 2,005,836</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79" w:lineRule="exact"/>
        <w:rPr>
          <w:sz w:val="20"/>
          <w:szCs w:val="20"/>
          <w:color w:val="auto"/>
        </w:rPr>
      </w:pPr>
    </w:p>
    <w:p>
      <w:pPr>
        <w:ind w:right="40" w:firstLine="510"/>
        <w:spacing w:after="0" w:line="239" w:lineRule="auto"/>
        <w:rPr>
          <w:sz w:val="20"/>
          <w:szCs w:val="20"/>
          <w:color w:val="auto"/>
        </w:rPr>
      </w:pPr>
      <w:r>
        <w:rPr>
          <w:rFonts w:ascii="Arial" w:cs="Arial" w:eastAsia="Arial" w:hAnsi="Arial"/>
          <w:sz w:val="18"/>
          <w:szCs w:val="18"/>
          <w:color w:val="auto"/>
        </w:rPr>
        <w:t>The accompanying condensed consolidated balance sheet at September 30, 2020, the condensed consolidated statements of operations and comprehensive income (loss) for the three and six months ended September 30, 2020 and 2019, the condensed consolidated statements of cash flows for the six months ended September 30, 2020 and 2019 and the condensed consolidated statements of equity for the three and six months ended September 30, 2020 and 2019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2020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2020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2" w:lineRule="exact"/>
        <w:rPr>
          <w:sz w:val="20"/>
          <w:szCs w:val="20"/>
          <w:color w:val="auto"/>
        </w:rPr>
      </w:pPr>
    </w:p>
    <w:p>
      <w:pPr>
        <w:ind w:right="80" w:firstLine="510"/>
        <w:spacing w:after="0" w:line="245"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18" w:lineRule="exact"/>
        <w:rPr>
          <w:sz w:val="20"/>
          <w:szCs w:val="20"/>
          <w:color w:val="auto"/>
        </w:rPr>
      </w:pPr>
    </w:p>
    <w:p>
      <w:pPr>
        <w:ind w:right="100" w:firstLine="510"/>
        <w:spacing w:after="0" w:line="245" w:lineRule="auto"/>
        <w:rPr>
          <w:sz w:val="20"/>
          <w:szCs w:val="20"/>
          <w:color w:val="auto"/>
        </w:rPr>
      </w:pPr>
      <w:r>
        <w:rPr>
          <w:rFonts w:ascii="Arial" w:cs="Arial" w:eastAsia="Arial" w:hAnsi="Arial"/>
          <w:sz w:val="18"/>
          <w:szCs w:val="18"/>
          <w:color w:val="auto"/>
        </w:rPr>
        <w:t>On July 23, 2020, the Company issued and sold an aggregate of 4,474,559 shares of the Company’s common stock at a purchase price of $39.11 per share to certain accredited investors in a private placement transaction exempt from registration under the Securities Act of 1933, as amended, resulting in net proceeds of approximately $174.7 million after deducting offering expenses. The Company intends to use the proceeds for general corporate purposes, which may include financing costs related to the purchase, launch and operation of satellites, potential acquisitions, joint ventures and strategic alliances, working capital or capital expenditures.</w:t>
      </w:r>
    </w:p>
    <w:p>
      <w:pPr>
        <w:spacing w:after="0" w:line="118" w:lineRule="exact"/>
        <w:rPr>
          <w:sz w:val="20"/>
          <w:szCs w:val="20"/>
          <w:color w:val="auto"/>
        </w:rPr>
      </w:pPr>
    </w:p>
    <w:p>
      <w:pPr>
        <w:ind w:firstLine="510"/>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ind w:right="20" w:firstLine="510"/>
        <w:spacing w:after="0" w:line="243" w:lineRule="auto"/>
        <w:rPr>
          <w:sz w:val="20"/>
          <w:szCs w:val="20"/>
          <w:color w:val="auto"/>
        </w:rPr>
      </w:pPr>
      <w:r>
        <w:rPr>
          <w:rFonts w:ascii="Arial" w:cs="Arial" w:eastAsia="Arial" w:hAnsi="Arial"/>
          <w:sz w:val="18"/>
          <w:szCs w:val="18"/>
          <w:color w:val="auto"/>
        </w:rPr>
        <w:t>The Company applies the five-step model under Accounting Standards Codification (ASC) 606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75" w:lineRule="exact"/>
        <w:rPr>
          <w:sz w:val="20"/>
          <w:szCs w:val="20"/>
          <w:color w:val="auto"/>
        </w:rPr>
      </w:pPr>
    </w:p>
    <w:p>
      <w:pPr>
        <w:ind w:right="20" w:firstLine="510"/>
        <w:spacing w:after="0" w:line="243"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to its customers as part of the delivery of connectivity services represents a lease in accordance with ASC 842. 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16" w:lineRule="exact"/>
        <w:rPr>
          <w:sz w:val="20"/>
          <w:szCs w:val="20"/>
          <w:color w:val="auto"/>
        </w:rPr>
      </w:pPr>
    </w:p>
    <w:p>
      <w:pPr>
        <w:ind w:right="80" w:firstLine="510"/>
        <w:spacing w:after="0" w:line="241"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2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65"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69"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concluded for fiscal years 2019 or 2020. As of September 30, 2020,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2020 and March 31, 2020, the Company had $8.3 million and $7.8 million, respectively, in contract-related reserves for its estimate of potential refunds to customers for potential cost adjustments on several multi-year U.S. Government cost reimbursable contracts (see Note 9 — Commitments and Contingencies for more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75"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72" w:lineRule="exact"/>
        <w:rPr>
          <w:sz w:val="20"/>
          <w:szCs w:val="20"/>
          <w:color w:val="auto"/>
        </w:rPr>
      </w:pPr>
    </w:p>
    <w:p>
      <w:pPr>
        <w:ind w:right="300" w:firstLine="510"/>
        <w:spacing w:after="0" w:line="243"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75" w:lineRule="exact"/>
        <w:rPr>
          <w:sz w:val="20"/>
          <w:szCs w:val="20"/>
          <w:color w:val="auto"/>
        </w:rPr>
      </w:pPr>
    </w:p>
    <w:p>
      <w:pPr>
        <w:ind w:right="60" w:firstLine="510"/>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September 30, 2020, the aggregate amount of the transaction price allocated to remaining performance obligations was $2.3 billion, of which the Company expects to recognize a little over half over the next twelve months, with the balance recognized thereafter.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75" w:lineRule="exact"/>
        <w:rPr>
          <w:sz w:val="20"/>
          <w:szCs w:val="20"/>
          <w:color w:val="auto"/>
        </w:rPr>
      </w:pPr>
    </w:p>
    <w:p>
      <w:pPr>
        <w:ind w:right="140" w:firstLine="510"/>
        <w:spacing w:after="0" w:line="24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six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September 30, 2020</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4"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09"/>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189,229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255,980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70,302</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298,298</w:t>
            </w:r>
          </w:p>
        </w:tc>
        <w:tc>
          <w:tcPr>
            <w:tcW w:w="100" w:type="dxa"/>
            <w:vAlign w:val="bottom"/>
            <w:tcBorders>
              <w:bottom w:val="single" w:sz="8" w:color="CFF0FC"/>
            </w:tcBorders>
          </w:tcPr>
          <w:p>
            <w:pPr>
              <w:spacing w:after="0"/>
              <w:rPr>
                <w:sz w:val="18"/>
                <w:szCs w:val="18"/>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215,887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78,860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259,531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554,278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Six Months Ended September 30, 2020</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4"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09"/>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384,744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506,614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417,871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24,152</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136,129</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578,152</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417,871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146,022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520,873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September 30,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4"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232,687</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306,830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65,844</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285,426</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205,717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88,008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298,531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Six Months Ended September 30,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4" w:lineRule="exact"/>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3"/>
                <w:szCs w:val="13"/>
                <w:color w:val="auto"/>
              </w:rPr>
            </w:pPr>
          </w:p>
        </w:tc>
        <w:tc>
          <w:tcPr>
            <w:tcW w:w="148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139,044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431,401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570,445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402,532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27,976</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128,340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558,848</w:t>
            </w:r>
          </w:p>
        </w:tc>
        <w:tc>
          <w:tcPr>
            <w:tcW w:w="100" w:type="dxa"/>
            <w:vAlign w:val="bottom"/>
            <w:tcBorders>
              <w:bottom w:val="single" w:sz="8" w:color="CFF0FC"/>
            </w:tcBorders>
          </w:tcPr>
          <w:p>
            <w:pPr>
              <w:spacing w:after="0"/>
              <w:rPr>
                <w:sz w:val="18"/>
                <w:szCs w:val="18"/>
                <w:color w:val="auto"/>
              </w:rPr>
            </w:pP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402,532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167,020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559,741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right="60" w:firstLine="510"/>
        <w:spacing w:after="0" w:line="243" w:lineRule="auto"/>
        <w:rPr>
          <w:sz w:val="20"/>
          <w:szCs w:val="20"/>
          <w:color w:val="auto"/>
        </w:rPr>
      </w:pPr>
      <w:r>
        <w:rPr>
          <w:rFonts w:ascii="Arial" w:cs="Arial" w:eastAsia="Arial" w:hAnsi="Arial"/>
          <w:sz w:val="18"/>
          <w:szCs w:val="18"/>
          <w:color w:val="auto"/>
        </w:rPr>
        <w:t>Revenues from the U.S. Government as an individual customer comprised approximately 32% and 31% of total revenues for the three and six months ended September 30, 2020, respectively, and approximately 30% of total revenues for both the three and six months ended September 30, 2019, mainly reported within the government systems segment. Revenues from the Company’s commercial customers, mainly reported within the commercial networks and satellite services segments, comprised approximately 68% and 69% of total revenues for the three and six months ended September 30, 2020, respectively, and approximately 70% of total revenues for both the three and six months ended September 30, 2019.</w:t>
      </w:r>
    </w:p>
    <w:p>
      <w:pPr>
        <w:spacing w:after="0" w:line="160" w:lineRule="exact"/>
        <w:rPr>
          <w:sz w:val="20"/>
          <w:szCs w:val="20"/>
          <w:color w:val="auto"/>
        </w:rPr>
      </w:pPr>
    </w:p>
    <w:p>
      <w:pPr>
        <w:ind w:right="200" w:firstLine="510"/>
        <w:spacing w:after="0" w:line="27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and in-flight services.</w:t>
      </w:r>
    </w:p>
    <w:p>
      <w:pPr>
        <w:spacing w:after="0" w:line="131" w:lineRule="exact"/>
        <w:rPr>
          <w:sz w:val="20"/>
          <w:szCs w:val="20"/>
          <w:color w:val="auto"/>
        </w:rPr>
      </w:pPr>
    </w:p>
    <w:p>
      <w:pPr>
        <w:ind w:right="300" w:firstLine="510"/>
        <w:spacing w:after="0" w:line="255"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87% and 86% of the Company’s total revenues for these segments for the three and six months ended September 30, 2020, respectively, and approximately 89% and 88% of the Company’s total revenues for these segments for the three and six months ended</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September 30, 2019,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62" w:lineRule="exact"/>
        <w:rPr>
          <w:sz w:val="20"/>
          <w:szCs w:val="20"/>
          <w:color w:val="auto"/>
        </w:rPr>
      </w:pPr>
    </w:p>
    <w:p>
      <w:pPr>
        <w:ind w:right="140" w:firstLine="510"/>
        <w:spacing w:after="0" w:line="260" w:lineRule="auto"/>
        <w:rPr>
          <w:sz w:val="20"/>
          <w:szCs w:val="20"/>
          <w:color w:val="auto"/>
        </w:rPr>
      </w:pPr>
      <w:r>
        <w:rPr>
          <w:rFonts w:ascii="Arial" w:cs="Arial" w:eastAsia="Arial" w:hAnsi="Arial"/>
          <w:sz w:val="17"/>
          <w:szCs w:val="17"/>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23% and 25% of its total revenues for the three and six months ended September 30, 2020, respectively, and approximately 22% and 23% of its total revenues for the three and six months ended September 30, 2019,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75" w:lineRule="exact"/>
        <w:rPr>
          <w:sz w:val="20"/>
          <w:szCs w:val="20"/>
          <w:color w:val="auto"/>
        </w:rPr>
      </w:pPr>
    </w:p>
    <w:p>
      <w:pPr>
        <w:ind w:right="100" w:firstLine="510"/>
        <w:spacing w:after="0" w:line="245"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5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September 30, 2020 and March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right"/>
              <w:ind w:right="899"/>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r>
      <w:tr>
        <w:trPr>
          <w:trHeight w:val="177"/>
        </w:trPr>
        <w:tc>
          <w:tcPr>
            <w:tcW w:w="5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right"/>
              <w:ind w:right="399"/>
              <w:spacing w:after="0"/>
              <w:rPr>
                <w:sz w:val="20"/>
                <w:szCs w:val="20"/>
                <w:color w:val="auto"/>
              </w:rPr>
            </w:pPr>
            <w:r>
              <w:rPr>
                <w:rFonts w:ascii="Arial" w:cs="Arial" w:eastAsia="Arial" w:hAnsi="Arial"/>
                <w:sz w:val="14"/>
                <w:szCs w:val="14"/>
                <w:b w:val="1"/>
                <w:bCs w:val="1"/>
                <w:color w:val="auto"/>
              </w:rPr>
              <w:t>September 30, 2020</w:t>
            </w:r>
          </w:p>
        </w:tc>
        <w:tc>
          <w:tcPr>
            <w:tcW w:w="5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72,135</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75,661</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59"/>
              <w:spacing w:after="0"/>
              <w:rPr>
                <w:sz w:val="20"/>
                <w:szCs w:val="20"/>
                <w:color w:val="auto"/>
              </w:rPr>
            </w:pPr>
            <w:r>
              <w:rPr>
                <w:rFonts w:ascii="Arial" w:cs="Arial" w:eastAsia="Arial" w:hAnsi="Arial"/>
                <w:sz w:val="18"/>
                <w:szCs w:val="18"/>
                <w:color w:val="auto"/>
              </w:rPr>
              <w:t>169,612</w:t>
            </w:r>
          </w:p>
        </w:tc>
        <w:tc>
          <w:tcPr>
            <w:tcW w:w="5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123,019</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84,923</w:t>
            </w:r>
          </w:p>
        </w:tc>
        <w:tc>
          <w:tcPr>
            <w:tcW w:w="5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80,802</w:t>
            </w:r>
          </w:p>
        </w:tc>
        <w:tc>
          <w:tcPr>
            <w:tcW w:w="12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ind w:right="60" w:firstLine="510"/>
        <w:spacing w:after="0" w:line="276" w:lineRule="auto"/>
        <w:rPr>
          <w:sz w:val="20"/>
          <w:szCs w:val="20"/>
          <w:color w:val="auto"/>
        </w:rPr>
      </w:pPr>
      <w:r>
        <w:rPr>
          <w:rFonts w:ascii="Arial" w:cs="Arial" w:eastAsia="Arial" w:hAnsi="Arial"/>
          <w:sz w:val="18"/>
          <w:szCs w:val="18"/>
          <w:color w:val="auto"/>
        </w:rPr>
        <w:t>Unbilled accounts receivable decreased $3.5 million during the six months ended September 30, 2020, primarily driven by an increase in billings in the Company’s government systems segment.</w:t>
      </w:r>
    </w:p>
    <w:p>
      <w:pPr>
        <w:spacing w:after="0" w:line="91" w:lineRule="exact"/>
        <w:rPr>
          <w:sz w:val="20"/>
          <w:szCs w:val="20"/>
          <w:color w:val="auto"/>
        </w:rPr>
      </w:pPr>
    </w:p>
    <w:p>
      <w:pPr>
        <w:jc w:val="both"/>
        <w:ind w:right="260" w:firstLine="510"/>
        <w:spacing w:after="0" w:line="255" w:lineRule="auto"/>
        <w:rPr>
          <w:sz w:val="20"/>
          <w:szCs w:val="20"/>
          <w:color w:val="auto"/>
        </w:rPr>
      </w:pPr>
      <w:r>
        <w:rPr>
          <w:rFonts w:ascii="Arial" w:cs="Arial" w:eastAsia="Arial" w:hAnsi="Arial"/>
          <w:sz w:val="18"/>
          <w:szCs w:val="18"/>
          <w:color w:val="auto"/>
        </w:rPr>
        <w:t>Collections in excess of revenues and deferred revenues increased $46.6 million during the six months ended September 30, 2020, primarily driven by advances on goods or services received in excess of revenue recognized in the Company’s commercial networks and government systems segments.</w:t>
      </w:r>
    </w:p>
    <w:p>
      <w:pPr>
        <w:spacing w:after="0" w:line="110" w:lineRule="exact"/>
        <w:rPr>
          <w:sz w:val="20"/>
          <w:szCs w:val="20"/>
          <w:color w:val="auto"/>
        </w:rPr>
      </w:pPr>
    </w:p>
    <w:p>
      <w:pPr>
        <w:ind w:right="420" w:firstLine="510"/>
        <w:spacing w:after="0" w:line="268" w:lineRule="auto"/>
        <w:rPr>
          <w:sz w:val="20"/>
          <w:szCs w:val="20"/>
          <w:color w:val="auto"/>
        </w:rPr>
      </w:pPr>
      <w:r>
        <w:rPr>
          <w:rFonts w:ascii="Arial" w:cs="Arial" w:eastAsia="Arial" w:hAnsi="Arial"/>
          <w:sz w:val="17"/>
          <w:szCs w:val="17"/>
          <w:color w:val="auto"/>
        </w:rPr>
        <w:t>During the three and six months ended September 30, 2020, the Company recognized revenue of $17.0 million and $74.6 million, respectively, that was previously included in the Company’s collections in excess of revenues and deferred revenues at March 31, 2020. During the three and six months ended September 30, 2019, the Company recognized revenue of $18.6 million and $71.2 million, respectively, that was previously included in the Company’s collections in excess of revenues and deferred revenues at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3" w:lineRule="exact"/>
        <w:rPr>
          <w:sz w:val="20"/>
          <w:szCs w:val="20"/>
          <w:color w:val="auto"/>
        </w:rPr>
      </w:pPr>
    </w:p>
    <w:p>
      <w:pPr>
        <w:ind w:right="360" w:firstLine="510"/>
        <w:spacing w:after="0" w:line="248"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123"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10" w:lineRule="exact"/>
        <w:rPr>
          <w:sz w:val="20"/>
          <w:szCs w:val="20"/>
          <w:color w:val="auto"/>
        </w:rPr>
      </w:pPr>
    </w:p>
    <w:p>
      <w:pPr>
        <w:ind w:right="20" w:firstLine="510"/>
        <w:spacing w:after="0" w:line="24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$20.0 million and $35.9 million of interest expense for the three and six months ended September 30, 2020, respectively, and $13.0 million and $24.3 million for the three and six months ended September 30, 2019, respectively.</w:t>
      </w:r>
    </w:p>
    <w:p>
      <w:pPr>
        <w:spacing w:after="0" w:line="116"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The Company owns three satellites in service (ViaSat-2, ViaSat-1 and WildBlue-1) and has lifetime leases of Ka-band capacity on two satellites. The Company also has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September 30, 2020 were $408.7 million and $179.1 million, respectively. The total cost and accumulated depreciation of CPE units included in property, equipment and satellites, net, as of March 31, 2020 were $399.3 million and $165.7 million, respectively.</w:t>
      </w:r>
    </w:p>
    <w:p>
      <w:pPr>
        <w:spacing w:after="0" w:line="12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corrective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fiscal years 2019 and 2020, the Company received an aggregate of $188.0 million of insurance proceeds related to the ViaSat-2 satellite. The ViaSat-2 satellite was primarily financed by the Company’s direct loan facility with the Export-Import Bank of the United States for ViaSat-2 (the Ex-Im Credit Facility) (see Note 7</w:t>
      </w:r>
    </w:p>
    <w:p>
      <w:pPr>
        <w:spacing w:after="0" w:line="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 Senior Notes and Other Long-Term Debt for more information). Pursuant to the terms of the Ex-Im Credit Facility, the proceeds received from the insurance claims for ViaSat-2 were used to pay down outstanding borrowings under the Ex-Im Credit Facility.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Basis of Presentation – Leases and Note 6 – Leases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75"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26" w:lineRule="exact"/>
        <w:rPr>
          <w:sz w:val="20"/>
          <w:szCs w:val="20"/>
          <w:color w:val="auto"/>
        </w:rPr>
      </w:pPr>
    </w:p>
    <w:p>
      <w:pPr>
        <w:ind w:firstLine="510"/>
        <w:spacing w:after="0" w:line="241"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18" w:lineRule="exact"/>
        <w:rPr>
          <w:sz w:val="20"/>
          <w:szCs w:val="20"/>
          <w:color w:val="auto"/>
        </w:rPr>
      </w:pPr>
    </w:p>
    <w:p>
      <w:pPr>
        <w:ind w:right="180" w:firstLine="8"/>
        <w:spacing w:after="0" w:line="239"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2" w:lineRule="exact"/>
        <w:rPr>
          <w:sz w:val="20"/>
          <w:szCs w:val="20"/>
          <w:color w:val="auto"/>
        </w:rPr>
      </w:pPr>
    </w:p>
    <w:p>
      <w:pPr>
        <w:jc w:val="both"/>
        <w:ind w:right="80" w:firstLine="510"/>
        <w:spacing w:after="0" w:line="24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61" w:lineRule="exact"/>
        <w:rPr>
          <w:sz w:val="20"/>
          <w:szCs w:val="20"/>
          <w:color w:val="auto"/>
        </w:rPr>
      </w:pPr>
    </w:p>
    <w:p>
      <w:pPr>
        <w:ind w:right="60" w:firstLine="510"/>
        <w:spacing w:after="0" w:line="257" w:lineRule="auto"/>
        <w:rPr>
          <w:sz w:val="20"/>
          <w:szCs w:val="20"/>
          <w:color w:val="auto"/>
        </w:rPr>
      </w:pPr>
      <w:r>
        <w:rPr>
          <w:rFonts w:ascii="Arial" w:cs="Arial" w:eastAsia="Arial" w:hAnsi="Arial"/>
          <w:sz w:val="17"/>
          <w:szCs w:val="17"/>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w:t>
      </w:r>
    </w:p>
    <w:p>
      <w:pPr>
        <w:spacing w:after="0" w:line="2" w:lineRule="exact"/>
        <w:rPr>
          <w:sz w:val="20"/>
          <w:szCs w:val="20"/>
          <w:color w:val="auto"/>
        </w:rPr>
      </w:pPr>
    </w:p>
    <w:p>
      <w:pPr>
        <w:ind w:right="300" w:firstLine="8"/>
        <w:spacing w:after="0" w:line="250" w:lineRule="auto"/>
        <w:tabs>
          <w:tab w:leader="none" w:pos="3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also a lessor for certain insignificant communications equipment. These leases meet the criteria for operating lease classification. Lease income associated with these leases is not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63" w:lineRule="exact"/>
        <w:rPr>
          <w:sz w:val="20"/>
          <w:szCs w:val="20"/>
          <w:color w:val="auto"/>
        </w:rPr>
      </w:pPr>
    </w:p>
    <w:p>
      <w:pPr>
        <w:ind w:right="40" w:firstLine="510"/>
        <w:spacing w:after="0" w:line="243"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$3.4 million and $3.3 million related to patents were included in other assets as of September 30, 2020 and March 31, 2020, respectively. The Company capitalized costs of $ 48.2 million and $39.5 million related to acquiring and obtaining orbital slots and other licenses included in other assets as of September 30, 2020 and March 31, 2020, respectively. Accumulated amortization related to these assets was $4.0 million and $3.7 million as of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September 30, 2020 and March 31, 2020, respectively. Amortization expense related to these assets was an insignificant amount for the three and six months ended September 30, 2020 and 2019. If a patent, orbital slot or other license is rejected, abandoned or otherwise invalidated, the unamortized cost is expensed in that period. During the three and six months ended September 30, 2020 and 2019, the Company did not write off any significant costs due to abandonment or impairment.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63" w:lineRule="exact"/>
        <w:rPr>
          <w:sz w:val="20"/>
          <w:szCs w:val="20"/>
          <w:color w:val="auto"/>
        </w:rPr>
      </w:pPr>
    </w:p>
    <w:p>
      <w:pPr>
        <w:ind w:firstLine="510"/>
        <w:spacing w:after="0" w:line="255" w:lineRule="auto"/>
        <w:rPr>
          <w:sz w:val="20"/>
          <w:szCs w:val="20"/>
          <w:color w:val="auto"/>
        </w:rPr>
      </w:pPr>
      <w:r>
        <w:rPr>
          <w:rFonts w:ascii="Arial" w:cs="Arial" w:eastAsia="Arial" w:hAnsi="Arial"/>
          <w:sz w:val="17"/>
          <w:szCs w:val="17"/>
          <w:color w:val="auto"/>
        </w:rPr>
        <w:t>Debt issuance costs are amortized and recognized as interest expense using the effective interest rate method, or, when the results are not materially different, on a straight-line basis over the expected term of the related debt. During the six months ended September 30, 2020 and 2019, $5.1 million and no debt issuance costs were capitalized,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the Company’s 6.500% Senior Notes due 2028 (the 2028 Notes) and the Ex-Im Credit Facility are recorded as a direct deduction from the carrying amount of the related debt, consistent with debt discounts, in accordance with the authoritative guidance for imputation of interest (ASC 835-30).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77"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$243.2 million and $242.7 million related to software developed for resale were included in other assets as of September 30, 2020 and March 31, 2020, respectively. The Company capitalized $14.2 million and</w:t>
      </w:r>
    </w:p>
    <w:p>
      <w:pPr>
        <w:spacing w:after="0" w:line="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$28.5 million of costs related to software developed for resale for the three and six months ended September 30, 2020, respectively. The Company capitalized $13.9 million and $23.6 million of costs related to software developed for resale for the three and six months ended September 30, 2019, respectively. Amortization expense for capitalized software development costs was $14.9 million and $28.0 million for the three and six months ended September 30, 2020, respectively, and $13.7 million and $25.7 million for the three and six months ended September 30,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63" w:lineRule="exact"/>
        <w:rPr>
          <w:sz w:val="20"/>
          <w:szCs w:val="20"/>
          <w:color w:val="auto"/>
        </w:rPr>
      </w:pPr>
    </w:p>
    <w:p>
      <w:pPr>
        <w:ind w:right="20" w:firstLine="510"/>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$6.8 million and $6.2 million in accrued and other liabilities in the condensed consolidated balance sheets as of September 30, 2020 and March 31, 2020,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63" w:lineRule="exact"/>
        <w:rPr>
          <w:sz w:val="20"/>
          <w:szCs w:val="20"/>
          <w:color w:val="auto"/>
        </w:rPr>
      </w:pPr>
    </w:p>
    <w:p>
      <w:pPr>
        <w:jc w:val="both"/>
        <w:ind w:right="280" w:firstLine="510"/>
        <w:spacing w:after="0" w:line="255"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2020 and March 31, 2020, no such amounts were accrued related to the aforementioned provisions.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63" w:lineRule="exact"/>
        <w:rPr>
          <w:sz w:val="20"/>
          <w:szCs w:val="20"/>
          <w:color w:val="auto"/>
        </w:rPr>
      </w:pPr>
    </w:p>
    <w:p>
      <w:pPr>
        <w:ind w:right="40" w:firstLine="510"/>
        <w:spacing w:after="0" w:line="24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77"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and March 31, 2020, the Company had no shares of common stock held in treasury.</w:t>
      </w:r>
    </w:p>
    <w:p>
      <w:pPr>
        <w:spacing w:after="0" w:line="158"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During the three months ended September 30, 2020 and 2019, the Company issued 40,676 and 43,290 shares of common stock, respectively, based on the vesting terms of certain restricted stock unit agreements. During the six months ended September 30, 2020 and 2019, the Company issued 64,970 and 115,483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September 30, 2020 and 2019, the Company repurchased 8,367 and 10,269 shares of common stock, respectively, at cost and with a total value of an insignificant amount. During the six months ended September 30, 2020 and 2019, the Company repurchased 16,915 and 36,132 shares of common stock, respectively, at cost and with a total value of an insignificant amount and $3.1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Company accounts for forfeitures as they occur. The Company recognized $22.4 million and $ 43.3 million of stock-based compensation expense for the three and six months ended September 30, 2020, respectively. The Company recognized $21.1 million and $42.3 million of stock-based compensation expense for the three and six months ended September 30, 2019,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63"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6"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six months ended September 30, 2020 and 2019 by applying the actual effective tax rate to the income (loss) for the three-month and six-month periods.</w:t>
      </w:r>
    </w:p>
    <w:p>
      <w:pPr>
        <w:spacing w:after="0" w:line="122" w:lineRule="exact"/>
        <w:rPr>
          <w:sz w:val="20"/>
          <w:szCs w:val="20"/>
          <w:color w:val="auto"/>
        </w:rPr>
      </w:pPr>
    </w:p>
    <w:p>
      <w:pPr>
        <w:ind w:right="180" w:firstLine="510"/>
        <w:spacing w:after="0" w:line="24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77" w:lineRule="exact"/>
        <w:rPr>
          <w:sz w:val="20"/>
          <w:szCs w:val="20"/>
          <w:color w:val="auto"/>
        </w:rPr>
      </w:pPr>
    </w:p>
    <w:p>
      <w:pPr>
        <w:ind w:right="60" w:firstLine="510"/>
        <w:spacing w:after="0" w:line="252"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(ASC 326). ASU 2016-13 requires credit losses on most financial assets measured at amortized cost and certain other instruments to be measured using an expected credit loss model (referred to as the current expected credit loss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ASC 326, Financial Instruments — Credit Losses (ASC 326), which clarifies that impairment of receivables arising from operating leases should be accounted for in accordance with ASC 842, Leases. In April 2019, the FASB issued ASU 2019-04, Codification Improvements to ASC 326, Financial Instruments — Credit Losses, in May 2019, the FASB issued ASU 2019-05, Financial Instruments — Credit Losses (ASC</w:t>
      </w:r>
    </w:p>
    <w:p>
      <w:pPr>
        <w:ind w:right="20" w:firstLine="8"/>
        <w:spacing w:after="0" w:line="236" w:lineRule="auto"/>
        <w:tabs>
          <w:tab w:leader="none" w:pos="4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Targeted Relief, in November 2019, the FASB issued ASU 2019-11, Codification Improvements to ASC 326, Financial Instruments — Credit Losses, in February 2020, the FASB issued ASU 2020-02, Financial Instruments — Credit Losses (ASC 326) and Leases (ASC 842) Amendments to SEC Paragraphs Pursuant to SEC Staff Accounting Bulletin No. 119 and Update to SEC Section on Effective Date Related to ASU 2016-02, Leases (ASC 842) and in March 2020, the FASB issued ASU 2020-03, Codification Improvements to Financial Instruments. These recently issued ASUs do not change the core principle of the guidance in ASU 2016-13 but rather are intended to clarify and improve operability of certain topics included within ASU 2016-13. ASU 2018-19, ASU 2019-04, ASU 2019-05, ASU 2019-11, ASU 2020-02, and ASU 2020-03 have the same effective date and transition requirements as ASU 2016-13. The Company adopted the new guidance in the first quarter of fiscal year 2021 using the modified retrospective approach with application of the model to the Company’s accounts receivables. Under the new standard, the Company is required to recognize estimated credit losses expected to occur over the estimated life or remaining contractual life of an asset using a broader range of information including past events, current conditions and consideration of supportable forecasts about future economic conditions. The adoption of the standard had an insignificant impact on the Company’s consolidated financial statements and disclosures.</w:t>
      </w:r>
    </w:p>
    <w:p>
      <w:pPr>
        <w:spacing w:after="0" w:line="128" w:lineRule="exact"/>
        <w:rPr>
          <w:sz w:val="20"/>
          <w:szCs w:val="20"/>
          <w:color w:val="auto"/>
        </w:rPr>
      </w:pPr>
    </w:p>
    <w:p>
      <w:pPr>
        <w:ind w:right="60" w:firstLine="510"/>
        <w:spacing w:after="0" w:line="248"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Company adopted the new guidance in the first quarter of fiscal year 2021 and the guidance did not have a material impact on the Company’s consolidated financial statements and disclosures.</w:t>
      </w:r>
    </w:p>
    <w:p>
      <w:pPr>
        <w:spacing w:after="0" w:line="116" w:lineRule="exact"/>
        <w:rPr>
          <w:sz w:val="20"/>
          <w:szCs w:val="20"/>
          <w:color w:val="auto"/>
        </w:rPr>
      </w:pPr>
    </w:p>
    <w:p>
      <w:pPr>
        <w:ind w:right="100" w:firstLine="510"/>
        <w:spacing w:after="0" w:line="245" w:lineRule="auto"/>
        <w:rPr>
          <w:sz w:val="20"/>
          <w:szCs w:val="20"/>
          <w:color w:val="auto"/>
        </w:rPr>
      </w:pPr>
      <w:r>
        <w:rPr>
          <w:rFonts w:ascii="Arial" w:cs="Arial" w:eastAsia="Arial" w:hAnsi="Arial"/>
          <w:sz w:val="18"/>
          <w:szCs w:val="18"/>
          <w:color w:val="auto"/>
        </w:rPr>
        <w:t>In December 2019, the FASB issued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ASU 2019-12 is effective for the Company beginning in fiscal year 2022, with early adoption permitted. The Company is currently evaluating the impact of this standard on its consolidated financial statements and disclosures.</w:t>
      </w:r>
    </w:p>
    <w:p>
      <w:pPr>
        <w:spacing w:after="0" w:line="118" w:lineRule="exact"/>
        <w:rPr>
          <w:sz w:val="20"/>
          <w:szCs w:val="20"/>
          <w:color w:val="auto"/>
        </w:rPr>
      </w:pPr>
    </w:p>
    <w:p>
      <w:pPr>
        <w:ind w:right="100" w:firstLine="510"/>
        <w:spacing w:after="0" w:line="243"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new standard will become effective for the Company beginning in fiscal year 2022, with early adoption permitted. The Company is currently evaluating the impact of this standard on its consolidated financial statements and disclosures.</w:t>
      </w:r>
    </w:p>
    <w:p>
      <w:pPr>
        <w:spacing w:after="0" w:line="120" w:lineRule="exact"/>
        <w:rPr>
          <w:sz w:val="20"/>
          <w:szCs w:val="20"/>
          <w:color w:val="auto"/>
        </w:rPr>
      </w:pPr>
    </w:p>
    <w:p>
      <w:pPr>
        <w:ind w:right="80" w:firstLine="510"/>
        <w:spacing w:after="0" w:line="245" w:lineRule="auto"/>
        <w:rPr>
          <w:sz w:val="20"/>
          <w:szCs w:val="20"/>
          <w:color w:val="auto"/>
        </w:rPr>
      </w:pPr>
      <w:r>
        <w:rPr>
          <w:rFonts w:ascii="Arial" w:cs="Arial" w:eastAsia="Arial" w:hAnsi="Arial"/>
          <w:sz w:val="18"/>
          <w:szCs w:val="18"/>
          <w:color w:val="auto"/>
        </w:rPr>
        <w:t>In March 2020, the FASB issued ASU 2020-04, Reference Rate Reform (ASC 848): Facilitation of the Effects of Reference Rate Reform on Financial Reporting. ASU 2020-04 provides temporary optional guidance to ease the potential accounting burden associated with the transition away from reference rates (such as the London Interbank Offered Rate) that are expected to be discontinued. ASU 2020-04 was effective upon issuance and can be applied for a limited time through December 31, 2022. The Company adopted the guidance upon issuance with no impact to the Company consolidated financial statements and disclosures.</w:t>
      </w:r>
    </w:p>
    <w:p>
      <w:pPr>
        <w:spacing w:after="0" w:line="159" w:lineRule="exact"/>
        <w:rPr>
          <w:sz w:val="20"/>
          <w:szCs w:val="20"/>
          <w:color w:val="auto"/>
        </w:rPr>
      </w:pPr>
    </w:p>
    <w:p>
      <w:pPr>
        <w:ind w:firstLine="510"/>
        <w:spacing w:after="0" w:line="245" w:lineRule="auto"/>
        <w:rPr>
          <w:sz w:val="20"/>
          <w:szCs w:val="20"/>
          <w:color w:val="auto"/>
        </w:rPr>
      </w:pPr>
      <w:r>
        <w:rPr>
          <w:rFonts w:ascii="Arial" w:cs="Arial" w:eastAsia="Arial" w:hAnsi="Arial"/>
          <w:sz w:val="18"/>
          <w:szCs w:val="18"/>
          <w:color w:val="auto"/>
        </w:rPr>
        <w:t>In May 2020, the SEC adopted Amendments to Financial Disclosures about Acquired and Disposed Businesses (the Final Rule). The Final Rule amends SEC rules related to separate financial statements of acquired businesses, and, among other things, revises the income test by adding a revenue component, which is one of the tests used to determine whether a subsidiary of an acquired or disposed business is significant. The Final Rule reduces the anomalous result that registrants with marginal or break-even net income (loss) may be more likely to have subsidiaries deemed significant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jc w:val="center"/>
        <w:ind w:right="-17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where they otherwise would not. The Final Rule is effective on January 1, 2021, with early adoption permitted. The Company early adopted the provisions of the Final Rule in the first quarter of fiscal year 2021. The guidance did not have a material impact on the Company’s consolidated financial statements and disclosures.</w:t>
      </w:r>
    </w:p>
    <w:p>
      <w:pPr>
        <w:spacing w:after="0" w:line="150"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new standard will become effective for the Company beginning in fiscal year 2023, with early adoption permitted, but no earlier than fiscal year 2022. The Company is currently evaluating the impact of this standard on its consolidated financial statements and disclosures.</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As of</w:t>
            </w:r>
          </w:p>
        </w:tc>
        <w:tc>
          <w:tcPr>
            <w:tcW w:w="320" w:type="dxa"/>
            <w:vAlign w:val="bottom"/>
          </w:tcPr>
          <w:p>
            <w:pPr>
              <w:spacing w:after="0"/>
              <w:rPr>
                <w:sz w:val="10"/>
                <w:szCs w:val="10"/>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9"/>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September 30, 2020</w:t>
            </w:r>
          </w:p>
        </w:tc>
        <w:tc>
          <w:tcPr>
            <w:tcW w:w="320" w:type="dxa"/>
            <w:vAlign w:val="bottom"/>
          </w:tcPr>
          <w:p>
            <w:pPr>
              <w:spacing w:after="0"/>
              <w:rPr>
                <w:sz w:val="12"/>
                <w:szCs w:val="12"/>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March 31, 2020</w:t>
            </w:r>
          </w:p>
        </w:tc>
        <w:tc>
          <w:tcPr>
            <w:tcW w:w="0" w:type="dxa"/>
            <w:vAlign w:val="bottom"/>
          </w:tcPr>
          <w:p>
            <w:pPr>
              <w:spacing w:after="0"/>
              <w:rPr>
                <w:sz w:val="1"/>
                <w:szCs w:val="1"/>
                <w:color w:val="auto"/>
              </w:rPr>
            </w:pPr>
          </w:p>
        </w:tc>
      </w:tr>
      <w:tr>
        <w:trPr>
          <w:trHeight w:val="128"/>
        </w:trPr>
        <w:tc>
          <w:tcPr>
            <w:tcW w:w="6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Billed</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185,907</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260,431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Unbilled</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72,135</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75,661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Allowance for doubtful accounts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2"/>
                <w:szCs w:val="12"/>
                <w:color w:val="auto"/>
              </w:rPr>
              <w:t>(8,461)</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(5,394)</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249,581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330,698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Inventories:</w:t>
            </w:r>
          </w:p>
        </w:tc>
        <w:tc>
          <w:tcPr>
            <w:tcW w:w="1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Raw materials</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89,799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83,353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Work in process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66,586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Finished goods</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176,542</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151,634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332,927</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294,416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Prepaid expenses and other current assets:</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Prepaid expenses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83,094</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84,872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25,084</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31,409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108,178</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116,281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Property, equipment and satellites, net:</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Equipment and software (estimated useful life of 3-7 years)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1,392,503</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1,229,926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CPE leased equipment (estimated useful life of 4-5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408,732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399,343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Furniture and fixtures (estimated useful life of 7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56,002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54,688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Leasehold improvements (estimated useful life of 2-17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147,752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137,287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Building (estimated useful life of 12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8,923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Land</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Construction in progress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195,310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220,703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(estimated useful life of 12-17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171,603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171,801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under construction</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1,145,890</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906,720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4,498,958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4,101,634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Less: accumulated depreciation and amortization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(1,650,318)</w:t>
            </w: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(1,514,899)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2,848,640</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2,586,735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acquired intangible assets, net:</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Technology (weighted average useful life of 6 years)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90,481</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89,228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Contracts and customer relationships (weighted average useful life of 7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103,417</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103,114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8,600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Trade name (weighted average useful life of 3 years)</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(weighted average useful life of 8 years)</w:t>
            </w:r>
          </w:p>
        </w:tc>
        <w:tc>
          <w:tcPr>
            <w:tcW w:w="1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6,411</w:t>
            </w:r>
          </w:p>
        </w:tc>
        <w:tc>
          <w:tcPr>
            <w:tcW w:w="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6,399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214,849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Less: accumulated amortization</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2"/>
                <w:szCs w:val="12"/>
                <w:color w:val="auto"/>
              </w:rPr>
              <w:t>(202,819)</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(198,842)</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12,030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Other assets:</w:t>
            </w:r>
          </w:p>
        </w:tc>
        <w:tc>
          <w:tcPr>
            <w:tcW w:w="1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 in unconsolidated affiliate</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162,168</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287,384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276,331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Capitalized software costs, net</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243,195</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242,741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Patents, orbital slots and other licenses, net</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47,601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39,135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99,724</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88,941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840,072</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807,352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Accrued and 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Collections in excess of revenues and deferred revenues</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169,612</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123,019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Accrued employee compensation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45,756</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Accrued vacation</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54,206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48,963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current portion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6,528</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48,319</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42,146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98,597</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98,175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423,018</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391,190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Deferred revenues, long-term portion</w:t>
            </w: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84,923</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80,802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long-term portion</w:t>
            </w: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5,991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Satellite performance incentive obligations, long-term portion</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23,805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24,349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28,641</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143,360</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120,934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65" w:lineRule="exact"/>
        <w:rPr>
          <w:sz w:val="20"/>
          <w:szCs w:val="20"/>
          <w:color w:val="auto"/>
        </w:rPr>
      </w:pPr>
    </w:p>
    <w:p>
      <w:pPr>
        <w:ind w:firstLine="510"/>
        <w:spacing w:after="0" w:line="24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62"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jc w:val="both"/>
        <w:ind w:left="1000" w:right="40" w:hanging="493"/>
        <w:spacing w:after="0" w:line="25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5" w:lineRule="exact"/>
        <w:rPr>
          <w:rFonts w:ascii="Arial" w:cs="Arial" w:eastAsia="Arial" w:hAnsi="Arial"/>
          <w:sz w:val="18"/>
          <w:szCs w:val="18"/>
          <w:color w:val="auto"/>
        </w:rPr>
      </w:pPr>
    </w:p>
    <w:p>
      <w:pPr>
        <w:ind w:left="1000" w:right="80" w:hanging="493"/>
        <w:spacing w:after="0" w:line="27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91" w:lineRule="exact"/>
        <w:rPr>
          <w:sz w:val="20"/>
          <w:szCs w:val="20"/>
          <w:color w:val="auto"/>
        </w:rPr>
      </w:pPr>
    </w:p>
    <w:p>
      <w:pPr>
        <w:ind w:right="720" w:firstLine="510"/>
        <w:spacing w:after="0" w:line="27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September 30, 2020 and March 31,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right="220" w:firstLine="510"/>
        <w:spacing w:after="0" w:line="276"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91" w:lineRule="exact"/>
        <w:rPr>
          <w:sz w:val="20"/>
          <w:szCs w:val="20"/>
          <w:color w:val="auto"/>
        </w:rPr>
      </w:pPr>
    </w:p>
    <w:p>
      <w:pPr>
        <w:ind w:right="180" w:firstLine="510"/>
        <w:spacing w:after="0"/>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26"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Ex-Im Credit Facility, 2025 Notes, 2027 Notes and 2028 Notes is reported at amortized cost. However, for disclosure purposes, the Company is required to measure the fair value of outstanding debt on a recurring basis. The fair value of the Company’s long-term debt related to the Revolving Credit Facility approximates its carrying amount due to its variable interest rate, which approximates a market interest rate. As of September 30, 2020 and March 31, 2020, the fair value of the Company’s long-term debt related to the Ex-Im Credit Facility was determined based on a discounted cash flow analysis using observable market interest rates for instruments with similar terms (Level 2) and was approximately $111.1 million and $118.1 million, respectively. As of September 30, 2020 and March 31, 2020, the estimated fair value of the Company’s outstanding long-term debt related to the 2025 Notes was determined based on actual or estimated bids and offers for the 2025 Notes in an over-the-counter market (Level 2) and was $686.0 million and $653.6 million, respectively. As of September 30, 2020 and March 31, 2020, the estimated fair value of the Company’s outstanding long-term debt related to the 2027 Notes was determined based on actual or estimated bids and offers for the 2027 Notes in an over-the-counter market (Level 2) and was $616.5 million and $ 603.2 million, respectively. As of September 30, 2020, the estimated fair value of the Company’s outstanding long-term debt related to the 2028 Notes (which were issued in June 2020) was determined based on actual or estimated bids and offers for the 2028 Notes in an over-the-counter market (Level 2) and was $399.7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 w:firstLine="510"/>
        <w:spacing w:after="0" w:line="256" w:lineRule="auto"/>
        <w:rPr>
          <w:sz w:val="20"/>
          <w:szCs w:val="20"/>
          <w:color w:val="auto"/>
        </w:rPr>
      </w:pPr>
      <w:r>
        <w:rPr>
          <w:rFonts w:ascii="Arial" w:cs="Arial" w:eastAsia="Arial" w:hAnsi="Arial"/>
          <w:sz w:val="17"/>
          <w:szCs w:val="17"/>
          <w:i w:val="1"/>
          <w:iCs w:val="1"/>
          <w:color w:val="auto"/>
        </w:rPr>
        <w:t xml:space="preserve">Satellite performance incentive obligations </w:t>
      </w:r>
      <w:r>
        <w:rPr>
          <w:rFonts w:ascii="Arial" w:cs="Arial" w:eastAsia="Arial" w:hAnsi="Arial"/>
          <w:sz w:val="17"/>
          <w:szCs w:val="17"/>
          <w:color w:val="auto"/>
        </w:rPr>
        <w:t>— The Company’s contracts with the manufacturers of the ViaSat-1 and ViaSat-2 satellites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Company to make monthly in-orbit satellite performance incentive payments, including interest, through fiscal year 2027 and fiscal year 2028, respectively,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2020 and March 31, 2020, the Company’s estimated satellite performance incentive obligations relating to the ViaSat-1 and ViaSat-2 satellites, including accrued interest, were $28.7 million and $27.4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000" w:type="dxa"/>
            <w:vAlign w:val="bottom"/>
          </w:tcPr>
          <w:p>
            <w:pPr>
              <w:spacing w:after="0"/>
              <w:rPr>
                <w:sz w:val="15"/>
                <w:szCs w:val="15"/>
                <w:color w:val="auto"/>
              </w:rPr>
            </w:pPr>
          </w:p>
        </w:tc>
        <w:tc>
          <w:tcPr>
            <w:tcW w:w="3100" w:type="dxa"/>
            <w:vAlign w:val="bottom"/>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3000" w:type="dxa"/>
            <w:vAlign w:val="bottom"/>
            <w:gridSpan w:val="4"/>
          </w:tcPr>
          <w:p>
            <w:pPr>
              <w:ind w:left="82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400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169"/>
        </w:trPr>
        <w:tc>
          <w:tcPr>
            <w:tcW w:w="4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3"/>
          </w:tcPr>
          <w:p>
            <w:pPr>
              <w:jc w:val="right"/>
              <w:ind w:right="87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3"/>
        </w:trPr>
        <w:tc>
          <w:tcPr>
            <w:tcW w:w="4000" w:type="dxa"/>
            <w:vAlign w:val="bottom"/>
          </w:tcPr>
          <w:p>
            <w:pPr>
              <w:spacing w:after="0" w:line="193" w:lineRule="exact"/>
              <w:rPr>
                <w:sz w:val="20"/>
                <w:szCs w:val="20"/>
                <w:color w:val="auto"/>
              </w:rPr>
            </w:pPr>
            <w:r>
              <w:rPr>
                <w:rFonts w:ascii="Arial" w:cs="Arial" w:eastAsia="Arial" w:hAnsi="Arial"/>
                <w:sz w:val="18"/>
                <w:szCs w:val="18"/>
                <w:color w:val="auto"/>
              </w:rPr>
              <w:t>Common shares outstanding used in</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calculating basic net income (loss)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per share attributable to Viasat, Inc.</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000" w:type="dxa"/>
            <w:vAlign w:val="bottom"/>
          </w:tcPr>
          <w:p>
            <w:pPr>
              <w:ind w:left="140"/>
              <w:spacing w:after="0"/>
              <w:rPr>
                <w:sz w:val="20"/>
                <w:szCs w:val="20"/>
                <w:color w:val="auto"/>
              </w:rPr>
            </w:pPr>
            <w:r>
              <w:rPr>
                <w:rFonts w:ascii="Arial" w:cs="Arial" w:eastAsia="Arial" w:hAnsi="Arial"/>
                <w:sz w:val="18"/>
                <w:szCs w:val="18"/>
                <w:color w:val="auto"/>
              </w:rPr>
              <w:t>common stockholders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66,576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61,480</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19"/>
                <w:szCs w:val="19"/>
                <w:color w:val="auto"/>
              </w:rPr>
            </w:pPr>
          </w:p>
        </w:tc>
      </w:tr>
      <w:tr>
        <w:trPr>
          <w:trHeight w:val="193"/>
        </w:trPr>
        <w:tc>
          <w:tcPr>
            <w:tcW w:w="40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Options to purchase common stock as</w:t>
            </w: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determined by application of the</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5"/>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treasury stock method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3"/>
        </w:trPr>
        <w:tc>
          <w:tcPr>
            <w:tcW w:w="4000" w:type="dxa"/>
            <w:vAlign w:val="bottom"/>
          </w:tcPr>
          <w:p>
            <w:pPr>
              <w:spacing w:after="0" w:line="193" w:lineRule="exact"/>
              <w:rPr>
                <w:sz w:val="20"/>
                <w:szCs w:val="20"/>
                <w:color w:val="auto"/>
              </w:rPr>
            </w:pPr>
            <w:r>
              <w:rPr>
                <w:rFonts w:ascii="Arial" w:cs="Arial" w:eastAsia="Arial" w:hAnsi="Arial"/>
                <w:sz w:val="18"/>
                <w:szCs w:val="18"/>
                <w:color w:val="auto"/>
              </w:rPr>
              <w:t>Restricted stock units to acquire</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common stock as determined by</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application of the treasury stock</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000" w:type="dxa"/>
            <w:vAlign w:val="bottom"/>
          </w:tcPr>
          <w:p>
            <w:pPr>
              <w:ind w:left="140"/>
              <w:spacing w:after="0"/>
              <w:rPr>
                <w:sz w:val="20"/>
                <w:szCs w:val="20"/>
                <w:color w:val="auto"/>
              </w:rPr>
            </w:pPr>
            <w:r>
              <w:rPr>
                <w:rFonts w:ascii="Arial" w:cs="Arial" w:eastAsia="Arial" w:hAnsi="Arial"/>
                <w:sz w:val="18"/>
                <w:szCs w:val="18"/>
                <w:color w:val="auto"/>
              </w:rPr>
              <w:t>method</w:t>
            </w: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3"/>
        </w:trPr>
        <w:tc>
          <w:tcPr>
            <w:tcW w:w="400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Potentially issuable shares in</w:t>
            </w: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connection with certain terms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of the ViaSat 401(k) Profit</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Sharing Plan and Employee Stock</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5"/>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87"/>
        </w:trPr>
        <w:tc>
          <w:tcPr>
            <w:tcW w:w="4000" w:type="dxa"/>
            <w:vAlign w:val="bottom"/>
          </w:tcPr>
          <w:p>
            <w:pPr>
              <w:spacing w:after="0" w:line="187" w:lineRule="exact"/>
              <w:rPr>
                <w:sz w:val="20"/>
                <w:szCs w:val="20"/>
                <w:color w:val="auto"/>
              </w:rPr>
            </w:pPr>
            <w:r>
              <w:rPr>
                <w:rFonts w:ascii="Arial" w:cs="Arial" w:eastAsia="Arial" w:hAnsi="Arial"/>
                <w:sz w:val="18"/>
                <w:szCs w:val="18"/>
                <w:color w:val="auto"/>
              </w:rPr>
              <w:t>Shares used in computing diluted net</w:t>
            </w:r>
          </w:p>
        </w:tc>
        <w:tc>
          <w:tcPr>
            <w:tcW w:w="13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000" w:type="dxa"/>
            <w:vAlign w:val="bottom"/>
          </w:tcPr>
          <w:p>
            <w:pPr>
              <w:ind w:left="140"/>
              <w:spacing w:after="0" w:line="202" w:lineRule="exact"/>
              <w:rPr>
                <w:sz w:val="20"/>
                <w:szCs w:val="20"/>
                <w:color w:val="auto"/>
              </w:rPr>
            </w:pPr>
            <w:r>
              <w:rPr>
                <w:rFonts w:ascii="Arial" w:cs="Arial" w:eastAsia="Arial" w:hAnsi="Arial"/>
                <w:sz w:val="18"/>
                <w:szCs w:val="18"/>
                <w:color w:val="auto"/>
              </w:rPr>
              <w:t>income (loss) per share attributable</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000" w:type="dxa"/>
            <w:vAlign w:val="bottom"/>
          </w:tcPr>
          <w:p>
            <w:pPr>
              <w:ind w:left="140"/>
              <w:spacing w:after="0"/>
              <w:rPr>
                <w:sz w:val="20"/>
                <w:szCs w:val="20"/>
                <w:color w:val="auto"/>
              </w:rPr>
            </w:pPr>
            <w:r>
              <w:rPr>
                <w:rFonts w:ascii="Arial" w:cs="Arial" w:eastAsia="Arial" w:hAnsi="Arial"/>
                <w:sz w:val="18"/>
                <w:szCs w:val="18"/>
                <w:color w:val="auto"/>
              </w:rPr>
              <w:t>to Viasat, Inc. common stockholders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67,006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62,761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40" w:firstLine="510"/>
        <w:spacing w:after="0" w:line="248" w:lineRule="auto"/>
        <w:rPr>
          <w:sz w:val="20"/>
          <w:szCs w:val="20"/>
          <w:color w:val="auto"/>
        </w:rPr>
      </w:pPr>
      <w:r>
        <w:rPr>
          <w:rFonts w:ascii="Arial" w:cs="Arial" w:eastAsia="Arial" w:hAnsi="Arial"/>
          <w:sz w:val="18"/>
          <w:szCs w:val="18"/>
          <w:color w:val="auto"/>
        </w:rPr>
        <w:t>Antidilutive shares excluded from the calculation for the three months ended September 30, 2020 and 2019 consisted of 1,221,537 and 28,554 shares related to stock options (other than TSR performance stock options), respectively, zero and 1,215,219 shares related to TSR performance stock options, respectively, 2,539,518 and 15,180 shares related to restricted stock units, respectively, and 15,572 and zero shares related to certain terms of the Employee Stock Purchase Plan, respectively.</w:t>
      </w:r>
    </w:p>
    <w:p>
      <w:pPr>
        <w:spacing w:after="0" w:line="157"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six months ended September 30, 2020 and 2019, as the Company incurred a net loss attributable to Viasat, Inc. common stockholders for such periods and inclusion of potentially dilutive weighted average shares of common stock would be antidilutive. Potentially dilutive weighted average shares excluded from the calculation for the six months ended September 31, 2020 consisted of 1,223,375 shares related to stock options (other than TSR performance stock options), zero shares related to TSR performance stock options, 2,623,634 shares related to restricted stock units and 416,650 shares related to certain terms of the ViaSat 401(k) Profit Sharing Plan and Employee Stock Purchase Plan. Potentially dilutive weighted average shares excluded from the calculation for the six months ended September 31, 2019 consisted of 251,961 shares related to stock options (other than TSR performance stock options), 653,725 shares related to TSR performance stock options, 990,984 shares related to restricted stock units, and 209,765 shares related to certain terms of the ViaSat 401(k) Profit Sharing Plan and Employee Stock Purchase Plan.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7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7"/>
          <w:szCs w:val="17"/>
          <w:color w:val="auto"/>
        </w:rPr>
        <w:t>During the six months ended September 30, 2020, the increase in the Company’s goodwill related to the effects of foreign currency translation recorded within all three of the Company’s segments. During the six months ended September 30, 2019, the decrease in the Company’s goodwill related to the effects of foreign currency translation recorded within all three of the Company’s segments.</w:t>
      </w:r>
    </w:p>
    <w:p>
      <w:pPr>
        <w:spacing w:after="0" w:line="93" w:lineRule="exact"/>
        <w:rPr>
          <w:sz w:val="20"/>
          <w:szCs w:val="20"/>
          <w:color w:val="auto"/>
        </w:rPr>
      </w:pPr>
    </w:p>
    <w:p>
      <w:pPr>
        <w:ind w:right="420" w:firstLine="510"/>
        <w:spacing w:after="0" w:line="248"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$1.3 million and $2.0 million for the three months ended September 30, 2020 and 2019, respectively, and $2.9 million and $4.1 million for the six months ended September 30, 2020 and 2019, respectively.</w:t>
      </w:r>
    </w:p>
    <w:p>
      <w:pPr>
        <w:spacing w:after="0" w:line="116"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52" w:lineRule="exact"/>
        <w:rPr>
          <w:sz w:val="20"/>
          <w:szCs w:val="20"/>
          <w:color w:val="auto"/>
        </w:rPr>
      </w:pPr>
    </w:p>
    <w:tbl>
      <w:tblPr>
        <w:tblLayout w:type="fixed"/>
        <w:tblInd w:w="22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65"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The Company’s operating leases consist primarily of leases for office space, data centers and satellite ground facilities and have remaining terms from less than one year to twelve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 — Basis of Presentation</w:t>
      </w:r>
    </w:p>
    <w:p>
      <w:pPr>
        <w:spacing w:after="0" w:line="1" w:lineRule="exact"/>
        <w:rPr>
          <w:sz w:val="20"/>
          <w:szCs w:val="20"/>
          <w:color w:val="auto"/>
        </w:rPr>
      </w:pPr>
    </w:p>
    <w:p>
      <w:pPr>
        <w:jc w:val="both"/>
        <w:ind w:right="380"/>
        <w:spacing w:after="0" w:line="242" w:lineRule="auto"/>
        <w:rPr>
          <w:sz w:val="20"/>
          <w:szCs w:val="20"/>
          <w:color w:val="auto"/>
        </w:rPr>
      </w:pPr>
      <w:r>
        <w:rPr>
          <w:rFonts w:ascii="Arial" w:cs="Arial" w:eastAsia="Arial" w:hAnsi="Arial"/>
          <w:sz w:val="18"/>
          <w:szCs w:val="18"/>
          <w:color w:val="auto"/>
        </w:rPr>
        <w:t>— Leases for more information).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21" w:lineRule="exact"/>
        <w:rPr>
          <w:sz w:val="20"/>
          <w:szCs w:val="20"/>
          <w:color w:val="auto"/>
        </w:rPr>
      </w:pPr>
    </w:p>
    <w:p>
      <w:pPr>
        <w:jc w:val="both"/>
        <w:ind w:right="100" w:firstLine="510"/>
        <w:spacing w:after="0" w:line="255" w:lineRule="auto"/>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less than one year to six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September 30, 2020 and March 31, 2020:</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r>
      <w:tr>
        <w:trPr>
          <w:trHeight w:val="177"/>
        </w:trPr>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520" w:type="dxa"/>
            <w:vAlign w:val="bottom"/>
            <w:tcBorders>
              <w:top w:val="single" w:sz="8" w:color="auto"/>
            </w:tcBorders>
            <w:gridSpan w:val="5"/>
          </w:tcPr>
          <w:p>
            <w:pPr>
              <w:jc w:val="right"/>
              <w:ind w:right="1253"/>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2027 Notes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117,913</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 lease obligations (see Note 6)</w:t>
            </w:r>
          </w:p>
        </w:tc>
        <w:tc>
          <w:tcPr>
            <w:tcW w:w="7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62,872</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64,956</w:t>
            </w:r>
          </w:p>
        </w:tc>
        <w:tc>
          <w:tcPr>
            <w:tcW w:w="80" w:type="dxa"/>
            <w:vAlign w:val="bottom"/>
            <w:tcBorders>
              <w:bottom w:val="single" w:sz="8" w:color="CFF0FC"/>
            </w:tcBorders>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1,870,959</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1,872,869</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(23,981)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(21,418)</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7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80" w:type="dxa"/>
            <w:vAlign w:val="bottom"/>
            <w:shd w:val="clear" w:color="auto" w:fill="CFF0FC"/>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long-term debt</w:t>
            </w: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1,814,677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1,821,663</w:t>
            </w: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63" w:lineRule="exact"/>
        <w:rPr>
          <w:sz w:val="20"/>
          <w:szCs w:val="20"/>
          <w:color w:val="auto"/>
        </w:rPr>
      </w:pPr>
    </w:p>
    <w:p>
      <w:pPr>
        <w:ind w:right="20" w:firstLine="510"/>
        <w:spacing w:after="0" w:line="248" w:lineRule="auto"/>
        <w:rPr>
          <w:sz w:val="20"/>
          <w:szCs w:val="20"/>
          <w:color w:val="auto"/>
        </w:rPr>
      </w:pPr>
      <w:r>
        <w:rPr>
          <w:rFonts w:ascii="Arial" w:cs="Arial" w:eastAsia="Arial" w:hAnsi="Arial"/>
          <w:sz w:val="18"/>
          <w:szCs w:val="18"/>
          <w:color w:val="auto"/>
        </w:rPr>
        <w:t>As of September 30, 2020, the Revolving Credit Facility provided a $ 700.0 million revolving line of credit (including up to $150.0 million of letters of credit), with a maturity date of January 18, 2024. At September 30, 2020, the Company had no outstanding borrowings under the Revolving Credit Facility and $32.5 million outstanding under standby letters of credit, leaving borrowing availability under the Revolving Credit Facility as of September 30, 2020 of $667.5 million.</w:t>
      </w:r>
    </w:p>
    <w:p>
      <w:pPr>
        <w:spacing w:after="0" w:line="116" w:lineRule="exact"/>
        <w:rPr>
          <w:sz w:val="20"/>
          <w:szCs w:val="20"/>
          <w:color w:val="auto"/>
        </w:rPr>
      </w:pPr>
    </w:p>
    <w:p>
      <w:pPr>
        <w:ind w:right="140" w:firstLine="510"/>
        <w:spacing w:after="0" w:line="241"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2020, none of the Company’s subsidiaries guaranteed the Revolving Credit Facility.</w:t>
      </w:r>
    </w:p>
    <w:p>
      <w:pPr>
        <w:spacing w:after="0" w:line="125" w:lineRule="exact"/>
        <w:rPr>
          <w:sz w:val="20"/>
          <w:szCs w:val="20"/>
          <w:color w:val="auto"/>
        </w:rPr>
      </w:pPr>
    </w:p>
    <w:p>
      <w:pPr>
        <w:ind w:firstLine="510"/>
        <w:spacing w:after="0" w:line="24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77" w:lineRule="exact"/>
        <w:rPr>
          <w:sz w:val="20"/>
          <w:szCs w:val="20"/>
          <w:color w:val="auto"/>
        </w:rPr>
      </w:pPr>
    </w:p>
    <w:p>
      <w:pPr>
        <w:ind w:right="20" w:firstLine="510"/>
        <w:spacing w:after="0" w:line="243"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September 30, 2020, the Company had $108.1 million in principal amount of outstanding borrowings under the Ex-Im Credit Facility.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 w:firstLine="510"/>
        <w:spacing w:after="0" w:line="239"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fiscal years 2019 and 2020, the Company received an aggregate of $ 188.0 million of insurance proceeds related to the ViaSat-2 satellite, all of which were used to pay down outstanding borrowings under the Ex-Im Credit Facility upon receipt (see Note 1 — Basis of Presentation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26" w:lineRule="exact"/>
        <w:rPr>
          <w:sz w:val="20"/>
          <w:szCs w:val="20"/>
          <w:color w:val="auto"/>
        </w:rPr>
      </w:pPr>
    </w:p>
    <w:p>
      <w:pPr>
        <w:ind w:right="40" w:firstLine="510"/>
        <w:spacing w:after="0" w:line="24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September 30, 2020.</w:t>
      </w:r>
    </w:p>
    <w:p>
      <w:pPr>
        <w:spacing w:after="0" w:line="116" w:lineRule="exact"/>
        <w:rPr>
          <w:sz w:val="20"/>
          <w:szCs w:val="20"/>
          <w:color w:val="auto"/>
        </w:rPr>
      </w:pPr>
    </w:p>
    <w:p>
      <w:pPr>
        <w:ind w:right="40" w:firstLine="510"/>
        <w:spacing w:after="0" w:line="243"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61" w:lineRule="exact"/>
        <w:rPr>
          <w:sz w:val="20"/>
          <w:szCs w:val="20"/>
          <w:color w:val="auto"/>
        </w:rPr>
      </w:pPr>
    </w:p>
    <w:p>
      <w:pPr>
        <w:ind w:right="80" w:firstLine="510"/>
        <w:spacing w:after="0" w:line="243"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will commence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20" w:lineRule="exact"/>
        <w:rPr>
          <w:sz w:val="20"/>
          <w:szCs w:val="20"/>
          <w:color w:val="auto"/>
        </w:rPr>
      </w:pPr>
    </w:p>
    <w:p>
      <w:pPr>
        <w:ind w:right="180" w:firstLine="510"/>
        <w:spacing w:after="0" w:line="241"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September 30, 2020,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25" w:lineRule="exact"/>
        <w:rPr>
          <w:sz w:val="20"/>
          <w:szCs w:val="20"/>
          <w:color w:val="auto"/>
        </w:rPr>
      </w:pPr>
    </w:p>
    <w:p>
      <w:pPr>
        <w:ind w:right="460" w:firstLine="510"/>
        <w:spacing w:after="0" w:line="239"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Prior to July 15, 2023, the Company may redeem up to 40% of the 2028 Notes at a redemption price of 106.500% of the principal amount thereof, plus accrued and unpaid interest, if any, thereon to the redemption date, from the net cash proceeds of specified equity 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25" w:lineRule="exact"/>
        <w:rPr>
          <w:sz w:val="20"/>
          <w:szCs w:val="20"/>
          <w:color w:val="auto"/>
        </w:rPr>
      </w:pPr>
    </w:p>
    <w:p>
      <w:pPr>
        <w:jc w:val="both"/>
        <w:ind w:right="120" w:firstLine="510"/>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75" w:lineRule="exact"/>
        <w:rPr>
          <w:sz w:val="20"/>
          <w:szCs w:val="20"/>
          <w:color w:val="auto"/>
        </w:rPr>
      </w:pPr>
    </w:p>
    <w:p>
      <w:pPr>
        <w:ind w:right="60" w:firstLine="510"/>
        <w:spacing w:after="0" w:line="243"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20" w:lineRule="exact"/>
        <w:rPr>
          <w:sz w:val="20"/>
          <w:szCs w:val="20"/>
          <w:color w:val="auto"/>
        </w:rPr>
      </w:pPr>
    </w:p>
    <w:p>
      <w:pPr>
        <w:ind w:right="20" w:firstLine="510"/>
        <w:spacing w:after="0" w:line="24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September 30, 2020, none of the Company’s subsidiaries guaranteed the 2027 Notes. The 2027 Notes are secured, equally and ratably with the Revolving Credit Facility and any future parity lien debt, by liens on substantially all of the Company’s assets.</w:t>
      </w:r>
    </w:p>
    <w:p>
      <w:pPr>
        <w:spacing w:after="0" w:line="116"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26" w:lineRule="exact"/>
        <w:rPr>
          <w:sz w:val="20"/>
          <w:szCs w:val="20"/>
          <w:color w:val="auto"/>
        </w:rPr>
      </w:pPr>
    </w:p>
    <w:p>
      <w:pPr>
        <w:ind w:right="440" w:firstLine="510"/>
        <w:spacing w:after="0" w:line="245"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18" w:lineRule="exact"/>
        <w:rPr>
          <w:sz w:val="20"/>
          <w:szCs w:val="20"/>
          <w:color w:val="auto"/>
        </w:rPr>
      </w:pPr>
    </w:p>
    <w:p>
      <w:pPr>
        <w:ind w:right="40" w:firstLine="510"/>
        <w:spacing w:after="0" w:line="239"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months beginning on April 15, 2023 at a redemption price of 101.406%, and at any time on or after April 15, 2024 at a redemption price of 100%, in each case plus accrued and unpaid interest, if any, thereon to the redemption date.</w:t>
      </w:r>
    </w:p>
    <w:p>
      <w:pPr>
        <w:spacing w:after="0" w:line="91" w:lineRule="exact"/>
        <w:rPr>
          <w:sz w:val="20"/>
          <w:szCs w:val="20"/>
          <w:color w:val="auto"/>
        </w:rPr>
      </w:pPr>
    </w:p>
    <w:p>
      <w:pPr>
        <w:jc w:val="both"/>
        <w:ind w:right="40" w:firstLine="510"/>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firstLine="510"/>
        <w:spacing w:after="0" w:line="243"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20" w:lineRule="exact"/>
        <w:rPr>
          <w:sz w:val="20"/>
          <w:szCs w:val="20"/>
          <w:color w:val="auto"/>
        </w:rPr>
      </w:pPr>
    </w:p>
    <w:p>
      <w:pPr>
        <w:ind w:right="80" w:firstLine="510"/>
        <w:spacing w:after="0" w:line="241"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September 30, 2020,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25" w:lineRule="exact"/>
        <w:rPr>
          <w:sz w:val="20"/>
          <w:szCs w:val="20"/>
          <w:color w:val="auto"/>
        </w:rPr>
      </w:pPr>
    </w:p>
    <w:p>
      <w:pPr>
        <w:ind w:right="360" w:firstLine="510"/>
        <w:spacing w:after="0" w:line="245"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18" w:lineRule="exact"/>
        <w:rPr>
          <w:sz w:val="20"/>
          <w:szCs w:val="20"/>
          <w:color w:val="auto"/>
        </w:rPr>
      </w:pPr>
    </w:p>
    <w:p>
      <w:pPr>
        <w:ind w:right="40" w:firstLine="510"/>
        <w:spacing w:after="0" w:line="248" w:lineRule="auto"/>
        <w:rPr>
          <w:sz w:val="20"/>
          <w:szCs w:val="20"/>
          <w:color w:val="auto"/>
        </w:rPr>
      </w:pPr>
      <w:r>
        <w:rPr>
          <w:rFonts w:ascii="Arial" w:cs="Arial" w:eastAsia="Arial" w:hAnsi="Arial"/>
          <w:sz w:val="18"/>
          <w:szCs w:val="18"/>
          <w:color w:val="auto"/>
        </w:rPr>
        <w:t>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16" w:lineRule="exact"/>
        <w:rPr>
          <w:sz w:val="20"/>
          <w:szCs w:val="20"/>
          <w:color w:val="auto"/>
        </w:rPr>
      </w:pPr>
    </w:p>
    <w:p>
      <w:pPr>
        <w:jc w:val="both"/>
        <w:ind w:right="40" w:firstLine="510"/>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65"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2020 and 2019:</w:t>
      </w:r>
    </w:p>
    <w:p>
      <w:pPr>
        <w:spacing w:after="0" w:line="264" w:lineRule="exact"/>
        <w:rPr>
          <w:sz w:val="20"/>
          <w:szCs w:val="20"/>
          <w:color w:val="auto"/>
        </w:rPr>
      </w:pPr>
    </w:p>
    <w:tbl>
      <w:tblPr>
        <w:tblLayout w:type="fixed"/>
        <w:tblInd w:w="170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w:t>
            </w:r>
          </w:p>
        </w:tc>
      </w:tr>
      <w:tr>
        <w:trPr>
          <w:trHeight w:val="154"/>
        </w:trPr>
        <w:tc>
          <w:tcPr>
            <w:tcW w:w="4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380"/>
              <w:spacing w:after="0" w:line="154"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r>
      <w:tr>
        <w:trPr>
          <w:trHeight w:val="177"/>
        </w:trPr>
        <w:tc>
          <w:tcPr>
            <w:tcW w:w="4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69"/>
        </w:trPr>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4"/>
          </w:tcPr>
          <w:p>
            <w:pPr>
              <w:jc w:val="right"/>
              <w:ind w:right="89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80" w:type="dxa"/>
            <w:vAlign w:val="bottom"/>
            <w:shd w:val="clear" w:color="auto" w:fill="CFF0FC"/>
          </w:tcPr>
          <w:p>
            <w:pPr>
              <w:spacing w:after="0"/>
              <w:rPr>
                <w:sz w:val="18"/>
                <w:szCs w:val="18"/>
                <w:color w:val="auto"/>
              </w:rPr>
            </w:pPr>
          </w:p>
        </w:tc>
      </w:tr>
      <w:tr>
        <w:trPr>
          <w:trHeight w:val="216"/>
        </w:trPr>
        <w:tc>
          <w:tcPr>
            <w:tcW w:w="448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4,588</w:t>
            </w:r>
          </w:p>
        </w:tc>
        <w:tc>
          <w:tcPr>
            <w:tcW w:w="80" w:type="dxa"/>
            <w:vAlign w:val="bottom"/>
          </w:tcPr>
          <w:p>
            <w:pPr>
              <w:spacing w:after="0"/>
              <w:rPr>
                <w:sz w:val="18"/>
                <w:szCs w:val="18"/>
                <w:color w:val="auto"/>
              </w:rPr>
            </w:pPr>
          </w:p>
        </w:tc>
      </w:tr>
      <w:tr>
        <w:trPr>
          <w:trHeight w:val="193"/>
        </w:trPr>
        <w:tc>
          <w:tcPr>
            <w:tcW w:w="4480" w:type="dxa"/>
            <w:vAlign w:val="bottom"/>
            <w:shd w:val="clear" w:color="auto" w:fill="CFF0FC"/>
          </w:tcPr>
          <w:p>
            <w:pPr>
              <w:ind w:left="240"/>
              <w:spacing w:after="0" w:line="193" w:lineRule="exact"/>
              <w:rPr>
                <w:sz w:val="20"/>
                <w:szCs w:val="20"/>
                <w:color w:val="auto"/>
              </w:rPr>
            </w:pPr>
            <w:r>
              <w:rPr>
                <w:rFonts w:ascii="Arial" w:cs="Arial" w:eastAsia="Arial" w:hAnsi="Arial"/>
                <w:sz w:val="18"/>
                <w:szCs w:val="18"/>
                <w:color w:val="auto"/>
              </w:rPr>
              <w:t>Settlements made (in cash or in kind) during the</w:t>
            </w: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25"/>
        </w:trPr>
        <w:tc>
          <w:tcPr>
            <w:tcW w:w="44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period</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(2,455)</w:t>
            </w: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Balance, end of period</w:t>
            </w: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65" w:lineRule="exact"/>
        <w:rPr>
          <w:sz w:val="20"/>
          <w:szCs w:val="20"/>
          <w:color w:val="auto"/>
        </w:rPr>
      </w:pPr>
    </w:p>
    <w:p>
      <w:pPr>
        <w:ind w:right="260" w:firstLine="510"/>
        <w:spacing w:after="0" w:line="248" w:lineRule="auto"/>
        <w:rPr>
          <w:sz w:val="20"/>
          <w:szCs w:val="20"/>
          <w:color w:val="auto"/>
        </w:rPr>
      </w:pPr>
      <w:r>
        <w:rPr>
          <w:rFonts w:ascii="Arial" w:cs="Arial" w:eastAsia="Arial" w:hAnsi="Arial"/>
          <w:sz w:val="18"/>
          <w:szCs w:val="18"/>
          <w:color w:val="auto"/>
        </w:rPr>
        <w:t>In July 2016, the Company entered into two separate agreements with The Boeing Company (Boeing) for the construction and purchase of the Company’s first two ViaSat-3 class satellites and the integration of Viasat’s payload technologies into the satellites. In July 2019, the Company entered into an agreement with Boeing for the construction and purchase of a third ViaSat-3 class satellite and the integration of Viasat’s payload technologies into the satellite.</w:t>
      </w:r>
    </w:p>
    <w:p>
      <w:pPr>
        <w:spacing w:after="0" w:line="157" w:lineRule="exact"/>
        <w:rPr>
          <w:sz w:val="20"/>
          <w:szCs w:val="20"/>
          <w:color w:val="auto"/>
        </w:rPr>
      </w:pPr>
    </w:p>
    <w:p>
      <w:pPr>
        <w:ind w:firstLine="510"/>
        <w:spacing w:after="0" w:line="241"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2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2019 or 2020. As of September 30, 2020,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Company does not know the outcome of any ongoing or future audits or reviews and adjustments, and if future adjustments exceed the Company’s estimates, its profitability would be adversely affected. As of September 30, 2020 and March 31, 2020, the Company had $8.3 million and $7.8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65"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six months ended September 30, 2020 and 2019 by applying the actual effective tax rate to the income (loss) for the three-month and six-month periods.</w:t>
      </w:r>
    </w:p>
    <w:p>
      <w:pPr>
        <w:spacing w:after="0" w:line="126" w:lineRule="exact"/>
        <w:rPr>
          <w:sz w:val="20"/>
          <w:szCs w:val="20"/>
          <w:color w:val="auto"/>
        </w:rPr>
      </w:pPr>
    </w:p>
    <w:p>
      <w:pPr>
        <w:jc w:val="both"/>
        <w:ind w:right="20" w:firstLine="510"/>
        <w:spacing w:after="0" w:line="255" w:lineRule="auto"/>
        <w:rPr>
          <w:sz w:val="20"/>
          <w:szCs w:val="20"/>
          <w:color w:val="auto"/>
        </w:rPr>
      </w:pPr>
      <w:r>
        <w:rPr>
          <w:rFonts w:ascii="Arial" w:cs="Arial" w:eastAsia="Arial" w:hAnsi="Arial"/>
          <w:sz w:val="18"/>
          <w:szCs w:val="18"/>
          <w:color w:val="auto"/>
        </w:rPr>
        <w:t>For the three and six months ended September 30, 2020, the Company recorded an income tax benefit of an insignificant amount and $6.4 million, respectively, resulting in effective tax benefit rates of negative 23% and positive 56%, respectively. The effective tax rates for the periods differed from the U.S. statutory rate due primarily to the benefit of federal and state R&amp;D tax credits.</w:t>
      </w:r>
    </w:p>
    <w:p>
      <w:pPr>
        <w:spacing w:after="0" w:line="110" w:lineRule="exact"/>
        <w:rPr>
          <w:sz w:val="20"/>
          <w:szCs w:val="20"/>
          <w:color w:val="auto"/>
        </w:rPr>
      </w:pPr>
    </w:p>
    <w:p>
      <w:pPr>
        <w:ind w:right="100" w:firstLine="510"/>
        <w:spacing w:after="0" w:line="277" w:lineRule="auto"/>
        <w:rPr>
          <w:sz w:val="20"/>
          <w:szCs w:val="20"/>
          <w:color w:val="auto"/>
        </w:rPr>
      </w:pPr>
      <w:r>
        <w:rPr>
          <w:rFonts w:ascii="Arial" w:cs="Arial" w:eastAsia="Arial" w:hAnsi="Arial"/>
          <w:sz w:val="17"/>
          <w:szCs w:val="17"/>
          <w:color w:val="auto"/>
        </w:rPr>
        <w:t>For the three and six months ended September 30, 2019, the Company recorded an income tax provision of $2.4 million and an income tax benefit of $ 4.8 million, respectively, resulting in an effective tax rate of 26% and an effective tax benefit rate of 53%, respectively. The effective tax rates for the periods differed from the U.S. statutory rate due primarily to the benefit of federal and state R&amp;D tax credits.</w:t>
      </w:r>
    </w:p>
    <w:p>
      <w:pPr>
        <w:spacing w:after="0" w:line="93" w:lineRule="exact"/>
        <w:rPr>
          <w:sz w:val="20"/>
          <w:szCs w:val="20"/>
          <w:color w:val="auto"/>
        </w:rPr>
      </w:pPr>
    </w:p>
    <w:p>
      <w:pPr>
        <w:ind w:right="20" w:firstLine="510"/>
        <w:spacing w:after="0" w:line="24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16" w:lineRule="exact"/>
        <w:rPr>
          <w:sz w:val="20"/>
          <w:szCs w:val="20"/>
          <w:color w:val="auto"/>
        </w:rPr>
      </w:pPr>
    </w:p>
    <w:p>
      <w:pPr>
        <w:jc w:val="both"/>
        <w:ind w:right="260" w:firstLine="510"/>
        <w:spacing w:after="0" w:line="255" w:lineRule="auto"/>
        <w:rPr>
          <w:sz w:val="20"/>
          <w:szCs w:val="20"/>
          <w:color w:val="auto"/>
        </w:rPr>
      </w:pPr>
      <w:r>
        <w:rPr>
          <w:rFonts w:ascii="Arial" w:cs="Arial" w:eastAsia="Arial" w:hAnsi="Arial"/>
          <w:sz w:val="18"/>
          <w:szCs w:val="18"/>
          <w:color w:val="auto"/>
        </w:rPr>
        <w:t>For the three and six months ended September 30, 2020, the Company’s gross unrecognized tax benefits increased by $3.7 million and $6.9 million, respectively. In the next 12 months it is reasonably possible that the amount of unrecognized tax benefits will not change significantly.</w:t>
      </w:r>
    </w:p>
    <w:p>
      <w:pPr>
        <w:spacing w:after="0" w:line="137"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In accordance with the authoritative guidance for share -based payments (ASC 718), the Company recognizes excess tax benefits or deficiencies on vesting or settlement of awards as an income tax benefit or expense within net income (loss) and the related cash flows classified within operating activities. In accordance with ASU 2016-09, during interim periods, excess tax benefits or deficiencies are recognized in income tax expense as discrete items in the reporting period in which they occur.</w:t>
      </w:r>
    </w:p>
    <w:p>
      <w:pPr>
        <w:spacing w:after="0" w:line="192" w:lineRule="exact"/>
        <w:rPr>
          <w:sz w:val="20"/>
          <w:szCs w:val="20"/>
          <w:color w:val="auto"/>
        </w:rPr>
      </w:pPr>
    </w:p>
    <w:p>
      <w:pPr>
        <w:ind w:right="5220"/>
        <w:spacing w:after="0" w:line="314" w:lineRule="auto"/>
        <w:rPr>
          <w:sz w:val="20"/>
          <w:szCs w:val="20"/>
          <w:color w:val="auto"/>
        </w:rPr>
      </w:pPr>
      <w:r>
        <w:rPr>
          <w:rFonts w:ascii="Arial" w:cs="Arial" w:eastAsia="Arial" w:hAnsi="Arial"/>
          <w:sz w:val="18"/>
          <w:szCs w:val="18"/>
          <w:b w:val="1"/>
          <w:bCs w:val="1"/>
          <w:color w:val="auto"/>
        </w:rPr>
        <w:t xml:space="preserve">Note 11 — Equity Method Investments and Related-Party Transactions </w:t>
      </w:r>
      <w:r>
        <w:rPr>
          <w:rFonts w:ascii="Arial" w:cs="Arial" w:eastAsia="Arial" w:hAnsi="Arial"/>
          <w:sz w:val="18"/>
          <w:szCs w:val="18"/>
          <w:b w:val="1"/>
          <w:bCs w:val="1"/>
          <w:i w:val="1"/>
          <w:iCs w:val="1"/>
          <w:color w:val="auto"/>
        </w:rPr>
        <w:t>Eutelsat strategic partnering arrangement</w:t>
      </w:r>
    </w:p>
    <w:p>
      <w:pPr>
        <w:ind w:firstLine="510"/>
        <w:spacing w:after="0"/>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a foreign currency translation gain, net of tax, of approximately $2.9 million and $1.5 million for the three and six months ended September 30,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respectively, in accumulated other comprehensive income (loss). The Company recorded a foreign currency translation gain, net of tax, of approximately $1.7 million and a loss of an insignificant amount for the three and six months ended September 30, 2019,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and six months ended June 30, 2020 in its condensed consolidated financial statements for the three and six months ended September 30, 2020, respectively, and the Company included its share of the results of Euro Infrastructure Co. for the three and six months ended June 30, 2019 in its condensed consolidated financial statements for the three and six months ended September 30, 2019,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26" w:lineRule="exact"/>
        <w:rPr>
          <w:sz w:val="20"/>
          <w:szCs w:val="20"/>
          <w:color w:val="auto"/>
        </w:rPr>
      </w:pPr>
    </w:p>
    <w:p>
      <w:pPr>
        <w:ind w:right="20" w:firstLine="510"/>
        <w:spacing w:after="0" w:line="27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September 30, 2020 and March 31, 2020 is summarized as follows: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490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3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162,168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160,204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line="175" w:lineRule="exact"/>
              <w:rPr>
                <w:sz w:val="20"/>
                <w:szCs w:val="20"/>
                <w:color w:val="auto"/>
              </w:rPr>
            </w:pPr>
            <w:r>
              <w:rPr>
                <w:rFonts w:ascii="Arial" w:cs="Arial" w:eastAsia="Arial" w:hAnsi="Arial"/>
                <w:sz w:val="17"/>
                <w:szCs w:val="17"/>
                <w:color w:val="auto"/>
              </w:rPr>
              <w:t>Less: proportionate share of net assets of Euro</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146,428</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144,769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00" w:type="dxa"/>
            <w:vAlign w:val="bottom"/>
            <w:shd w:val="clear" w:color="auto" w:fill="CFF0FC"/>
          </w:tcPr>
          <w:p>
            <w:pPr>
              <w:ind w:left="240"/>
              <w:spacing w:after="0" w:line="168" w:lineRule="exact"/>
              <w:rPr>
                <w:sz w:val="20"/>
                <w:szCs w:val="20"/>
                <w:color w:val="auto"/>
              </w:rPr>
            </w:pPr>
            <w:r>
              <w:rPr>
                <w:rFonts w:ascii="Arial" w:cs="Arial" w:eastAsia="Arial" w:hAnsi="Arial"/>
                <w:sz w:val="17"/>
                <w:szCs w:val="17"/>
                <w:color w:val="auto"/>
              </w:rPr>
              <w:t>Excess carrying value of investment over</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proportionate share of net assets</w:t>
            </w: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15,740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22,042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(15,422)</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(16,142)</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15,740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03" w:lineRule="exact"/>
        <w:rPr>
          <w:sz w:val="20"/>
          <w:szCs w:val="20"/>
          <w:color w:val="auto"/>
        </w:rPr>
      </w:pPr>
    </w:p>
    <w:p>
      <w:pPr>
        <w:ind w:right="80" w:firstLine="510"/>
        <w:spacing w:after="0" w:line="248" w:lineRule="auto"/>
        <w:rPr>
          <w:sz w:val="20"/>
          <w:szCs w:val="20"/>
          <w:color w:val="auto"/>
        </w:rPr>
      </w:pPr>
      <w:r>
        <w:rPr>
          <w:rFonts w:ascii="Arial" w:cs="Arial" w:eastAsia="Arial" w:hAnsi="Arial"/>
          <w:sz w:val="18"/>
          <w:szCs w:val="18"/>
          <w:color w:val="auto"/>
        </w:rPr>
        <w:t>The Company’s share of (loss) income on its investment in Euro Infrastructure Co. was loss of an insignificant amount and income of an insignificant amount for the three and six months ended September 30, 2020, respectively, and income of $1.2 million and $2.5 million for the three and six months ended September 30, 2019, respectively, consisting of the Company’s share of equity in Euro Infrastructure Co.’s (loss) income, including amortization of the difference in the historical basis of the Company’s contribution.</w:t>
      </w:r>
    </w:p>
    <w:p>
      <w:pPr>
        <w:spacing w:after="0" w:line="116" w:lineRule="exact"/>
        <w:rPr>
          <w:sz w:val="20"/>
          <w:szCs w:val="20"/>
          <w:color w:val="auto"/>
        </w:rPr>
      </w:pPr>
    </w:p>
    <w:p>
      <w:pPr>
        <w:ind w:right="320" w:firstLine="510"/>
        <w:spacing w:after="0" w:line="276" w:lineRule="auto"/>
        <w:rPr>
          <w:sz w:val="20"/>
          <w:szCs w:val="20"/>
          <w:color w:val="auto"/>
        </w:rPr>
      </w:pPr>
      <w:r>
        <w:rPr>
          <w:rFonts w:ascii="Arial" w:cs="Arial" w:eastAsia="Arial" w:hAnsi="Arial"/>
          <w:sz w:val="18"/>
          <w:szCs w:val="18"/>
          <w:color w:val="auto"/>
        </w:rPr>
        <w:t>Since acquiring its interest in Euro Infrastructure Co., the Company has recorded $10.7 million in retained earnings of undistributed cumulative earnings in equity interests, net of tax, as of September 30, 2020.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77" w:lineRule="exact"/>
        <w:rPr>
          <w:sz w:val="20"/>
          <w:szCs w:val="20"/>
          <w:color w:val="auto"/>
        </w:rPr>
      </w:pPr>
    </w:p>
    <w:p>
      <w:pPr>
        <w:jc w:val="both"/>
        <w:ind w:right="380" w:firstLine="510"/>
        <w:spacing w:after="0" w:line="255" w:lineRule="auto"/>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000" w:type="dxa"/>
            <w:vAlign w:val="bottom"/>
          </w:tcPr>
          <w:p>
            <w:pPr>
              <w:spacing w:after="0"/>
              <w:rPr>
                <w:sz w:val="14"/>
                <w:szCs w:val="1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169"/>
        </w:trPr>
        <w:tc>
          <w:tcPr>
            <w:tcW w:w="4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1,424</w:t>
            </w:r>
          </w:p>
        </w:tc>
        <w:tc>
          <w:tcPr>
            <w:tcW w:w="8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Expense – Euro Infrastructure Co.</w:t>
            </w:r>
          </w:p>
        </w:tc>
        <w:tc>
          <w:tcPr>
            <w:tcW w:w="4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4,004</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5,708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8,168</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8,905</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4,820</w:t>
            </w:r>
          </w:p>
        </w:tc>
        <w:tc>
          <w:tcPr>
            <w:tcW w:w="8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8,222</w:t>
            </w: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FF0FC"/>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Cash paid – Euro Infrastructure Co.</w:t>
            </w:r>
          </w:p>
        </w:tc>
        <w:tc>
          <w:tcPr>
            <w:tcW w:w="4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4,886</w:t>
            </w:r>
          </w:p>
        </w:tc>
        <w:tc>
          <w:tcPr>
            <w:tcW w:w="8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4,462</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13,080</w:t>
            </w: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21"/>
                <w:szCs w:val="2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539"/>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r>
      <w:tr>
        <w:trPr>
          <w:trHeight w:val="177"/>
        </w:trPr>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Collections in excess of revenues and deferred</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25"/>
        </w:trPr>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revenues – Euro Infrastructure Co.</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12,630</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5,832</w:t>
            </w:r>
          </w:p>
        </w:tc>
        <w:tc>
          <w:tcPr>
            <w:tcW w:w="80" w:type="dxa"/>
            <w:vAlign w:val="bottom"/>
            <w:shd w:val="clear" w:color="auto" w:fill="CFF0FC"/>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Accounts payable – Euro Infrastructure Co.</w:t>
            </w:r>
          </w:p>
        </w:tc>
        <w:tc>
          <w:tcPr>
            <w:tcW w:w="30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5,446</w:t>
            </w:r>
          </w:p>
        </w:tc>
        <w:tc>
          <w:tcPr>
            <w:tcW w:w="80" w:type="dxa"/>
            <w:vAlign w:val="bottom"/>
          </w:tcPr>
          <w:p>
            <w:pPr>
              <w:spacing w:after="0"/>
              <w:rPr>
                <w:sz w:val="21"/>
                <w:szCs w:val="21"/>
                <w:color w:val="auto"/>
              </w:rPr>
            </w:pPr>
          </w:p>
        </w:tc>
      </w:tr>
      <w:tr>
        <w:trPr>
          <w:trHeight w:val="68"/>
        </w:trPr>
        <w:tc>
          <w:tcPr>
            <w:tcW w:w="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32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54"/>
        </w:trPr>
        <w:tc>
          <w:tcPr>
            <w:tcW w:w="400" w:type="dxa"/>
            <w:vAlign w:val="bottom"/>
          </w:tcPr>
          <w:p>
            <w:pPr>
              <w:jc w:val="right"/>
              <w:ind w:right="230"/>
              <w:spacing w:after="0"/>
              <w:rPr>
                <w:sz w:val="20"/>
                <w:szCs w:val="20"/>
                <w:color w:val="auto"/>
              </w:rPr>
            </w:pPr>
            <w:r>
              <w:rPr>
                <w:rFonts w:ascii="Arial" w:cs="Arial" w:eastAsia="Arial" w:hAnsi="Arial"/>
                <w:sz w:val="18"/>
                <w:szCs w:val="18"/>
                <w:color w:val="auto"/>
                <w:w w:val="84"/>
              </w:rPr>
              <w:t>*</w:t>
            </w:r>
          </w:p>
        </w:tc>
        <w:tc>
          <w:tcPr>
            <w:tcW w:w="6420" w:type="dxa"/>
            <w:vAlign w:val="bottom"/>
            <w:gridSpan w:val="3"/>
          </w:tcPr>
          <w:p>
            <w:pPr>
              <w:ind w:left="320"/>
              <w:spacing w:after="0"/>
              <w:rPr>
                <w:sz w:val="20"/>
                <w:szCs w:val="20"/>
                <w:color w:val="auto"/>
              </w:rPr>
            </w:pPr>
            <w:r>
              <w:rPr>
                <w:rFonts w:ascii="Arial" w:cs="Arial" w:eastAsia="Arial" w:hAnsi="Arial"/>
                <w:sz w:val="18"/>
                <w:szCs w:val="18"/>
                <w:color w:val="auto"/>
              </w:rPr>
              <w:t>Amount was insignificant.</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6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2020 and 2019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4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4"/>
                <w:szCs w:val="14"/>
                <w:color w:val="auto"/>
              </w:rPr>
            </w:pPr>
          </w:p>
        </w:tc>
      </w:tr>
      <w:tr>
        <w:trPr>
          <w:trHeight w:val="169"/>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417,871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402,532</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402,532</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139,044</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27,976</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167,020</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189,229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431,401</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128,340</w:t>
            </w:r>
          </w:p>
        </w:tc>
        <w:tc>
          <w:tcPr>
            <w:tcW w:w="120" w:type="dxa"/>
            <w:vAlign w:val="bottom"/>
            <w:tcBorders>
              <w:bottom w:val="single" w:sz="8" w:color="CFF0FC"/>
            </w:tcBorders>
          </w:tcPr>
          <w:p>
            <w:pPr>
              <w:spacing w:after="0"/>
              <w:rPr>
                <w:sz w:val="18"/>
                <w:szCs w:val="18"/>
                <w:color w:val="auto"/>
              </w:rPr>
            </w:pPr>
          </w:p>
        </w:tc>
      </w:tr>
      <w:tr>
        <w:trPr>
          <w:trHeight w:val="210"/>
        </w:trPr>
        <w:tc>
          <w:tcPr>
            <w:tcW w:w="4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259,531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520,873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559,741</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Elimination of intersegment revenues</w:t>
            </w:r>
          </w:p>
        </w:tc>
        <w:tc>
          <w:tcPr>
            <w:tcW w:w="1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554,278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592,256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1,084,766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11,483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5,118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9,626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(46,781)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(96,757)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(96,642)</w:t>
            </w: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108,018</w:t>
            </w:r>
          </w:p>
        </w:tc>
        <w:tc>
          <w:tcPr>
            <w:tcW w:w="120" w:type="dxa"/>
            <w:vAlign w:val="bottom"/>
          </w:tcPr>
          <w:p>
            <w:pPr>
              <w:spacing w:after="0"/>
              <w:rPr>
                <w:sz w:val="18"/>
                <w:szCs w:val="18"/>
                <w:color w:val="auto"/>
              </w:rPr>
            </w:pPr>
          </w:p>
        </w:tc>
      </w:tr>
      <w:tr>
        <w:trPr>
          <w:trHeight w:val="193"/>
        </w:trPr>
        <w:tc>
          <w:tcPr>
            <w:tcW w:w="412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Elimination of intersegment operating</w:t>
            </w: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41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profits</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187"/>
        </w:trPr>
        <w:tc>
          <w:tcPr>
            <w:tcW w:w="4120" w:type="dxa"/>
            <w:vAlign w:val="bottom"/>
          </w:tcPr>
          <w:p>
            <w:pPr>
              <w:spacing w:after="0" w:line="187" w:lineRule="exact"/>
              <w:rPr>
                <w:sz w:val="20"/>
                <w:szCs w:val="20"/>
                <w:color w:val="auto"/>
              </w:rPr>
            </w:pPr>
            <w:r>
              <w:rPr>
                <w:rFonts w:ascii="Arial" w:cs="Arial" w:eastAsia="Arial" w:hAnsi="Arial"/>
                <w:sz w:val="18"/>
                <w:szCs w:val="18"/>
                <w:color w:val="auto"/>
              </w:rPr>
              <w:t>Segment operating profit before corporate</w:t>
            </w: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120" w:type="dxa"/>
            <w:vAlign w:val="bottom"/>
          </w:tcPr>
          <w:p>
            <w:pPr>
              <w:ind w:left="160"/>
              <w:spacing w:after="0" w:line="202" w:lineRule="exact"/>
              <w:rPr>
                <w:sz w:val="20"/>
                <w:szCs w:val="20"/>
                <w:color w:val="auto"/>
              </w:rPr>
            </w:pPr>
            <w:r>
              <w:rPr>
                <w:rFonts w:ascii="Arial" w:cs="Arial" w:eastAsia="Arial" w:hAnsi="Arial"/>
                <w:sz w:val="18"/>
                <w:szCs w:val="18"/>
                <w:color w:val="auto"/>
              </w:rPr>
              <w:t>and amortization of acquired intangible</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4120" w:type="dxa"/>
            <w:vAlign w:val="bottom"/>
          </w:tcPr>
          <w:p>
            <w:pPr>
              <w:ind w:left="16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14,424</w:t>
            </w:r>
          </w:p>
        </w:tc>
        <w:tc>
          <w:tcPr>
            <w:tcW w:w="120" w:type="dxa"/>
            <w:vAlign w:val="bottom"/>
          </w:tcPr>
          <w:p>
            <w:pPr>
              <w:spacing w:after="0"/>
              <w:rPr>
                <w:sz w:val="19"/>
                <w:szCs w:val="19"/>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193"/>
        </w:trPr>
        <w:tc>
          <w:tcPr>
            <w:tcW w:w="4120" w:type="dxa"/>
            <w:vAlign w:val="bottom"/>
          </w:tcPr>
          <w:p>
            <w:pPr>
              <w:ind w:left="260"/>
              <w:spacing w:after="0" w:line="193" w:lineRule="exact"/>
              <w:rPr>
                <w:sz w:val="20"/>
                <w:szCs w:val="20"/>
                <w:color w:val="auto"/>
              </w:rPr>
            </w:pPr>
            <w:r>
              <w:rPr>
                <w:rFonts w:ascii="Arial" w:cs="Arial" w:eastAsia="Arial" w:hAnsi="Arial"/>
                <w:sz w:val="18"/>
                <w:szCs w:val="18"/>
                <w:color w:val="auto"/>
              </w:rPr>
              <w:t>Amortization of acquired intangible</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4120" w:type="dxa"/>
            <w:vAlign w:val="bottom"/>
          </w:tcPr>
          <w:p>
            <w:pPr>
              <w:ind w:left="4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(2,858)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(4,064)</w:t>
            </w:r>
          </w:p>
        </w:tc>
      </w:tr>
      <w:tr>
        <w:trPr>
          <w:trHeight w:val="210"/>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20" w:firstLine="510"/>
        <w:spacing w:after="0" w:line="24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September 30, 2020 and March 31, 2020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 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30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86,252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7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475,122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484,237</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715,969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758,758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7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4,487,427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4,125,110</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5,203,396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20" w:type="dxa"/>
            <w:vAlign w:val="bottom"/>
            <w:vMerge w:val="restart"/>
          </w:tcPr>
          <w:p>
            <w:pPr>
              <w:jc w:val="right"/>
              <w:ind w:right="1230"/>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firstLine="510"/>
        <w:spacing w:after="0" w:line="276" w:lineRule="auto"/>
        <w:rPr>
          <w:sz w:val="20"/>
          <w:szCs w:val="20"/>
          <w:color w:val="auto"/>
        </w:rPr>
      </w:pPr>
      <w:r>
        <w:rPr>
          <w:rFonts w:ascii="Arial" w:cs="Arial" w:eastAsia="Arial" w:hAnsi="Arial"/>
          <w:sz w:val="18"/>
          <w:szCs w:val="18"/>
          <w:color w:val="auto"/>
        </w:rPr>
        <w:t>Other acquired intangible assets, net and goodwill included in segment assets as of September 30, 2020 and March 31, 2020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4"/>
          </w:tcPr>
          <w:p>
            <w:pPr>
              <w:jc w:val="right"/>
              <w:ind w:right="1038"/>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80" w:type="dxa"/>
            <w:vAlign w:val="bottom"/>
            <w:gridSpan w:val="6"/>
          </w:tcPr>
          <w:p>
            <w:pPr>
              <w:ind w:left="760"/>
              <w:spacing w:after="0"/>
              <w:rPr>
                <w:sz w:val="20"/>
                <w:szCs w:val="20"/>
                <w:color w:val="auto"/>
              </w:rPr>
            </w:pPr>
            <w:r>
              <w:rPr>
                <w:rFonts w:ascii="Arial" w:cs="Arial" w:eastAsia="Arial" w:hAnsi="Arial"/>
                <w:sz w:val="14"/>
                <w:szCs w:val="14"/>
                <w:b w:val="1"/>
                <w:bCs w:val="1"/>
                <w:color w:val="auto"/>
              </w:rPr>
              <w:t>Goodwill</w:t>
            </w:r>
          </w:p>
        </w:tc>
      </w:tr>
      <w:tr>
        <w:trPr>
          <w:trHeight w:val="154"/>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58"/>
              <w:spacing w:after="0" w:line="154" w:lineRule="exact"/>
              <w:rPr>
                <w:sz w:val="20"/>
                <w:szCs w:val="20"/>
                <w:color w:val="auto"/>
              </w:rPr>
            </w:pPr>
            <w:r>
              <w:rPr>
                <w:rFonts w:ascii="Arial" w:cs="Arial" w:eastAsia="Arial" w:hAnsi="Arial"/>
                <w:sz w:val="14"/>
                <w:szCs w:val="14"/>
                <w:b w:val="1"/>
                <w:bCs w:val="1"/>
                <w:color w:val="auto"/>
              </w:rPr>
              <w:t>As of</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8"/>
              <w:spacing w:after="0" w:line="154"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60"/>
              <w:spacing w:after="0" w:line="154" w:lineRule="exact"/>
              <w:rPr>
                <w:sz w:val="20"/>
                <w:szCs w:val="20"/>
                <w:color w:val="auto"/>
              </w:rPr>
            </w:pPr>
            <w:r>
              <w:rPr>
                <w:rFonts w:ascii="Arial" w:cs="Arial" w:eastAsia="Arial" w:hAnsi="Arial"/>
                <w:sz w:val="14"/>
                <w:szCs w:val="14"/>
                <w:b w:val="1"/>
                <w:bCs w:val="1"/>
                <w:color w:val="auto"/>
              </w:rPr>
              <w:t>As of</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96"/>
              <w:spacing w:after="0" w:line="154"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3"/>
                <w:szCs w:val="13"/>
                <w:color w:val="auto"/>
              </w:rPr>
            </w:pPr>
          </w:p>
        </w:tc>
      </w:tr>
      <w:tr>
        <w:trPr>
          <w:trHeight w:val="177"/>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18"/>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32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13,758</w:t>
            </w:r>
          </w:p>
        </w:tc>
        <w:tc>
          <w:tcPr>
            <w:tcW w:w="2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Commercial networks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43,981</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0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2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63,944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63,727</w:t>
            </w:r>
          </w:p>
        </w:tc>
        <w:tc>
          <w:tcPr>
            <w:tcW w:w="100" w:type="dxa"/>
            <w:vAlign w:val="bottom"/>
            <w:shd w:val="clear" w:color="auto" w:fill="CFF0FC"/>
          </w:tcPr>
          <w:p>
            <w:pPr>
              <w:spacing w:after="0"/>
              <w:rPr>
                <w:sz w:val="18"/>
                <w:szCs w:val="18"/>
                <w:color w:val="auto"/>
              </w:rPr>
            </w:pPr>
          </w:p>
        </w:tc>
      </w:tr>
      <w:tr>
        <w:trPr>
          <w:trHeight w:val="210"/>
        </w:trPr>
        <w:tc>
          <w:tcPr>
            <w:tcW w:w="272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121,197</w:t>
            </w:r>
          </w:p>
        </w:tc>
        <w:tc>
          <w:tcPr>
            <w:tcW w:w="10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20" w:firstLine="510"/>
        <w:spacing w:after="0" w:line="276" w:lineRule="auto"/>
        <w:rPr>
          <w:sz w:val="20"/>
          <w:szCs w:val="20"/>
          <w:color w:val="auto"/>
        </w:rPr>
      </w:pPr>
      <w:r>
        <w:rPr>
          <w:rFonts w:ascii="Arial" w:cs="Arial" w:eastAsia="Arial" w:hAnsi="Arial"/>
          <w:sz w:val="18"/>
          <w:szCs w:val="18"/>
          <w:color w:val="auto"/>
        </w:rPr>
        <w:t>Amortization of acquired intangible assets by segment for the three and six months ended September 30, 2020 and 2019 was as follows: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9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networks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7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FF0FC"/>
          </w:tcPr>
          <w:p>
            <w:pPr>
              <w:spacing w:after="0"/>
              <w:rPr>
                <w:sz w:val="18"/>
                <w:szCs w:val="18"/>
                <w:color w:val="auto"/>
              </w:rPr>
            </w:pPr>
          </w:p>
        </w:tc>
      </w:tr>
      <w:tr>
        <w:trPr>
          <w:trHeight w:val="187"/>
        </w:trPr>
        <w:tc>
          <w:tcPr>
            <w:tcW w:w="3040" w:type="dxa"/>
            <w:vAlign w:val="bottom"/>
          </w:tcPr>
          <w:p>
            <w:pPr>
              <w:spacing w:after="0" w:line="187" w:lineRule="exact"/>
              <w:rPr>
                <w:sz w:val="20"/>
                <w:szCs w:val="20"/>
                <w:color w:val="auto"/>
              </w:rPr>
            </w:pPr>
            <w:r>
              <w:rPr>
                <w:rFonts w:ascii="Arial" w:cs="Arial" w:eastAsia="Arial" w:hAnsi="Arial"/>
                <w:sz w:val="18"/>
                <w:szCs w:val="18"/>
                <w:color w:val="auto"/>
              </w:rPr>
              <w:t>Total amortization of acquired</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04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1,300</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2,027</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2,858</w:t>
            </w:r>
          </w:p>
        </w:tc>
        <w:tc>
          <w:tcPr>
            <w:tcW w:w="2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six months ended September 30, 2020 and 2019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ind w:right="179"/>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September 30, 2020</w:t>
            </w:r>
          </w:p>
        </w:tc>
      </w:t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760" w:type="dxa"/>
            <w:vAlign w:val="bottom"/>
            <w:tcBorders>
              <w:top w:val="single" w:sz="8" w:color="auto"/>
            </w:tcBorders>
            <w:gridSpan w:val="4"/>
          </w:tcPr>
          <w:p>
            <w:pPr>
              <w:jc w:val="right"/>
              <w:ind w:right="139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513,015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1,011,530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41,263</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73,236</w:t>
            </w:r>
          </w:p>
        </w:tc>
        <w:tc>
          <w:tcPr>
            <w:tcW w:w="100" w:type="dxa"/>
            <w:vAlign w:val="bottom"/>
            <w:tcBorders>
              <w:bottom w:val="single" w:sz="8" w:color="CFF0FC"/>
            </w:tcBorders>
          </w:tcPr>
          <w:p>
            <w:pPr>
              <w:spacing w:after="0"/>
              <w:rPr>
                <w:sz w:val="18"/>
                <w:szCs w:val="18"/>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554,278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4" w:right="399" w:bottom="1440" w:gutter="0" w:footer="0" w:header="0"/>
        </w:sectPr>
      </w:pPr>
    </w:p>
    <w:p>
      <w:pPr>
        <w:spacing w:after="0" w:line="2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Three Months Ended</w:t>
      </w:r>
    </w:p>
    <w:p>
      <w:pPr>
        <w:spacing w:after="0" w:line="31"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2019</w:t>
      </w:r>
    </w:p>
    <w:p>
      <w:pPr>
        <w:spacing w:after="0" w:line="1" w:lineRule="exact"/>
        <w:rPr>
          <w:sz w:val="20"/>
          <w:szCs w:val="20"/>
          <w:color w:val="auto"/>
        </w:rPr>
      </w:pPr>
    </w:p>
    <w:p>
      <w:pPr>
        <w:sectPr>
          <w:pgSz w:w="11900" w:h="16838" w:orient="portrait"/>
          <w:cols w:equalWidth="0" w:num="2">
            <w:col w:w="8280" w:space="700"/>
            <w:col w:w="2200"/>
          </w:cols>
          <w:pgMar w:left="320" w:top="114" w:right="399" w:bottom="1440" w:gutter="0" w:footer="0" w:header="0"/>
          <w:type w:val="continuous"/>
        </w:sectPr>
      </w:pPr>
    </w:p>
    <w:tbl>
      <w:tblPr>
        <w:tblLayout w:type="fixed"/>
        <w:tblInd w:w="58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32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536,284</w:t>
            </w:r>
          </w:p>
        </w:tc>
        <w:tc>
          <w:tcPr>
            <w:tcW w:w="9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997,567</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55,972</w:t>
            </w:r>
          </w:p>
        </w:tc>
        <w:tc>
          <w:tcPr>
            <w:tcW w:w="24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131,726</w:t>
            </w:r>
          </w:p>
        </w:tc>
        <w:tc>
          <w:tcPr>
            <w:tcW w:w="100" w:type="dxa"/>
            <w:vAlign w:val="bottom"/>
            <w:tcBorders>
              <w:bottom w:val="single" w:sz="8" w:color="CFF0FC"/>
            </w:tcBorders>
          </w:tcPr>
          <w:p>
            <w:pPr>
              <w:spacing w:after="0"/>
              <w:rPr>
                <w:sz w:val="18"/>
                <w:szCs w:val="18"/>
                <w:color w:val="auto"/>
              </w:rPr>
            </w:pPr>
          </w:p>
        </w:tc>
      </w:tr>
      <w:tr>
        <w:trPr>
          <w:trHeight w:val="209"/>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6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592,256</w:t>
            </w: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type w:val="continuous"/>
        </w:sectPr>
      </w:pPr>
    </w:p>
    <w:bookmarkStart w:id="33" w:name="page34"/>
    <w:bookmarkEnd w:id="33"/>
    <w:p>
      <w:pPr>
        <w:ind w:right="2920"/>
        <w:spacing w:after="0" w:line="32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510"/>
        <w:spacing w:after="0" w:line="250"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impact of the novel coronavirus (COVID-19) pandemic on our business;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the number of in - flight connectivity (IFC) systems anticipated to be activated under existing contracts with commercial airlines;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2020,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65"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vertical integration strategy and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17" w:right="39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79" w:lineRule="exact"/>
        <w:rPr>
          <w:sz w:val="20"/>
          <w:szCs w:val="20"/>
          <w:color w:val="auto"/>
        </w:rPr>
      </w:pPr>
    </w:p>
    <w:p>
      <w:pPr>
        <w:ind w:right="40" w:firstLine="510"/>
        <w:spacing w:after="0" w:line="245" w:lineRule="auto"/>
        <w:rPr>
          <w:sz w:val="20"/>
          <w:szCs w:val="20"/>
          <w:color w:val="auto"/>
        </w:rPr>
      </w:pPr>
      <w:r>
        <w:rPr>
          <w:rFonts w:ascii="Arial" w:cs="Arial" w:eastAsia="Arial" w:hAnsi="Arial"/>
          <w:sz w:val="18"/>
          <w:szCs w:val="18"/>
          <w:color w:val="auto"/>
        </w:rPr>
        <w:t>On July 23, 2020,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 We intend to use the proceeds for general corporate purposes, which may include financing costs related to the purchase, launch and operation of satellites, potential acquisitions, joint ventures and strategic alliances, working capital or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65"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the three and six months ended September 30, 2020 continued to be impacted by the pandemic, the impact was not material to our financial position, results of operations or cash flows in those periods, with negative impacts particularly in our commercial air business offset by strong performance in other parts of our business. We continue to expect our diversified businesses to provide resiliency for the remainder of fiscal year 2021.</w:t>
      </w:r>
    </w:p>
    <w:p>
      <w:pPr>
        <w:spacing w:after="0" w:line="122" w:lineRule="exact"/>
        <w:rPr>
          <w:sz w:val="20"/>
          <w:szCs w:val="20"/>
          <w:color w:val="auto"/>
        </w:rPr>
      </w:pPr>
    </w:p>
    <w:p>
      <w:pPr>
        <w:ind w:right="180" w:firstLine="510"/>
        <w:spacing w:after="0" w:line="243" w:lineRule="auto"/>
        <w:rPr>
          <w:sz w:val="20"/>
          <w:szCs w:val="20"/>
          <w:color w:val="auto"/>
        </w:rPr>
      </w:pPr>
      <w:r>
        <w:rPr>
          <w:rFonts w:ascii="Arial" w:cs="Arial" w:eastAsia="Arial" w:hAnsi="Arial"/>
          <w:sz w:val="18"/>
          <w:szCs w:val="18"/>
          <w:color w:val="auto"/>
        </w:rPr>
        <w:t>Our government systems segment, which represented 47% and 48% of our total revenues during the three and six months ended September 30, 2020, respectively, continued to perform in line with our expectations. Demand for products and services in our government systems segment remained strong despite the evolving COVID-19 pandemic, although our government business continued to experience some administrative delays on certain contractual vehicles as government customers adjust to the challenges inherent in the remote work environment resulting from the COVID-19 pandemic. As a result, we anticipate that contract awards in our government systems segment in fiscal year 2021 may be more heavily weighted towards the second half of our fiscal year.</w:t>
      </w:r>
    </w:p>
    <w:p>
      <w:pPr>
        <w:spacing w:after="0" w:line="120"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Since mid-March 2020, we have experienced an uptick in demand for our fixed broadband services in the United States, with net subscriber additions for our services and increased demand for our premium highest speed plans. We also continue to participate in certain federal and state programs to ensure our residential and small business customers in the United States have access to connectivity during the pandemic. However, the COVID-19 pandemic continues to impact our higher-margin in-flight services business and our mobile broadband satellite communications system business in our satellite services and commercial networks segments, respectively, due to the severe decline in global air traffic and resulting downturn in the commercial aviation market. While current airline traffic is still a fraction of the prior year activity, our in-flight services business improved modestly compared to the quarter ended June 30, 2020 as airline customers began seeing more passengers return to the air and a significant number of previously inactive aircraft returned to service. We expect to continue to see negative impacts on revenues and operating cash flows from our IFC businesses in the second half of fiscal year 2021, but for the effects to continue to lessen over time with increases in passenger air traffic and the return to service of additional currently inactive aircraft. In fiscal year 2020, less than 10% of our total revenues were generated by services and products provided to commercial airlines reported in our satellite services and commercial networks segments.</w:t>
      </w:r>
    </w:p>
    <w:p>
      <w:pPr>
        <w:spacing w:after="0" w:line="129" w:lineRule="exact"/>
        <w:rPr>
          <w:sz w:val="20"/>
          <w:szCs w:val="20"/>
          <w:color w:val="auto"/>
        </w:rPr>
      </w:pPr>
    </w:p>
    <w:p>
      <w:pPr>
        <w:ind w:firstLine="510"/>
        <w:spacing w:after="0" w:line="248" w:lineRule="auto"/>
        <w:rPr>
          <w:sz w:val="20"/>
          <w:szCs w:val="20"/>
          <w:color w:val="auto"/>
        </w:rPr>
      </w:pPr>
      <w:r>
        <w:rPr>
          <w:rFonts w:ascii="Arial" w:cs="Arial" w:eastAsia="Arial" w:hAnsi="Arial"/>
          <w:sz w:val="18"/>
          <w:szCs w:val="18"/>
          <w:color w:val="auto"/>
        </w:rPr>
        <w:t>The extent of the impact of the COVID-19 pandemic on our business in fiscal year 2021 and beyond will depend on many factors, including the duration and scope of the public health emergency, the extent, duration and effectiveness of containment actions taken, the extent of its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Satellite Services</w:t>
      </w:r>
    </w:p>
    <w:p>
      <w:pPr>
        <w:spacing w:after="0" w:line="79"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 Our proprietary Ka-band satellites are at the core of our technology platform. We own three satellites in service over North America: our second-generation ViaSat-2 satellite (launched in 2017), our first-generation ViaSat-1 satellite (launched in 2011) and the WildBlue-1 satellite (launched in 2007), have lifetime leases of Ka-band capacity on two satellites, jointly own the KA-SAT satellite over Europe, Middle East and Africa (EMEA), and have access to additional Ka-band capacity on partner satellites around the globe through various arrangements with third parties. We also have a global constellation of three third-generation ViaSat-3 class satellites under construction. We expect our ViaSat-3 constellation, once in service, to enable us to deliver affordable connectivity across most of the world. The primary services offered by our satellite services segment are comprised of:</w:t>
      </w:r>
    </w:p>
    <w:p>
      <w:pPr>
        <w:spacing w:after="0" w:line="72" w:lineRule="exact"/>
        <w:rPr>
          <w:sz w:val="20"/>
          <w:szCs w:val="20"/>
          <w:color w:val="auto"/>
        </w:rPr>
      </w:pPr>
    </w:p>
    <w:p>
      <w:pPr>
        <w:ind w:left="1000" w:right="100" w:hanging="493"/>
        <w:spacing w:after="0" w:line="241"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(VoIP) services, primarily in the United States but also in various countries in Europe and Latin America. As of September 30, 2020, we provided fixed broadband services to approximately 603,000 U.S. subscribers (excluding subscribers whose service would have ordinarily been terminated in the absence of the Federal Communications Commission (FCC) Pledge and similar state programs we are currently participating in to ensure our customers have access to connectivity during the COVID-19 pandemic). For the three months ended September 30, 2020, average revenue per fixed broadband subscriber in the United States (ARPU) was $102.66.</w:t>
      </w:r>
    </w:p>
    <w:p>
      <w:pPr>
        <w:spacing w:after="0" w:line="69" w:lineRule="exact"/>
        <w:rPr>
          <w:rFonts w:ascii="Times New Roman" w:cs="Times New Roman" w:eastAsia="Times New Roman" w:hAnsi="Times New Roman"/>
          <w:sz w:val="18"/>
          <w:szCs w:val="18"/>
          <w:color w:val="auto"/>
        </w:rPr>
      </w:pPr>
    </w:p>
    <w:p>
      <w:pPr>
        <w:ind w:left="1000" w:right="2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September 30, 2020, we had our IFC systems installed and in service on approximately 1,390 commercial aircraft, of which, due to impacts of the COVID-19 pandemic approximately 320 were inactive at quarter end. We anticipate our IFC services will be activated on approximately 750 additional commercial aircraft under existing customer agreements with commercial airlines. However, the timing of installation and entry into service for additional aircraft under existing customer agreements may be delayed due to COVID-19 impacts. There can be no assurance that anticipated IFC services will be activated on all such additional commercial aircraft. See the section entitled “COVID-19” above for a discussion of the impact of the COVID-19 pandemic on our in-flight services business.</w:t>
      </w:r>
    </w:p>
    <w:p>
      <w:pPr>
        <w:spacing w:after="0" w:line="98" w:lineRule="exact"/>
        <w:rPr>
          <w:rFonts w:ascii="Times New Roman" w:cs="Times New Roman" w:eastAsia="Times New Roman" w:hAnsi="Times New Roman"/>
          <w:sz w:val="18"/>
          <w:szCs w:val="18"/>
          <w:color w:val="auto"/>
        </w:rPr>
      </w:pPr>
    </w:p>
    <w:p>
      <w:pPr>
        <w:ind w:left="1000" w:hanging="493"/>
        <w:spacing w:after="0" w:line="248"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Community Internet services, which offer innovative, affordable, satellite-based connectivity in communities with poor or no other means of internet access.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and we are trialing services in advance of full commercial launch in other countries, including Brazil.</w:t>
      </w:r>
    </w:p>
    <w:p>
      <w:pPr>
        <w:spacing w:after="0" w:line="63" w:lineRule="exact"/>
        <w:rPr>
          <w:rFonts w:ascii="Times New Roman" w:cs="Times New Roman" w:eastAsia="Times New Roman" w:hAnsi="Times New Roman"/>
          <w:sz w:val="18"/>
          <w:szCs w:val="18"/>
          <w:color w:val="auto"/>
        </w:rPr>
      </w:pPr>
    </w:p>
    <w:p>
      <w:pPr>
        <w:ind w:left="1000" w:right="220" w:hanging="493"/>
        <w:spacing w:after="0" w:line="248"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65" w:lineRule="exact"/>
        <w:rPr>
          <w:sz w:val="20"/>
          <w:szCs w:val="20"/>
          <w:color w:val="auto"/>
        </w:rPr>
      </w:pPr>
    </w:p>
    <w:p>
      <w:pPr>
        <w:ind w:right="100" w:firstLine="510"/>
        <w:spacing w:after="0" w:line="243" w:lineRule="auto"/>
        <w:rPr>
          <w:sz w:val="20"/>
          <w:szCs w:val="20"/>
          <w:color w:val="auto"/>
        </w:rPr>
      </w:pPr>
      <w:r>
        <w:rPr>
          <w:rFonts w:ascii="Arial" w:cs="Arial" w:eastAsia="Arial" w:hAnsi="Arial"/>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mid earth orbit (MEO) and low earth orbit (LEO). The primary products, systems, solutions and services offered by our commercial networks segment are comprised of:</w:t>
      </w:r>
    </w:p>
    <w:p>
      <w:pPr>
        <w:spacing w:after="0" w:line="66"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16" w:lineRule="exact"/>
        <w:rPr>
          <w:rFonts w:ascii="Times New Roman" w:cs="Times New Roman" w:eastAsia="Times New Roman" w:hAnsi="Times New Roman"/>
          <w:sz w:val="18"/>
          <w:szCs w:val="18"/>
          <w:color w:val="auto"/>
        </w:rPr>
      </w:pPr>
    </w:p>
    <w:p>
      <w:pPr>
        <w:ind w:left="1000" w:right="720" w:hanging="493"/>
        <w:spacing w:after="0" w:line="275"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37" w:lineRule="exact"/>
        <w:rPr>
          <w:rFonts w:ascii="Times New Roman" w:cs="Times New Roman" w:eastAsia="Times New Roman" w:hAnsi="Times New Roman"/>
          <w:sz w:val="18"/>
          <w:szCs w:val="18"/>
          <w:color w:val="auto"/>
        </w:rPr>
      </w:pPr>
    </w:p>
    <w:p>
      <w:pPr>
        <w:ind w:left="1000" w:right="1140" w:hanging="493"/>
        <w:spacing w:after="0" w:line="275"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Antenna systems, including ground terminals and antennas for terrestrial and satellite applications, mobile satellite communication, Ka-band earth stations and other multi-band antennas.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36" w:name="page37"/>
    <w:bookmarkEnd w:id="36"/>
    <w:p>
      <w:pPr>
        <w:ind w:left="1000" w:right="780" w:hanging="493"/>
        <w:spacing w:after="0" w:line="275"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37" w:lineRule="exact"/>
        <w:rPr>
          <w:rFonts w:ascii="Times New Roman" w:cs="Times New Roman" w:eastAsia="Times New Roman" w:hAnsi="Times New Roman"/>
          <w:sz w:val="18"/>
          <w:szCs w:val="18"/>
          <w:color w:val="auto"/>
        </w:rPr>
      </w:pPr>
    </w:p>
    <w:p>
      <w:pPr>
        <w:ind w:left="1000" w:right="80" w:hanging="493"/>
        <w:spacing w:after="0" w:line="275"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65" w:lineRule="exact"/>
        <w:rPr>
          <w:sz w:val="20"/>
          <w:szCs w:val="20"/>
          <w:color w:val="auto"/>
        </w:rPr>
      </w:pPr>
    </w:p>
    <w:p>
      <w:pPr>
        <w:ind w:right="160" w:firstLine="510"/>
        <w:spacing w:after="0" w:line="245" w:lineRule="auto"/>
        <w:rPr>
          <w:sz w:val="20"/>
          <w:szCs w:val="20"/>
          <w:color w:val="auto"/>
        </w:rPr>
      </w:pPr>
      <w:r>
        <w:rPr>
          <w:rFonts w:ascii="Arial" w:cs="Arial" w:eastAsia="Arial" w:hAnsi="Arial"/>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64" w:lineRule="exact"/>
        <w:rPr>
          <w:sz w:val="20"/>
          <w:szCs w:val="20"/>
          <w:color w:val="auto"/>
        </w:rPr>
      </w:pPr>
    </w:p>
    <w:p>
      <w:pPr>
        <w:jc w:val="both"/>
        <w:ind w:left="1000" w:right="120" w:hanging="493"/>
        <w:spacing w:after="0" w:line="255"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54" w:lineRule="exact"/>
        <w:rPr>
          <w:rFonts w:ascii="Times New Roman" w:cs="Times New Roman" w:eastAsia="Times New Roman" w:hAnsi="Times New Roman"/>
          <w:sz w:val="18"/>
          <w:szCs w:val="18"/>
          <w:color w:val="auto"/>
        </w:rPr>
      </w:pPr>
    </w:p>
    <w:p>
      <w:pPr>
        <w:ind w:left="1000" w:right="80" w:hanging="493"/>
        <w:spacing w:after="0" w:line="255"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54" w:lineRule="exact"/>
        <w:rPr>
          <w:rFonts w:ascii="Times New Roman" w:cs="Times New Roman" w:eastAsia="Times New Roman" w:hAnsi="Times New Roman"/>
          <w:sz w:val="18"/>
          <w:szCs w:val="18"/>
          <w:color w:val="auto"/>
        </w:rPr>
      </w:pPr>
    </w:p>
    <w:p>
      <w:pPr>
        <w:ind w:left="1000" w:right="220" w:hanging="493"/>
        <w:spacing w:after="0" w:line="248"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61" w:lineRule="exact"/>
        <w:rPr>
          <w:rFonts w:ascii="Times New Roman" w:cs="Times New Roman" w:eastAsia="Times New Roman" w:hAnsi="Times New Roman"/>
          <w:sz w:val="18"/>
          <w:szCs w:val="18"/>
          <w:color w:val="auto"/>
        </w:rPr>
      </w:pPr>
    </w:p>
    <w:p>
      <w:pPr>
        <w:ind w:left="1000" w:hanging="493"/>
        <w:spacing w:after="0" w:line="248"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Small Tactical Terminal (STT) 2-channel radios for manned and unmanned applications, “disposable” defense data links, and our Multifunctional Information Distribution System (MIDS) and MIDS Joint Tactical Radio Systems (MIDS-JTRS) terminals for military fighter jets.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satellite services segment revenues are primarily derived from our fixed broadband services and in-flight services.</w:t>
      </w:r>
    </w:p>
    <w:p>
      <w:pPr>
        <w:spacing w:after="0" w:line="158"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87% and 89% of our total revenues for these segments for the three months ended September 30, 2020 and 2019, respectively, and approximately 86% and 88% of our total revenues for these segments for the six months ended September 30, 2020 and 2019,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22" w:lineRule="exact"/>
        <w:rPr>
          <w:sz w:val="20"/>
          <w:szCs w:val="20"/>
          <w:color w:val="auto"/>
        </w:rPr>
      </w:pPr>
    </w:p>
    <w:p>
      <w:pPr>
        <w:ind w:right="160" w:firstLine="510"/>
        <w:spacing w:after="0" w:line="24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16" w:lineRule="exact"/>
        <w:rPr>
          <w:sz w:val="20"/>
          <w:szCs w:val="20"/>
          <w:color w:val="auto"/>
        </w:rPr>
      </w:pPr>
    </w:p>
    <w:p>
      <w:pPr>
        <w:ind w:right="240" w:firstLine="510"/>
        <w:spacing w:after="0" w:line="260" w:lineRule="auto"/>
        <w:rPr>
          <w:sz w:val="20"/>
          <w:szCs w:val="20"/>
          <w:color w:val="auto"/>
        </w:rPr>
      </w:pPr>
      <w:r>
        <w:rPr>
          <w:rFonts w:ascii="Arial" w:cs="Arial" w:eastAsia="Arial" w:hAnsi="Arial"/>
          <w:sz w:val="17"/>
          <w:szCs w:val="17"/>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23% and 22% of our total revenues for the three months ended September 30, 2020 and 2019, respectively, and approximately 25% and 23% of our total revenues for the six months ended September 30, 2020 and 2019, respectively.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37" w:name="page38"/>
    <w:bookmarkEnd w:id="37"/>
    <w:p>
      <w:pPr>
        <w:ind w:firstLine="510"/>
        <w:spacing w:after="0" w:line="241"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(R&amp;D) projects. IR&amp;D expenses were approximately 5% and 6% of total revenues during the three months ended September 30, 2020 and 2019, respectively, and approximately 5% and 6% of total revenues during the six months ended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September 30, 2020 and 2019, respectively. As a government contractor, we are able to recover a portion of our IR&amp;D expenses pursuant to our government contracts.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79"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ind w:right="140" w:firstLine="510"/>
        <w:spacing w:after="0" w:line="241"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65" w:lineRule="exact"/>
        <w:rPr>
          <w:sz w:val="20"/>
          <w:szCs w:val="20"/>
          <w:color w:val="auto"/>
        </w:rPr>
      </w:pPr>
    </w:p>
    <w:p>
      <w:pPr>
        <w:ind w:right="160" w:firstLine="510"/>
        <w:spacing w:after="0"/>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22" w:lineRule="exact"/>
        <w:rPr>
          <w:sz w:val="20"/>
          <w:szCs w:val="20"/>
          <w:color w:val="auto"/>
        </w:rPr>
      </w:pPr>
    </w:p>
    <w:p>
      <w:pPr>
        <w:ind w:right="40" w:firstLine="510"/>
        <w:spacing w:after="0" w:line="241"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65" w:lineRule="exact"/>
        <w:rPr>
          <w:sz w:val="20"/>
          <w:szCs w:val="20"/>
          <w:color w:val="auto"/>
        </w:rPr>
      </w:pPr>
    </w:p>
    <w:p>
      <w:pPr>
        <w:ind w:right="120" w:firstLine="510"/>
        <w:spacing w:after="0" w:line="258" w:lineRule="auto"/>
        <w:rPr>
          <w:sz w:val="20"/>
          <w:szCs w:val="20"/>
          <w:color w:val="auto"/>
        </w:rPr>
      </w:pPr>
      <w:r>
        <w:rPr>
          <w:rFonts w:ascii="Arial" w:cs="Arial" w:eastAsia="Arial" w:hAnsi="Arial"/>
          <w:sz w:val="17"/>
          <w:szCs w:val="17"/>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38" w:name="page39"/>
    <w:bookmarkEnd w:id="38"/>
    <w:p>
      <w:pPr>
        <w:ind w:right="80"/>
        <w:spacing w:after="0" w:line="238" w:lineRule="auto"/>
        <w:rPr>
          <w:sz w:val="20"/>
          <w:szCs w:val="20"/>
          <w:color w:val="auto"/>
        </w:rPr>
      </w:pPr>
      <w:r>
        <w:rPr>
          <w:rFonts w:ascii="Arial" w:cs="Arial" w:eastAsia="Arial" w:hAnsi="Arial"/>
          <w:sz w:val="18"/>
          <w:szCs w:val="18"/>
          <w:color w:val="auto"/>
        </w:rPr>
        <w:t>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69"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September 30, 2020 would change our income (loss) before income taxes by an insignificant amount.</w:t>
      </w:r>
    </w:p>
    <w:p>
      <w:pPr>
        <w:spacing w:after="0" w:line="167"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74" w:lineRule="exact"/>
        <w:rPr>
          <w:sz w:val="20"/>
          <w:szCs w:val="20"/>
          <w:color w:val="auto"/>
        </w:rPr>
      </w:pPr>
    </w:p>
    <w:p>
      <w:pPr>
        <w:ind w:right="20" w:firstLine="510"/>
        <w:spacing w:after="0" w:line="243"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77" w:lineRule="exact"/>
        <w:rPr>
          <w:sz w:val="20"/>
          <w:szCs w:val="20"/>
          <w:color w:val="auto"/>
        </w:rPr>
      </w:pPr>
    </w:p>
    <w:p>
      <w:pPr>
        <w:ind w:right="20" w:firstLine="510"/>
        <w:spacing w:after="0" w:line="241"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3"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126" w:lineRule="exact"/>
        <w:rPr>
          <w:sz w:val="20"/>
          <w:szCs w:val="20"/>
          <w:color w:val="auto"/>
        </w:rPr>
      </w:pPr>
    </w:p>
    <w:p>
      <w:pPr>
        <w:ind w:right="140" w:firstLine="510"/>
        <w:spacing w:after="0" w:line="248" w:lineRule="auto"/>
        <w:rPr>
          <w:sz w:val="20"/>
          <w:szCs w:val="20"/>
          <w:color w:val="auto"/>
        </w:rPr>
      </w:pPr>
      <w:r>
        <w:rPr>
          <w:rFonts w:ascii="Arial" w:cs="Arial" w:eastAsia="Arial" w:hAnsi="Arial"/>
          <w:sz w:val="18"/>
          <w:szCs w:val="18"/>
          <w:color w:val="auto"/>
        </w:rPr>
        <w:t>We own three satellites in service (ViaSat-2, ViaSat-1 and WildBlue-1) and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units leased to subscribers under a retail leasing program as part of our satellite services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63" w:lineRule="exact"/>
        <w:rPr>
          <w:sz w:val="20"/>
          <w:szCs w:val="20"/>
          <w:color w:val="auto"/>
        </w:rPr>
      </w:pPr>
    </w:p>
    <w:p>
      <w:pPr>
        <w:ind w:right="140" w:firstLine="510"/>
        <w:spacing w:after="0" w:line="241"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w:t>
      </w:r>
    </w:p>
    <w:p>
      <w:pPr>
        <w:spacing w:after="0" w:line="1" w:lineRule="exact"/>
        <w:rPr>
          <w:sz w:val="20"/>
          <w:szCs w:val="20"/>
          <w:color w:val="auto"/>
        </w:rPr>
      </w:pPr>
    </w:p>
    <w:p>
      <w:pPr>
        <w:ind w:right="20" w:firstLine="8"/>
        <w:spacing w:after="0"/>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22" w:lineRule="exact"/>
        <w:rPr>
          <w:sz w:val="20"/>
          <w:szCs w:val="20"/>
          <w:color w:val="auto"/>
        </w:rPr>
      </w:pPr>
    </w:p>
    <w:p>
      <w:pPr>
        <w:ind w:right="40" w:firstLine="510"/>
        <w:spacing w:after="0" w:line="241"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1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20"/>
        <w:spacing w:after="0" w:line="242" w:lineRule="auto"/>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jc w:val="both"/>
        <w:ind w:right="100" w:firstLine="510"/>
        <w:spacing w:after="0" w:line="24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16" w:lineRule="exact"/>
        <w:rPr>
          <w:sz w:val="20"/>
          <w:szCs w:val="20"/>
          <w:color w:val="auto"/>
        </w:rPr>
      </w:pPr>
    </w:p>
    <w:p>
      <w:pPr>
        <w:ind w:right="100" w:firstLine="510"/>
        <w:spacing w:after="0" w:line="245"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77" w:lineRule="exact"/>
        <w:rPr>
          <w:sz w:val="20"/>
          <w:szCs w:val="20"/>
          <w:color w:val="auto"/>
        </w:rPr>
      </w:pPr>
    </w:p>
    <w:p>
      <w:pPr>
        <w:ind w:right="60" w:firstLine="510"/>
        <w:spacing w:after="0" w:line="241"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2020 and 2019.</w:t>
      </w:r>
    </w:p>
    <w:p>
      <w:pPr>
        <w:spacing w:after="0" w:line="125" w:lineRule="exact"/>
        <w:rPr>
          <w:sz w:val="20"/>
          <w:szCs w:val="20"/>
          <w:color w:val="auto"/>
        </w:rPr>
      </w:pPr>
    </w:p>
    <w:p>
      <w:pPr>
        <w:ind w:right="20" w:firstLine="510"/>
        <w:spacing w:after="0" w:line="239"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ASU 2017-04 simplifies how we test goodwill for impairment by removing Step 2 from the goodwill impairment test.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26" w:lineRule="exact"/>
        <w:rPr>
          <w:sz w:val="20"/>
          <w:szCs w:val="20"/>
          <w:color w:val="auto"/>
        </w:rPr>
      </w:pPr>
    </w:p>
    <w:p>
      <w:pPr>
        <w:ind w:firstLine="510"/>
        <w:spacing w:after="0" w:line="243"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0" w:lineRule="exact"/>
        <w:rPr>
          <w:sz w:val="20"/>
          <w:szCs w:val="20"/>
          <w:color w:val="auto"/>
        </w:rPr>
      </w:pPr>
    </w:p>
    <w:p>
      <w:pPr>
        <w:ind w:right="100" w:firstLine="510"/>
        <w:spacing w:after="0" w:line="241" w:lineRule="auto"/>
        <w:rPr>
          <w:sz w:val="20"/>
          <w:szCs w:val="20"/>
          <w:color w:val="auto"/>
        </w:rPr>
      </w:pPr>
      <w:r>
        <w:rPr>
          <w:rFonts w:ascii="Arial" w:cs="Arial" w:eastAsia="Arial" w:hAnsi="Arial"/>
          <w:sz w:val="18"/>
          <w:szCs w:val="18"/>
          <w:color w:val="auto"/>
        </w:rPr>
        <w:t>Furthermore, in addition to qualitative analysis, we believe it is appropriate to conduct a quantitative analysis periodically as a prudent review of our reporting unit goodwill fair values. We performed this analysis as of December 31, 2019, our annual impairment test date.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2020, we concluded that estimated fair values of our reporting units significantly exceed their respective carrying values.</w:t>
      </w:r>
    </w:p>
    <w:p>
      <w:pPr>
        <w:spacing w:after="0" w:line="125" w:lineRule="exact"/>
        <w:rPr>
          <w:sz w:val="20"/>
          <w:szCs w:val="20"/>
          <w:color w:val="auto"/>
        </w:rPr>
      </w:pPr>
    </w:p>
    <w:p>
      <w:pPr>
        <w:ind w:right="80" w:firstLine="510"/>
        <w:spacing w:after="0" w:line="248"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2020 and the additional qualitative and quantitative considerations as of March 31, 2020 in light of the significant decline in our market capitalization following the COVID-19 outbreak, we concluded that it was more likely than not that the estimated fair value of our reporting units exceeded their carrying value as of March 31,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77"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$42.6 million at March 31, 2020 to $47.3 million at September 30, 2020. The valuation allowance relates to state and foreign net operating loss carryforwards, state R&amp;D tax credit carryforwards and foreign tax credit carryforwards.</w:t>
      </w:r>
    </w:p>
    <w:p>
      <w:pPr>
        <w:spacing w:after="0" w:line="126" w:lineRule="exact"/>
        <w:rPr>
          <w:sz w:val="20"/>
          <w:szCs w:val="20"/>
          <w:color w:val="auto"/>
        </w:rPr>
      </w:pPr>
    </w:p>
    <w:p>
      <w:pPr>
        <w:ind w:right="20" w:firstLine="510"/>
        <w:spacing w:after="0" w:line="245"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18" w:lineRule="exact"/>
        <w:rPr>
          <w:sz w:val="20"/>
          <w:szCs w:val="20"/>
          <w:color w:val="auto"/>
        </w:rPr>
      </w:pPr>
    </w:p>
    <w:p>
      <w:pPr>
        <w:ind w:right="20" w:firstLine="510"/>
        <w:spacing w:after="0" w:line="241"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25" w:lineRule="exact"/>
        <w:rPr>
          <w:sz w:val="20"/>
          <w:szCs w:val="20"/>
          <w:color w:val="auto"/>
        </w:rPr>
      </w:pPr>
    </w:p>
    <w:p>
      <w:pPr>
        <w:ind w:right="60" w:firstLine="510"/>
        <w:spacing w:after="0" w:line="243"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320"/>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320"/>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426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vMerge w:val="continue"/>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20" w:type="dxa"/>
            <w:vAlign w:val="bottom"/>
            <w:gridSpan w:val="2"/>
          </w:tcPr>
          <w:p>
            <w:pPr>
              <w:jc w:val="right"/>
              <w:ind w:right="755"/>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ind w:right="3840"/>
        <w:spacing w:after="0" w:line="372" w:lineRule="auto"/>
        <w:rPr>
          <w:sz w:val="20"/>
          <w:szCs w:val="20"/>
          <w:color w:val="auto"/>
        </w:rPr>
      </w:pPr>
      <w:r>
        <w:rPr>
          <w:rFonts w:ascii="Arial" w:cs="Arial" w:eastAsia="Arial" w:hAnsi="Arial"/>
          <w:sz w:val="18"/>
          <w:szCs w:val="18"/>
          <w:b w:val="1"/>
          <w:bCs w:val="1"/>
          <w:color w:val="auto"/>
        </w:rPr>
        <w:t xml:space="preserve">Three Months Ended September 30, 2020 vs. Three Months Ended September 30, 2019 </w:t>
      </w:r>
      <w:r>
        <w:rPr>
          <w:rFonts w:ascii="Arial" w:cs="Arial" w:eastAsia="Arial" w:hAnsi="Arial"/>
          <w:sz w:val="18"/>
          <w:szCs w:val="18"/>
          <w:i w:val="1"/>
          <w:iCs w:val="1"/>
          <w:color w:val="auto"/>
        </w:rPr>
        <w:t>Revenues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bl>
    <w:p>
      <w:pPr>
        <w:spacing w:after="0" w:line="180" w:lineRule="exact"/>
        <w:rPr>
          <w:sz w:val="20"/>
          <w:szCs w:val="20"/>
          <w:color w:val="auto"/>
        </w:rPr>
      </w:pPr>
    </w:p>
    <w:p>
      <w:pPr>
        <w:ind w:right="220" w:firstLine="510"/>
        <w:spacing w:after="0" w:line="245" w:lineRule="auto"/>
        <w:rPr>
          <w:sz w:val="20"/>
          <w:szCs w:val="20"/>
          <w:color w:val="auto"/>
        </w:rPr>
      </w:pPr>
      <w:r>
        <w:rPr>
          <w:rFonts w:ascii="Arial" w:cs="Arial" w:eastAsia="Arial" w:hAnsi="Arial"/>
          <w:sz w:val="18"/>
          <w:szCs w:val="18"/>
          <w:color w:val="auto"/>
        </w:rPr>
        <w:t>Our total revenues decreased by $ 38.0 million as a result of a $50.9 million decrease in product revenues, partially offset by a $12.9 million increase in service revenues. The product revenue decrease was driven primarily by decreases of $43.5 million in our government systems segment and $7.4 million in our commercial networks segment. The service revenue increase was primarily due to increases of $10.2 million in our satellite services segment and $4.5 million in our government systems segment, partially offset by a decrease of $1.8 million in our commercial networks segment.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bl>
    <w:p>
      <w:pPr>
        <w:spacing w:after="0" w:line="180" w:lineRule="exact"/>
        <w:rPr>
          <w:sz w:val="20"/>
          <w:szCs w:val="20"/>
          <w:color w:val="auto"/>
        </w:rPr>
      </w:pPr>
    </w:p>
    <w:p>
      <w:pPr>
        <w:ind w:firstLine="510"/>
        <w:spacing w:after="0" w:line="245" w:lineRule="auto"/>
        <w:rPr>
          <w:sz w:val="20"/>
          <w:szCs w:val="20"/>
          <w:color w:val="auto"/>
        </w:rPr>
      </w:pPr>
      <w:r>
        <w:rPr>
          <w:rFonts w:ascii="Arial" w:cs="Arial" w:eastAsia="Arial" w:hAnsi="Arial"/>
          <w:sz w:val="18"/>
          <w:szCs w:val="18"/>
          <w:color w:val="auto"/>
        </w:rPr>
        <w:t>Cost of revenues decreased $22.8 million due to a decrease of $ 31.2 million in cost of product revenues, partially offset by an increase of $8.4 million in cost of service revenues. The cost of product revenue decrease primarily related to decreased revenues, causing a $ 37.0 million decrease in cost of product revenues on a constant margin basis, mainly in our government systems segment. The increase in cost of service revenues was primarily due to increased revenues from our fixed broadband services business and lower margins in our in-flight services business reflecting the impact of the COVID-19 pandemic in our satellite services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180" w:lineRule="exact"/>
        <w:rPr>
          <w:sz w:val="20"/>
          <w:szCs w:val="20"/>
          <w:color w:val="auto"/>
        </w:rPr>
      </w:pPr>
    </w:p>
    <w:p>
      <w:pPr>
        <w:ind w:right="120" w:firstLine="510"/>
        <w:spacing w:after="0" w:line="243" w:lineRule="auto"/>
        <w:rPr>
          <w:sz w:val="20"/>
          <w:szCs w:val="20"/>
          <w:color w:val="auto"/>
        </w:rPr>
      </w:pPr>
      <w:r>
        <w:rPr>
          <w:rFonts w:ascii="Arial" w:cs="Arial" w:eastAsia="Arial" w:hAnsi="Arial"/>
          <w:sz w:val="18"/>
          <w:szCs w:val="18"/>
          <w:color w:val="auto"/>
        </w:rPr>
        <w:t>The $1.9 million decrease in selling, general and administrative (SG&amp;A) expenses was driven by decreases of $4.6 million in selling costs and $1.9 million in bid and proposal costs, partially offset by an increase of $4.6 million in support costs. The decrease in selling costs was reflected primarily in our satellite services segment, and the decrease in bid and proposal costs was driven by our government systems segment. The increase in support costs was mainly from our government systems and commercial networks segments. SG&amp;A expenses consisted primarily of personnel costs and expenses for business development, marketing and sales, bid and proposal, facilities, finance, contract administration and general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19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ind w:right="240" w:firstLine="510"/>
        <w:spacing w:after="0" w:line="248" w:lineRule="auto"/>
        <w:rPr>
          <w:sz w:val="20"/>
          <w:szCs w:val="20"/>
          <w:color w:val="auto"/>
        </w:rPr>
      </w:pPr>
      <w:r>
        <w:rPr>
          <w:rFonts w:ascii="Arial" w:cs="Arial" w:eastAsia="Arial" w:hAnsi="Arial"/>
          <w:sz w:val="18"/>
          <w:szCs w:val="18"/>
          <w:color w:val="auto"/>
        </w:rPr>
        <w:t>The $6.8 million decrease in IR&amp;D expenses was mainly the result of a decrease of $4.9 million in IR&amp;D efforts in our commercial networks segment (primarily related to a decrease in IR&amp;D expenses related to next-generation satellite payload technologies) and a decrease of $1.8 million in our government systems segment (primarily related to a decrease in IR&amp;D expenses related to next-generation dual band mobility solutions).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75" w:lineRule="exact"/>
        <w:rPr>
          <w:sz w:val="20"/>
          <w:szCs w:val="20"/>
          <w:color w:val="auto"/>
        </w:rPr>
      </w:pPr>
    </w:p>
    <w:p>
      <w:pPr>
        <w:ind w:right="40" w:firstLine="510"/>
        <w:spacing w:after="0" w:line="245"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insignificant decrease in amortization of acquired intangible assets in the second quarter of fiscal year 2021 compared to the prior year period was primarily the result of certain acquired intangibles in our satellite services and commercial networks segments becoming fully amortized during the prior fiscal year. Current and expected amortization expense for acquired intangible assets for each of the following periods is as follows:</w:t>
      </w:r>
    </w:p>
    <w:p>
      <w:pPr>
        <w:spacing w:after="0" w:line="261" w:lineRule="exact"/>
        <w:rPr>
          <w:sz w:val="20"/>
          <w:szCs w:val="20"/>
          <w:color w:val="auto"/>
        </w:rPr>
      </w:pPr>
    </w:p>
    <w:tbl>
      <w:tblPr>
        <w:tblLayout w:type="fixed"/>
        <w:tblInd w:w="22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jc w:val="both"/>
        <w:ind w:right="420" w:firstLine="510"/>
        <w:spacing w:after="0" w:line="276" w:lineRule="auto"/>
        <w:rPr>
          <w:sz w:val="20"/>
          <w:szCs w:val="20"/>
          <w:color w:val="auto"/>
        </w:rPr>
      </w:pPr>
      <w:r>
        <w:rPr>
          <w:rFonts w:ascii="Arial" w:cs="Arial" w:eastAsia="Arial" w:hAnsi="Arial"/>
          <w:sz w:val="18"/>
          <w:szCs w:val="18"/>
          <w:color w:val="auto"/>
        </w:rPr>
        <w:t>The slight decrease in interest income for the three months ended September 30, 2020 compared to the prior year period was the result of lower interest rates during the second quarter of fiscal year 2021 compared to the prior 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jc w:val="both"/>
        <w:ind w:right="400" w:firstLine="510"/>
        <w:spacing w:after="0" w:line="250" w:lineRule="auto"/>
        <w:rPr>
          <w:sz w:val="20"/>
          <w:szCs w:val="20"/>
          <w:color w:val="auto"/>
        </w:rPr>
      </w:pPr>
      <w:r>
        <w:rPr>
          <w:rFonts w:ascii="Arial" w:cs="Arial" w:eastAsia="Arial" w:hAnsi="Arial"/>
          <w:sz w:val="18"/>
          <w:szCs w:val="18"/>
          <w:color w:val="auto"/>
        </w:rPr>
        <w:t>Interest expense for the three months ended September 30, 2020 was relatively flat compared to the prior year period. The slight increase was primarily due to an increase in interest expense attributable to our 6.500% Senior Notes due 2028 (the 2028 Notes), which were issued in the first quarter of fiscal year 2021, partially offset by an increase in the amount of interest capitalized during the second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of fiscal year 2021 compared to the prior year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5" w:lineRule="exact"/>
        <w:rPr>
          <w:sz w:val="20"/>
          <w:szCs w:val="20"/>
          <w:color w:val="auto"/>
        </w:rPr>
      </w:pPr>
    </w:p>
    <w:p>
      <w:pPr>
        <w:ind w:right="660" w:firstLine="510"/>
        <w:spacing w:after="0" w:line="247" w:lineRule="auto"/>
        <w:rPr>
          <w:sz w:val="20"/>
          <w:szCs w:val="20"/>
          <w:color w:val="auto"/>
        </w:rPr>
      </w:pPr>
      <w:r>
        <w:rPr>
          <w:rFonts w:ascii="Arial" w:cs="Arial" w:eastAsia="Arial" w:hAnsi="Arial"/>
          <w:sz w:val="18"/>
          <w:szCs w:val="18"/>
          <w:color w:val="auto"/>
        </w:rPr>
        <w:t>For the three months ended September 30, 2020, we recorded an income tax benefit of an insignificant amount, resulting in an effective tax benefit rate of negative 23%. For the three months ended September 30, 2019, we recorded an income tax expense of</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$2.4 million, resulting in an effective tax rate of 26%. The effective tax rates for the periods differed from the U.S. statutory rate due primarily to the benefit of federal and state R&amp;D tax credits.</w:t>
      </w:r>
    </w:p>
    <w:p>
      <w:pPr>
        <w:spacing w:after="0" w:line="114"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three months ended September 30, 2020 and 2019 by applying the actual effective tax rates to the income for the three-month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2020 vs. Three Months Ended September 30, 2019</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r>
      <w:tr>
        <w:trPr>
          <w:trHeight w:val="43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80" w:type="dxa"/>
            <w:vAlign w:val="bottom"/>
            <w:gridSpan w:val="3"/>
          </w:tcPr>
          <w:p>
            <w:pPr>
              <w:jc w:val="right"/>
              <w:ind w:right="136"/>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4" w:name="page45"/>
    <w:bookmarkEnd w:id="44"/>
    <w:p>
      <w:pPr>
        <w:ind w:firstLine="510"/>
        <w:spacing w:after="0" w:line="239" w:lineRule="auto"/>
        <w:rPr>
          <w:sz w:val="20"/>
          <w:szCs w:val="20"/>
          <w:color w:val="auto"/>
        </w:rPr>
      </w:pPr>
      <w:r>
        <w:rPr>
          <w:rFonts w:ascii="Arial" w:cs="Arial" w:eastAsia="Arial" w:hAnsi="Arial"/>
          <w:sz w:val="18"/>
          <w:szCs w:val="18"/>
          <w:color w:val="auto"/>
        </w:rPr>
        <w:t>Our satellite services segment revenues increased by $10.2 million due to an increase in service revenues. The increase in service revenues was primarily driven by the expansion of our fixed broadband services and higher ARPU when compared to the prior year period, partially offset by a decrease in our IFC services. Total subscribers at September 30, 2020 were approximately 603,000 (excluding subscribers whose service would have ordinarily been terminated in the absence of the federal FCC Pledge and similar state programs we are currently participating in related to the COVID-19 pandemic) compared to 587,000 subscribers at September 30, 2019. The increase in ARPU reflected a higher mix of new and existing subscribers choosing Viasat’s premium highest speed plans. The in-flight service revenue decrease was driven primarily by a 21% decrease in the number of commercial aircraft using in-flight services through our IFC systems as of quarter end as a result of the COVID-19 pandemic. In addition, our second quarter fiscal year 2021 in-flight service revenues continued to be impacted by reduced passenger air traffic, the number of inactive installed aircraft and lower capacity on active installed aircraft as a result of the COVID-19 pandemic.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right="160" w:firstLine="510"/>
        <w:spacing w:after="0" w:line="245" w:lineRule="auto"/>
        <w:rPr>
          <w:sz w:val="20"/>
          <w:szCs w:val="20"/>
          <w:color w:val="auto"/>
        </w:rPr>
      </w:pPr>
      <w:r>
        <w:rPr>
          <w:rFonts w:ascii="Arial" w:cs="Arial" w:eastAsia="Arial" w:hAnsi="Arial"/>
          <w:sz w:val="18"/>
          <w:szCs w:val="18"/>
          <w:color w:val="auto"/>
        </w:rPr>
        <w:t>The $6.4 million increase in our satellite services segment operating profit was driven primarily by lower selling costs, and increased revenues with significant flow through resulting in improved margins, reflecting the strength of the low variable costs structure of our fixed broadband services business as the business continues to scale. This was partially offset by lower margins resulting from the negative impact of the COVID-19 pandemic on our in-flight services business and an increase in costs related to our investments in emerging global broadband businesses.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74.1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0"/>
              </w:rPr>
              <w:t>(7.4)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(1.8)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5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88.0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0"/>
              </w:rPr>
              <w:t>(9.1)</w:t>
            </w: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180" w:lineRule="exact"/>
        <w:rPr>
          <w:sz w:val="20"/>
          <w:szCs w:val="20"/>
          <w:color w:val="auto"/>
        </w:rPr>
      </w:pPr>
    </w:p>
    <w:p>
      <w:pPr>
        <w:ind w:right="160" w:firstLine="510"/>
        <w:spacing w:after="0" w:line="243" w:lineRule="auto"/>
        <w:rPr>
          <w:sz w:val="20"/>
          <w:szCs w:val="20"/>
          <w:color w:val="auto"/>
        </w:rPr>
      </w:pPr>
      <w:r>
        <w:rPr>
          <w:rFonts w:ascii="Arial" w:cs="Arial" w:eastAsia="Arial" w:hAnsi="Arial"/>
          <w:sz w:val="18"/>
          <w:szCs w:val="18"/>
          <w:color w:val="auto"/>
        </w:rPr>
        <w:t>Our commercial networks segment revenues decreased by $9.1 million, primarily due to a $7.4 million decrease in product revenues and a $1.8 million decrease in service revenues. The decrease in product revenues was primarily due to a decrease of $ 10.3 million in mobile broadband satellite communication systems products due to decreased IFC terminal deliveries resulting from the severe decline in global air traffic and resulting downturn in the commercial aviation market as a result of the COVID-19 pandemic, partially offset by an increase of $3.0 million in fixed satellite networks products. The decrease in service revenues was primarily driven by a decrease in mobile broadband satellite communications systems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5" w:name="page46"/>
    <w:bookmarkEnd w:id="45"/>
    <w:p>
      <w:pPr>
        <w:ind w:right="60" w:firstLine="510"/>
        <w:spacing w:after="0" w:line="248" w:lineRule="auto"/>
        <w:rPr>
          <w:sz w:val="20"/>
          <w:szCs w:val="20"/>
          <w:color w:val="auto"/>
        </w:rPr>
      </w:pPr>
      <w:r>
        <w:rPr>
          <w:rFonts w:ascii="Arial" w:cs="Arial" w:eastAsia="Arial" w:hAnsi="Arial"/>
          <w:sz w:val="18"/>
          <w:szCs w:val="18"/>
          <w:color w:val="auto"/>
        </w:rPr>
        <w:t>The $1.4 million reduction in our commercial networks segment operating loss was driven primarily by a $4.9 million decrease in IR&amp;D expenses (primarily related to next-generation satellite payload technologies), partially offset by a $1.4 million increase in SG&amp;A costs. The reduction in operating loss was partially offset by lower earnings contributions of $2.0 million, primarily driven by decreased revenues and lower margins in our mobile broadband satellite communication systems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bl>
    <w:p>
      <w:pPr>
        <w:spacing w:after="0" w:line="180"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Our government systems segment revenues decreased by $39.0 million due to a decrease of $43.5 million in product revenues, partially offset by an increase of $4.5 million in service revenues. The decrease in product revenues was mainly due to a $13.7 million decrease in government mobile broadband products, an $11.2 million decrease in government satellite communication systems products, a $10.8 million decrease in tactical satcom radio products and a $9.7 million decrease in tactical data link products, partially offset by a $2.0 million increase in cybersecurity and information assurance products. Our government systems segment continued to show some impacts from the pandemic, which has somewhat complicated product manufacturing and shipments, but new government systems segment awards remained very strong through the end of the second quarter of fiscal year 2021. The service revenue increase was primarily due to a $3.2 million increase in government mobile broadband services.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19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62.1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53" w:lineRule="exact"/>
        <w:rPr>
          <w:sz w:val="20"/>
          <w:szCs w:val="20"/>
          <w:color w:val="auto"/>
        </w:rPr>
      </w:pPr>
    </w:p>
    <w:p>
      <w:pPr>
        <w:ind w:right="160" w:firstLine="510"/>
        <w:spacing w:after="0" w:line="248" w:lineRule="auto"/>
        <w:rPr>
          <w:sz w:val="20"/>
          <w:szCs w:val="20"/>
          <w:color w:val="auto"/>
        </w:rPr>
      </w:pPr>
      <w:r>
        <w:rPr>
          <w:rFonts w:ascii="Arial" w:cs="Arial" w:eastAsia="Arial" w:hAnsi="Arial"/>
          <w:sz w:val="18"/>
          <w:szCs w:val="18"/>
          <w:color w:val="auto"/>
        </w:rPr>
        <w:t>The $14.3 million decrease in our government systems segment operating profit was primarily due to lower earnings contributions of $15.7 million, primarily due to a decrease in revenues in our government mobile broadband products, government satellite communication systems products, tactical satcom radio products and tactical data link products, and lower margins from our government mobile broadband products and tactical satcom radio products. This decrease was partially offset by lower IR&amp;D costs of $1.8 million.</w:t>
      </w:r>
    </w:p>
    <w:p>
      <w:pPr>
        <w:spacing w:after="0" w:line="182" w:lineRule="exact"/>
        <w:rPr>
          <w:sz w:val="20"/>
          <w:szCs w:val="20"/>
          <w:color w:val="auto"/>
        </w:rPr>
      </w:pPr>
    </w:p>
    <w:p>
      <w:pPr>
        <w:ind w:right="4300"/>
        <w:spacing w:after="0" w:line="356" w:lineRule="auto"/>
        <w:rPr>
          <w:sz w:val="20"/>
          <w:szCs w:val="20"/>
          <w:color w:val="auto"/>
        </w:rPr>
      </w:pPr>
      <w:r>
        <w:rPr>
          <w:rFonts w:ascii="Arial" w:cs="Arial" w:eastAsia="Arial" w:hAnsi="Arial"/>
          <w:sz w:val="18"/>
          <w:szCs w:val="18"/>
          <w:b w:val="1"/>
          <w:bCs w:val="1"/>
          <w:color w:val="auto"/>
        </w:rPr>
        <w:t xml:space="preserve">Six Months Ended September 30, 2020 vs. Six Months Ended September 30, 2019 </w:t>
      </w:r>
      <w:r>
        <w:rPr>
          <w:rFonts w:ascii="Arial" w:cs="Arial" w:eastAsia="Arial" w:hAnsi="Arial"/>
          <w:sz w:val="18"/>
          <w:szCs w:val="18"/>
          <w:i w:val="1"/>
          <w:iCs w:val="1"/>
          <w:color w:val="auto"/>
        </w:rPr>
        <w:t>Revenues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3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20" w:type="dxa"/>
            <w:vAlign w:val="bottom"/>
            <w:gridSpan w:val="3"/>
          </w:tcPr>
          <w:p>
            <w:pPr>
              <w:jc w:val="right"/>
              <w:ind w:right="76"/>
              <w:spacing w:after="0"/>
              <w:rPr>
                <w:sz w:val="20"/>
                <w:szCs w:val="20"/>
                <w:color w:val="auto"/>
              </w:rPr>
            </w:pPr>
            <w:r>
              <w:rPr>
                <w:rFonts w:ascii="Arial" w:cs="Arial" w:eastAsia="Arial" w:hAnsi="Arial"/>
                <w:sz w:val="18"/>
                <w:szCs w:val="18"/>
                <w:color w:val="auto"/>
              </w:rPr>
              <w:t>46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ind w:right="20" w:firstLine="510"/>
        <w:spacing w:after="0" w:line="243" w:lineRule="auto"/>
        <w:rPr>
          <w:sz w:val="20"/>
          <w:szCs w:val="20"/>
          <w:color w:val="auto"/>
        </w:rPr>
      </w:pPr>
      <w:r>
        <w:rPr>
          <w:rFonts w:ascii="Arial" w:cs="Arial" w:eastAsia="Arial" w:hAnsi="Arial"/>
          <w:sz w:val="18"/>
          <w:szCs w:val="18"/>
          <w:color w:val="auto"/>
        </w:rPr>
        <w:t>Our total revenues decreased by $ 44.5 million as a result of a $63.8 million decrease in product revenues, partially offset by a $19.3 million increase in service revenues. The decrease in product revenues was driven primarily by decreases of $46.7 million in our government systems segment and $17.2 million in our commercial networks segment. The service revenue increase was due to increases of</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$15.3 million in our satellite services segment and $7.8 million in our government systems segment, partially offset by a decrease of $3.8 million in our commercial networks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180" w:lineRule="exact"/>
        <w:rPr>
          <w:sz w:val="20"/>
          <w:szCs w:val="20"/>
          <w:color w:val="auto"/>
        </w:rPr>
      </w:pPr>
    </w:p>
    <w:p>
      <w:pPr>
        <w:ind w:right="80" w:firstLine="510"/>
        <w:spacing w:after="0" w:line="243" w:lineRule="auto"/>
        <w:rPr>
          <w:sz w:val="20"/>
          <w:szCs w:val="20"/>
          <w:color w:val="auto"/>
        </w:rPr>
      </w:pPr>
      <w:r>
        <w:rPr>
          <w:rFonts w:ascii="Arial" w:cs="Arial" w:eastAsia="Arial" w:hAnsi="Arial"/>
          <w:sz w:val="18"/>
          <w:szCs w:val="18"/>
          <w:color w:val="auto"/>
        </w:rPr>
        <w:t>Cost of revenues decreased by $21.7 million due to a decrease of $40.2 million in cost of product revenues, partially offset by an increase of $18.6 million in cost of service revenues. The cost of product revenue decrease was mainly due to decreased revenues, causing a $47.0 million decrease in cost of product revenues on a constant margin basis mainly from revenue decreases in our government systems and commercial networks segments. The cost of service revenue increase primarily related to increased revenues from our fixed broadband services business and lower margins in our in-flight services business reflecting the impact of the COVID-19 pandemic in our satellite services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180" w:lineRule="exact"/>
        <w:rPr>
          <w:sz w:val="20"/>
          <w:szCs w:val="20"/>
          <w:color w:val="auto"/>
        </w:rPr>
      </w:pPr>
    </w:p>
    <w:p>
      <w:pPr>
        <w:ind w:firstLine="510"/>
        <w:spacing w:after="0" w:line="243" w:lineRule="auto"/>
        <w:rPr>
          <w:sz w:val="20"/>
          <w:szCs w:val="20"/>
          <w:color w:val="auto"/>
        </w:rPr>
      </w:pPr>
      <w:r>
        <w:rPr>
          <w:rFonts w:ascii="Arial" w:cs="Arial" w:eastAsia="Arial" w:hAnsi="Arial"/>
          <w:sz w:val="18"/>
          <w:szCs w:val="18"/>
          <w:color w:val="auto"/>
        </w:rPr>
        <w:t>The $6.0 million decrease in SG&amp;A expenses was primarily due to a decrease in selling costs of $7.5 million and a decrease in bid and proposal costs of $4.5 million, partially offset by an increase in support costs of $6.0 million. The decrease in selling costs was primarily driven by our satellite services segment, while the decrease in bid and proposal costs was mainly from our government systems segment. The increase in support costs was primarily driven by our government systems and commercial networks segments. SG&amp;A expenses consisted primarily of personnel costs and expenses for business development, marketing and sales, bid and proposal, facilities, finance, contract administration and general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19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67.8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ind w:right="240" w:firstLine="510"/>
        <w:spacing w:after="0" w:line="248" w:lineRule="auto"/>
        <w:rPr>
          <w:sz w:val="20"/>
          <w:szCs w:val="20"/>
          <w:color w:val="auto"/>
        </w:rPr>
      </w:pPr>
      <w:r>
        <w:rPr>
          <w:rFonts w:ascii="Arial" w:cs="Arial" w:eastAsia="Arial" w:hAnsi="Arial"/>
          <w:sz w:val="18"/>
          <w:szCs w:val="18"/>
          <w:color w:val="auto"/>
        </w:rPr>
        <w:t>The $12.6 million decrease in IR&amp;D expenses was mainly the result of a decrease of $9.3 million in IR&amp;D efforts in our commercial networks segment (primarily related to a decrease in IR&amp;D expenses related to next-generation satellite payload technologies) and a decrease of $3.2 million in our government systems segment (primarily related to a decrease in IR&amp;D expenses related to next-generation dual band mobility solutions).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75" w:lineRule="exact"/>
        <w:rPr>
          <w:sz w:val="20"/>
          <w:szCs w:val="20"/>
          <w:color w:val="auto"/>
        </w:rPr>
      </w:pPr>
    </w:p>
    <w:p>
      <w:pPr>
        <w:ind w:firstLine="510"/>
        <w:spacing w:after="0" w:line="245"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$1.2 million decrease in amortization of acquired intangible assets in the first six months of fiscal year 2021 compared to the prior year period was primarily the result of certain acquired intangibles in our satellite services and commercial networks segments becoming fully amortized during the prior fiscal year. Current and expected amortization expense for acquired intangible assets for each of the following periods is as follows:</w:t>
      </w:r>
    </w:p>
    <w:p>
      <w:pPr>
        <w:spacing w:after="0" w:line="261" w:lineRule="exact"/>
        <w:rPr>
          <w:sz w:val="20"/>
          <w:szCs w:val="20"/>
          <w:color w:val="auto"/>
        </w:rPr>
      </w:pPr>
    </w:p>
    <w:tbl>
      <w:tblPr>
        <w:tblLayout w:type="fixed"/>
        <w:tblInd w:w="22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80" w:firstLine="510"/>
        <w:spacing w:after="0" w:line="276" w:lineRule="auto"/>
        <w:rPr>
          <w:sz w:val="20"/>
          <w:szCs w:val="20"/>
          <w:color w:val="auto"/>
        </w:rPr>
      </w:pPr>
      <w:r>
        <w:rPr>
          <w:rFonts w:ascii="Arial" w:cs="Arial" w:eastAsia="Arial" w:hAnsi="Arial"/>
          <w:sz w:val="18"/>
          <w:szCs w:val="18"/>
          <w:color w:val="auto"/>
        </w:rPr>
        <w:t>The slight decrease in interest income for the six months ended September 30, 2020 compared to the prior year period was the result of lower interest rates during the first six months of fiscal year 2021 compared to the prior 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ind w:right="20" w:firstLine="510"/>
        <w:spacing w:after="0" w:line="245" w:lineRule="auto"/>
        <w:rPr>
          <w:sz w:val="20"/>
          <w:szCs w:val="20"/>
          <w:color w:val="auto"/>
        </w:rPr>
      </w:pPr>
      <w:r>
        <w:rPr>
          <w:rFonts w:ascii="Arial" w:cs="Arial" w:eastAsia="Arial" w:hAnsi="Arial"/>
          <w:sz w:val="18"/>
          <w:szCs w:val="18"/>
          <w:color w:val="auto"/>
        </w:rPr>
        <w:t>The $1.4 million decrease in interest expense in the six months ended September 30, 2020 compared to the prior year period was primarily due to an increase in the amount of interest capitalized during the first half of fiscal year 2021 compared to the prior year period. This decrease in interest expense was partially offset by the addition of interest expense relating to the 2028 Notes, which were issued in the first quarter of fiscal year 2021, and higher outstanding borrowings under our Revolving Credit Facility (which outstanding borrowings were repaid during the first quarter of fiscal year 2021 with proceeds from the issuance of the 2028 Notes in June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5" w:lineRule="exact"/>
        <w:rPr>
          <w:sz w:val="20"/>
          <w:szCs w:val="20"/>
          <w:color w:val="auto"/>
        </w:rPr>
      </w:pPr>
    </w:p>
    <w:p>
      <w:pPr>
        <w:jc w:val="both"/>
        <w:ind w:right="140" w:firstLine="510"/>
        <w:spacing w:after="0" w:line="248" w:lineRule="auto"/>
        <w:rPr>
          <w:sz w:val="20"/>
          <w:szCs w:val="20"/>
          <w:color w:val="auto"/>
        </w:rPr>
      </w:pPr>
      <w:r>
        <w:rPr>
          <w:rFonts w:ascii="Arial" w:cs="Arial" w:eastAsia="Arial" w:hAnsi="Arial"/>
          <w:sz w:val="18"/>
          <w:szCs w:val="18"/>
          <w:color w:val="auto"/>
        </w:rPr>
        <w:t>For the six months ended September 30, 2020, we recorded an income tax benefit of $6.4 million, resulting in an effective tax benefit rate of 56%. For the six months ended September 30, 2019, we recorded an income tax benefit of $4.8 million, resulting in an effective tax benefit rate of 53%. The effective tax benefit rates for the periods differed from the U.S. statutory rate due primarily to the benefit of federal and state R&amp;D tax credits.</w:t>
      </w:r>
    </w:p>
    <w:p>
      <w:pPr>
        <w:spacing w:after="0" w:line="116" w:lineRule="exact"/>
        <w:rPr>
          <w:sz w:val="20"/>
          <w:szCs w:val="20"/>
          <w:color w:val="auto"/>
        </w:rPr>
      </w:pPr>
    </w:p>
    <w:p>
      <w:pPr>
        <w:ind w:firstLine="510"/>
        <w:spacing w:after="0" w:line="258" w:lineRule="auto"/>
        <w:rPr>
          <w:sz w:val="20"/>
          <w:szCs w:val="20"/>
          <w:color w:val="auto"/>
        </w:rPr>
      </w:pPr>
      <w:r>
        <w:rPr>
          <w:rFonts w:ascii="Arial" w:cs="Arial" w:eastAsia="Arial" w:hAnsi="Arial"/>
          <w:sz w:val="17"/>
          <w:szCs w:val="17"/>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six months ended September 30, 2020 and 2019 by applying the actual effective tax rates to the loss for the six-month periods.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Segment Results for the Six Months Ended September 30, 2020 vs. Six Months Ended September 30,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bl>
    <w:p>
      <w:pPr>
        <w:spacing w:after="0" w:line="180" w:lineRule="exact"/>
        <w:rPr>
          <w:sz w:val="20"/>
          <w:szCs w:val="20"/>
          <w:color w:val="auto"/>
        </w:rPr>
      </w:pPr>
    </w:p>
    <w:p>
      <w:pPr>
        <w:ind w:right="60" w:firstLine="510"/>
        <w:spacing w:after="0" w:line="239" w:lineRule="auto"/>
        <w:rPr>
          <w:sz w:val="20"/>
          <w:szCs w:val="20"/>
          <w:color w:val="auto"/>
        </w:rPr>
      </w:pPr>
      <w:r>
        <w:rPr>
          <w:rFonts w:ascii="Arial" w:cs="Arial" w:eastAsia="Arial" w:hAnsi="Arial"/>
          <w:sz w:val="18"/>
          <w:szCs w:val="18"/>
          <w:color w:val="auto"/>
        </w:rPr>
        <w:t>Our satellite services segment revenues increased by $15.3 million due to an increase in service revenues. The increase in service revenues was primarily driven by the expansion of our fixed broadband services and higher ARPU when compared to the prior year period, partially offset by a decrease in our IFC services. Total subscribers at September 30, 2020 were approximately 603,000 (excluding subscribers whose service would have ordinarily been terminated in the absence of the federal FCC Pledge and similar state programs we are currently participating in related to the COVID-19 pandemic) compared to 587,000 subscribers at September 30, 2019. The increase in ARPU reflected a higher mix of new and existing subscribers choosing Viasat’s premium highest speed plans. The in-flight service revenue decrease was driven primarily by a 21% decrease in the number of commercial aircraft using in-flight services through our IFC systems as of quarter end as a result of the COVID-19 pandemic. In addition, our first half of fiscal year 2021 in-flight service revenues continued to be impacted by reduced passenger air traffic, the number of inactive installed aircraft and lower capacity on active installed aircraft as a result of the COVID-19 pandemic.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firstLine="510"/>
        <w:spacing w:after="0" w:line="245" w:lineRule="auto"/>
        <w:rPr>
          <w:sz w:val="20"/>
          <w:szCs w:val="20"/>
          <w:color w:val="auto"/>
        </w:rPr>
      </w:pPr>
      <w:r>
        <w:rPr>
          <w:rFonts w:ascii="Arial" w:cs="Arial" w:eastAsia="Arial" w:hAnsi="Arial"/>
          <w:sz w:val="18"/>
          <w:szCs w:val="18"/>
          <w:color w:val="auto"/>
        </w:rPr>
        <w:t>The $6.6 million increase in our satellite services segment operating profit was driven primarily by lower selling and support costs and increased revenues with significant flow through resulting in improved margins, reflecting the strength of the low variable costs structure of our fixed broadband services business as the business continues to scale. This was partially offset by lower margins resulting from the negative impact of the COVID-19 pandemic on our in-flight services business and an increase in costs related to our investments in emerging global broadband businesses.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5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bl>
    <w:p>
      <w:pPr>
        <w:spacing w:after="0" w:line="180" w:lineRule="exact"/>
        <w:rPr>
          <w:sz w:val="20"/>
          <w:szCs w:val="20"/>
          <w:color w:val="auto"/>
        </w:rPr>
      </w:pPr>
    </w:p>
    <w:p>
      <w:pPr>
        <w:ind w:firstLine="510"/>
        <w:spacing w:after="0" w:line="243" w:lineRule="auto"/>
        <w:rPr>
          <w:sz w:val="20"/>
          <w:szCs w:val="20"/>
          <w:color w:val="auto"/>
        </w:rPr>
      </w:pPr>
      <w:r>
        <w:rPr>
          <w:rFonts w:ascii="Arial" w:cs="Arial" w:eastAsia="Arial" w:hAnsi="Arial"/>
          <w:sz w:val="18"/>
          <w:szCs w:val="18"/>
          <w:color w:val="auto"/>
        </w:rPr>
        <w:t>Our commercial networks segment revenues decreased by $21.0 million, primarily due to a $17.2 million decrease in product revenues and a $3.8 million decrease in service revenues. The decrease in product revenues was primarily due to a decrease of $ 26.6 million in mobile broadband satellite communication systems products due to decreased IFC terminal deliveries resulting from the severe decline in global air traffic and resulting downturn in the commercial aviation market as a result of the COVID-19 pandemic, partially offset by an increase of $8.8 million in antenna systems products. The decrease in service revenues was primarily due to a $3.0 million decrease in mobile broadband satellite communication systems services.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12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jc w:val="both"/>
        <w:ind w:right="100" w:firstLine="510"/>
        <w:spacing w:after="0" w:line="248" w:lineRule="auto"/>
        <w:rPr>
          <w:sz w:val="20"/>
          <w:szCs w:val="20"/>
          <w:color w:val="auto"/>
        </w:rPr>
      </w:pPr>
      <w:r>
        <w:rPr>
          <w:rFonts w:ascii="Arial" w:cs="Arial" w:eastAsia="Arial" w:hAnsi="Arial"/>
          <w:sz w:val="18"/>
          <w:szCs w:val="18"/>
          <w:color w:val="auto"/>
        </w:rPr>
        <w:t>Our commercial networks segment operating loss was relatively flat year-over-year. The slight increase in operating loss was driven primarily by a $9.3 million decrease in IR&amp;D expenses (primarily related to next-generation satellite payload technologies). The increase in operating loss was also due to lower earnings contributions of $8.8 million, driven by decreased revenues and lower margins related to our mobile broadband satellite communication systems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bl>
    <w:p>
      <w:pPr>
        <w:spacing w:after="0" w:line="180" w:lineRule="exact"/>
        <w:rPr>
          <w:sz w:val="20"/>
          <w:szCs w:val="20"/>
          <w:color w:val="auto"/>
        </w:rPr>
      </w:pPr>
    </w:p>
    <w:p>
      <w:pPr>
        <w:ind w:firstLine="510"/>
        <w:spacing w:after="0" w:line="241" w:lineRule="auto"/>
        <w:rPr>
          <w:sz w:val="20"/>
          <w:szCs w:val="20"/>
          <w:color w:val="auto"/>
        </w:rPr>
      </w:pPr>
      <w:r>
        <w:rPr>
          <w:rFonts w:ascii="Arial" w:cs="Arial" w:eastAsia="Arial" w:hAnsi="Arial"/>
          <w:sz w:val="18"/>
          <w:szCs w:val="18"/>
          <w:color w:val="auto"/>
        </w:rPr>
        <w:t>Our government systems segment revenues decreased by $38.9 million due to a decrease of $46.7 million in product revenues, partially offset by an increase of $7.8 million in service revenues. The product revenue decrease was primarily driven by a $24.1 million decrease in government mobile broadband products and a $20.2 million decrease in government satellite communication systems products. Our government systems segment continued to show some impacts from the pandemic, which has somewhat complicated product manufacturing and shipments, but new government systems segment awards remained very strong through the first half of the fiscal year. The service revenue increase was primarily due to a $4.6 million increase in government mobile broadband services and a $2.1 million increase in tactical data link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19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53" w:lineRule="exact"/>
        <w:rPr>
          <w:sz w:val="20"/>
          <w:szCs w:val="20"/>
          <w:color w:val="auto"/>
        </w:rPr>
      </w:pPr>
    </w:p>
    <w:p>
      <w:pPr>
        <w:ind w:right="80" w:firstLine="510"/>
        <w:spacing w:after="0" w:line="248" w:lineRule="auto"/>
        <w:rPr>
          <w:sz w:val="20"/>
          <w:szCs w:val="20"/>
          <w:color w:val="auto"/>
        </w:rPr>
      </w:pPr>
      <w:r>
        <w:rPr>
          <w:rFonts w:ascii="Arial" w:cs="Arial" w:eastAsia="Arial" w:hAnsi="Arial"/>
          <w:sz w:val="18"/>
          <w:szCs w:val="18"/>
          <w:color w:val="auto"/>
        </w:rPr>
        <w:t>The $10.7 million decrease in our government systems segment operating profit was primarily due to lower earnings contributions of $13.7 million, primarily due to a decrease in revenues from our government mobile broadband products and government satellite communication systems products, and lower margins from our government mobile broadband products and tactical data link products. This decrease was partially offset by lower IR&amp;D costs of $3.2 million.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51"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Backlog</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increased during the first six months of fiscal year 2021.</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3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gridSpan w:val="5"/>
          </w:tcPr>
          <w:p>
            <w:pPr>
              <w:jc w:val="right"/>
              <w:ind w:right="1094"/>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86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658.8</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2,304.7</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86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w:t>
            </w:r>
          </w:p>
        </w:tc>
        <w:tc>
          <w:tcPr>
            <w:tcW w:w="1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20" w:firstLine="510"/>
        <w:spacing w:after="0" w:line="244" w:lineRule="auto"/>
        <w:rPr>
          <w:sz w:val="20"/>
          <w:szCs w:val="20"/>
          <w:color w:val="auto"/>
        </w:rPr>
      </w:pPr>
      <w:r>
        <w:rPr>
          <w:rFonts w:ascii="Arial" w:cs="Arial" w:eastAsia="Arial" w:hAnsi="Arial"/>
          <w:sz w:val="18"/>
          <w:szCs w:val="18"/>
          <w:color w:val="auto"/>
        </w:rPr>
        <w:t>The firm backlog does not include contract options. Of the $2.3 billion in firm backlog, a little over half is expected to be delivered during the next twelve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September 30, 2020, we had our IFC systems installed and in service on approximately 1,390</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commercial aircraft, of which, due to impacts of the COVID-19 pandemic, approximately 320 were inactive at quarter end. While current airline traffic is still a fraction of the prior year activity, our in-flight services improved modestly in the quarter as airline customers began seeing more passengers return to the air. We expect the negative impact on our IFC business from the pandemic to continue through the remainder of fiscal year 2021 and potentially beyond due to the severe decline in global air traffic and associated grounding of installed aircraft, but to lessen over time with increases in passenger air traffic. We anticipate our IFC services will be activated on approximately 750 additional commercial aircraft under existing customer agreements with commercial airlines.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w:t>
      </w:r>
    </w:p>
    <w:p>
      <w:pPr>
        <w:spacing w:after="0" w:line="1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$730.6 million and $ 1,467.5 million for the three and six months ended September 30, 2020, respectively, compared to approximately $692.3 million and $1,198.1 million for the three and six months ended September 30, 2019, respectively.</w:t>
      </w:r>
    </w:p>
    <w:p>
      <w:pPr>
        <w:spacing w:after="0" w:line="114" w:lineRule="exact"/>
        <w:rPr>
          <w:sz w:val="20"/>
          <w:szCs w:val="20"/>
          <w:color w:val="auto"/>
        </w:rPr>
      </w:pPr>
    </w:p>
    <w:p>
      <w:pPr>
        <w:ind w:right="80" w:firstLine="510"/>
        <w:spacing w:after="0" w:line="24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16" w:lineRule="exact"/>
        <w:rPr>
          <w:sz w:val="20"/>
          <w:szCs w:val="20"/>
          <w:color w:val="auto"/>
        </w:rPr>
      </w:pPr>
    </w:p>
    <w:p>
      <w:pPr>
        <w:ind w:firstLine="510"/>
        <w:spacing w:after="0" w:line="243"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ind w:right="80" w:firstLine="510"/>
        <w:spacing w:after="0" w:line="276"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September 30, 2020, we had $350.4 million in cash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51" w:name="page52"/>
    <w:bookmarkEnd w:id="51"/>
    <w:p>
      <w:pPr>
        <w:ind w:right="100"/>
        <w:spacing w:after="0" w:line="241" w:lineRule="auto"/>
        <w:rPr>
          <w:sz w:val="20"/>
          <w:szCs w:val="20"/>
          <w:color w:val="auto"/>
        </w:rPr>
      </w:pPr>
      <w:r>
        <w:rPr>
          <w:rFonts w:ascii="Arial" w:cs="Arial" w:eastAsia="Arial" w:hAnsi="Arial"/>
          <w:sz w:val="18"/>
          <w:szCs w:val="18"/>
          <w:color w:val="auto"/>
        </w:rPr>
        <w:t>cash equivalents, $416.5 million in working capital, and no outstanding borrowings and borrowing availability of $667.5 million under our Revolving Credit Facility. On July 23, 2020,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 At March 31, 2020, we had $304.3 million in cash and cash equivalents, $441.1 million in working capital, and $390.0 million in principal amount of outstanding borrowings and borrowing availability of $292.7 million under our Revolving Credit Facility. We invest our cash in excess of current operating requirements in short-term, highly liquid bank money market accounts.</w:t>
      </w:r>
    </w:p>
    <w:p>
      <w:pPr>
        <w:spacing w:after="0" w:line="125" w:lineRule="exact"/>
        <w:rPr>
          <w:sz w:val="20"/>
          <w:szCs w:val="20"/>
          <w:color w:val="auto"/>
        </w:rPr>
      </w:pPr>
    </w:p>
    <w:p>
      <w:pPr>
        <w:ind w:right="320" w:firstLine="510"/>
        <w:spacing w:after="0" w:line="24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6"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9" w:lineRule="exact"/>
        <w:rPr>
          <w:sz w:val="20"/>
          <w:szCs w:val="20"/>
          <w:color w:val="auto"/>
        </w:rPr>
      </w:pPr>
    </w:p>
    <w:p>
      <w:pPr>
        <w:ind w:firstLine="510"/>
        <w:spacing w:after="0" w:line="260"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06" w:lineRule="exact"/>
        <w:rPr>
          <w:sz w:val="20"/>
          <w:szCs w:val="20"/>
          <w:color w:val="auto"/>
        </w:rPr>
      </w:pPr>
    </w:p>
    <w:p>
      <w:pPr>
        <w:ind w:right="80" w:firstLine="510"/>
        <w:spacing w:after="0" w:line="258" w:lineRule="auto"/>
        <w:rPr>
          <w:sz w:val="20"/>
          <w:szCs w:val="20"/>
          <w:color w:val="auto"/>
        </w:rPr>
      </w:pPr>
      <w:r>
        <w:rPr>
          <w:rFonts w:ascii="Arial" w:cs="Arial" w:eastAsia="Arial" w:hAnsi="Arial"/>
          <w:sz w:val="17"/>
          <w:szCs w:val="17"/>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Given our current cash position, outlook for funds generated from operations, borrowing availability under our Revolving Credit Facility of $667.5 million, cash needs and debt structure,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63" w:lineRule="exact"/>
        <w:rPr>
          <w:sz w:val="20"/>
          <w:szCs w:val="20"/>
          <w:color w:val="auto"/>
        </w:rPr>
      </w:pPr>
    </w:p>
    <w:p>
      <w:pPr>
        <w:ind w:right="220" w:firstLine="510"/>
        <w:spacing w:after="0"/>
        <w:rPr>
          <w:sz w:val="20"/>
          <w:szCs w:val="20"/>
          <w:color w:val="auto"/>
        </w:rPr>
      </w:pPr>
      <w:r>
        <w:rPr>
          <w:rFonts w:ascii="Arial" w:cs="Arial" w:eastAsia="Arial" w:hAnsi="Arial"/>
          <w:sz w:val="18"/>
          <w:szCs w:val="18"/>
          <w:color w:val="auto"/>
        </w:rPr>
        <w:t>Cash provided by operating activities for the first six months of fiscal year 2021 was $333.5 million compared to $ 183.3 million in the prior year period. This $150.2 million increase was primarily driven by a $133.6 million year-over-year decrease in cash used to fund net operating assets and our operating results (net loss adjusted for depreciation, amortization and other non-cash charges) which resulted in $16.6 million of higher cash provided by operating activities year-over-year. The decrease in cash used to fund net operating assets during the first six months of fiscal year 2021 when compared to the prior year period was primarily due to an increase in cash inflows year-over-year from combined billed and unbilled accounts receivable, net, attributable to the timing of contractual milestones for certain larger development programs in our government systems segment as well as revenue decreases in our in-flight services business in our satellite services segment and an increase in our collections in excess of revenues and deferred revenues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2" w:name="page53"/>
    <w:bookmarkEnd w:id="52"/>
    <w:p>
      <w:pPr>
        <w:ind w:right="280"/>
        <w:spacing w:after="0" w:line="276" w:lineRule="auto"/>
        <w:rPr>
          <w:sz w:val="20"/>
          <w:szCs w:val="20"/>
          <w:color w:val="auto"/>
        </w:rPr>
      </w:pPr>
      <w:r>
        <w:rPr>
          <w:rFonts w:ascii="Arial" w:cs="Arial" w:eastAsia="Arial" w:hAnsi="Arial"/>
          <w:sz w:val="18"/>
          <w:szCs w:val="18"/>
          <w:color w:val="auto"/>
        </w:rPr>
        <w:t>included in accrued liabilities due to the timing of milestone billings for certain larger development projects in our government systems and commercial networks segments.</w:t>
      </w:r>
    </w:p>
    <w:p>
      <w:pPr>
        <w:spacing w:after="0" w:line="91" w:lineRule="exact"/>
        <w:rPr>
          <w:sz w:val="20"/>
          <w:szCs w:val="20"/>
          <w:color w:val="auto"/>
        </w:rPr>
      </w:pPr>
    </w:p>
    <w:p>
      <w:pPr>
        <w:jc w:val="both"/>
        <w:ind w:right="200" w:firstLine="510"/>
        <w:spacing w:after="0" w:line="255" w:lineRule="auto"/>
        <w:rPr>
          <w:sz w:val="20"/>
          <w:szCs w:val="20"/>
          <w:color w:val="auto"/>
        </w:rPr>
      </w:pPr>
      <w:r>
        <w:rPr>
          <w:rFonts w:ascii="Arial" w:cs="Arial" w:eastAsia="Arial" w:hAnsi="Arial"/>
          <w:sz w:val="18"/>
          <w:szCs w:val="18"/>
          <w:color w:val="auto"/>
        </w:rPr>
        <w:t>Cash used in investing activities for the first six months of fiscal year 2021 was $459.9 million compared to $362.7 million in the prior year period. This $97.2 million increase in cash used in investing activities year-over-year reflects an increase of $87.8 million in cash used for satellite construction.</w:t>
      </w:r>
    </w:p>
    <w:p>
      <w:pPr>
        <w:spacing w:after="0" w:line="110" w:lineRule="exact"/>
        <w:rPr>
          <w:sz w:val="20"/>
          <w:szCs w:val="20"/>
          <w:color w:val="auto"/>
        </w:rPr>
      </w:pPr>
    </w:p>
    <w:p>
      <w:pPr>
        <w:ind w:firstLine="510"/>
        <w:spacing w:after="0" w:line="279" w:lineRule="auto"/>
        <w:rPr>
          <w:sz w:val="20"/>
          <w:szCs w:val="20"/>
          <w:color w:val="auto"/>
        </w:rPr>
      </w:pPr>
      <w:r>
        <w:rPr>
          <w:rFonts w:ascii="Arial" w:cs="Arial" w:eastAsia="Arial" w:hAnsi="Arial"/>
          <w:sz w:val="18"/>
          <w:szCs w:val="18"/>
          <w:color w:val="auto"/>
        </w:rPr>
        <w:t>Cash provided by financing activities for the first six months of fiscal year 2021 was $171.9 million compared to $5.2 million for the prior year period. This $166.7 million increase in cash provided by financing activities year-over-year was primarily related to $174.7 million in net proceeds from a private placement of common stock in July 2020 (after deducting offering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6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However, as the services we provide using the new satellite continue to scale, we expect to continue to expand the revenue base for our broadband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We anticipate that we will incur a similar cycle of increased operating costs as we prepare for and launch commercial services on future satellites, including our ViaSat-3 constellation, followed by increases in revenue base and in scale.</w:t>
      </w:r>
    </w:p>
    <w:p>
      <w:pPr>
        <w:spacing w:after="0" w:line="126"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Our first two ViaSat-3 class satellites, which are expected to cover the Americas and the EMEA region, respectively, entered the phase of full construction during the second half of fiscal year 2018. In July 2019, we entered into an agreement with The Boeing Company for the construction and purchase of a third ViaSat-3 class satellite and the integration of our payload technologies into the satellite. This satellite is expected to cover the Asia and Pacific region. We expect our ViaSat-3 constellation, once in service, to provide a substantial amount of capacity and to enable us to deliver affordable connectivity across most of the world. We are making good progress on our ViaSat-3 constellation despite COVID-19 related productivity challenges and are targeting late calendar year 2021 for the launch of ViaSat-3 (Americas). We believe we have adequate sources of funding for the ViaSat-3 class satellites,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22" w:lineRule="exact"/>
        <w:rPr>
          <w:sz w:val="20"/>
          <w:szCs w:val="20"/>
          <w:color w:val="auto"/>
        </w:rPr>
      </w:pPr>
    </w:p>
    <w:p>
      <w:pPr>
        <w:ind w:right="240" w:firstLine="510"/>
        <w:spacing w:after="0" w:line="246" w:lineRule="auto"/>
        <w:rPr>
          <w:sz w:val="20"/>
          <w:szCs w:val="20"/>
          <w:color w:val="auto"/>
        </w:rPr>
      </w:pPr>
      <w:r>
        <w:rPr>
          <w:rFonts w:ascii="Arial" w:cs="Arial" w:eastAsia="Arial" w:hAnsi="Arial"/>
          <w:sz w:val="18"/>
          <w:szCs w:val="18"/>
          <w:color w:val="auto"/>
        </w:rPr>
        <w:t>Our IR&amp;D investments are expected to continue through fiscal year 2021 and beyond relating to ViaSat-3 ground infrastructure and support of our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w:t>
      </w:r>
    </w:p>
    <w:p>
      <w:pPr>
        <w:spacing w:after="0" w:line="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operating performance. In fiscal year 2021, capital expenditures are expected to increase when compared to fiscal year 2020, as we have a third ViaSat-3 class satellite under construction, as well as increased ground network investments related to international expansion.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77" w:lineRule="exact"/>
        <w:rPr>
          <w:sz w:val="20"/>
          <w:szCs w:val="20"/>
          <w:color w:val="auto"/>
        </w:rPr>
      </w:pPr>
    </w:p>
    <w:p>
      <w:pPr>
        <w:ind w:right="40" w:firstLine="510"/>
        <w:spacing w:after="0" w:line="248" w:lineRule="auto"/>
        <w:rPr>
          <w:sz w:val="20"/>
          <w:szCs w:val="20"/>
          <w:color w:val="auto"/>
        </w:rPr>
      </w:pPr>
      <w:r>
        <w:rPr>
          <w:rFonts w:ascii="Arial" w:cs="Arial" w:eastAsia="Arial" w:hAnsi="Arial"/>
          <w:sz w:val="18"/>
          <w:szCs w:val="18"/>
          <w:color w:val="auto"/>
        </w:rPr>
        <w:t>As of September 30, 2020, the Revolving Credit Facility provided a $700.0 million revolving line of credit (including up to $150.0 million of letters of credit), with a maturity date of January 18, 2024. As of September 30, 2020, we had no outstanding borrowings under the Revolving Credit Facility and $32.5 million outstanding under standby letters of credit, leaving borrowing availability under the Revolving Credit Facility as of September 30, 2020 of $667.5 million.</w:t>
      </w:r>
    </w:p>
    <w:p>
      <w:pPr>
        <w:spacing w:after="0" w:line="116" w:lineRule="exact"/>
        <w:rPr>
          <w:sz w:val="20"/>
          <w:szCs w:val="20"/>
          <w:color w:val="auto"/>
        </w:rPr>
      </w:pPr>
    </w:p>
    <w:p>
      <w:pPr>
        <w:ind w:firstLine="510"/>
        <w:spacing w:after="0" w:line="248"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3" w:name="page54"/>
    <w:bookmarkEnd w:id="53"/>
    <w:p>
      <w:pPr>
        <w:ind w:right="400"/>
        <w:spacing w:after="0" w:line="276" w:lineRule="auto"/>
        <w:rPr>
          <w:sz w:val="20"/>
          <w:szCs w:val="20"/>
          <w:color w:val="auto"/>
        </w:rPr>
      </w:pPr>
      <w:r>
        <w:rPr>
          <w:rFonts w:ascii="Arial" w:cs="Arial" w:eastAsia="Arial" w:hAnsi="Arial"/>
          <w:sz w:val="18"/>
          <w:szCs w:val="18"/>
          <w:color w:val="auto"/>
        </w:rPr>
        <w:t>Viasat (as defined in the Revolving Credit Facility) and secured by substantially all of our assets. As of September 30, 2020, none of our subsidiaries guaranteed the Revolving Credit Facility.</w:t>
      </w:r>
    </w:p>
    <w:p>
      <w:pPr>
        <w:spacing w:after="0" w:line="9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77" w:lineRule="exact"/>
        <w:rPr>
          <w:sz w:val="20"/>
          <w:szCs w:val="20"/>
          <w:color w:val="auto"/>
        </w:rPr>
      </w:pPr>
    </w:p>
    <w:p>
      <w:pPr>
        <w:ind w:firstLine="510"/>
        <w:spacing w:after="0" w:line="243"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At September 30, 2020, we had $108.1 million in principal amount of outstanding borrowings under the Ex-Im Credit Facility.</w:t>
      </w:r>
    </w:p>
    <w:p>
      <w:pPr>
        <w:spacing w:after="0" w:line="120"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fiscal years 2019 and 2020, we received an aggregate of $188.0 million of insurance proceeds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2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10" w:lineRule="exact"/>
        <w:rPr>
          <w:sz w:val="20"/>
          <w:szCs w:val="20"/>
          <w:color w:val="auto"/>
        </w:rPr>
      </w:pPr>
    </w:p>
    <w:p>
      <w:pPr>
        <w:ind w:right="20" w:firstLine="510"/>
        <w:spacing w:after="0" w:line="245"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75" w:lineRule="exact"/>
        <w:rPr>
          <w:sz w:val="20"/>
          <w:szCs w:val="20"/>
          <w:color w:val="auto"/>
        </w:rPr>
      </w:pPr>
    </w:p>
    <w:p>
      <w:pPr>
        <w:ind w:right="40" w:firstLine="510"/>
        <w:spacing w:after="0" w:line="245" w:lineRule="auto"/>
        <w:rPr>
          <w:sz w:val="20"/>
          <w:szCs w:val="20"/>
          <w:color w:val="auto"/>
        </w:rPr>
      </w:pPr>
      <w:r>
        <w:rPr>
          <w:rFonts w:ascii="Arial" w:cs="Arial" w:eastAsia="Arial" w:hAnsi="Arial"/>
          <w:sz w:val="18"/>
          <w:szCs w:val="18"/>
          <w:color w:val="auto"/>
        </w:rPr>
        <w:t>In June 2020, we issued $400.0 million in principal amount of 2028 Notes in a private placement to institutional buyers. The 2028 Notes were issued at face value and are recorded as long-term debt, net of debt issuance costs, in our condensed consolidated financial statements. The 2028 Notes bear interest at the rate of 6.500% per year, payable semi-annually in cash in arrears, which interest payments will commence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18" w:lineRule="exact"/>
        <w:rPr>
          <w:sz w:val="20"/>
          <w:szCs w:val="20"/>
          <w:color w:val="auto"/>
        </w:rPr>
      </w:pPr>
    </w:p>
    <w:p>
      <w:pPr>
        <w:ind w:right="40" w:firstLine="510"/>
        <w:spacing w:after="0" w:line="241" w:lineRule="auto"/>
        <w:rPr>
          <w:sz w:val="20"/>
          <w:szCs w:val="20"/>
          <w:color w:val="auto"/>
        </w:rPr>
      </w:pPr>
      <w:r>
        <w:rPr>
          <w:rFonts w:ascii="Arial" w:cs="Arial" w:eastAsia="Arial" w:hAnsi="Arial"/>
          <w:sz w:val="18"/>
          <w:szCs w:val="18"/>
          <w:color w:val="auto"/>
        </w:rPr>
        <w:t>The 2028 Notes are required to be guaranteed on an unsecured senior basis by each of our existing and future subsidiaries that guarantees the Revolving Credit Facility. As of September 30, 2020, none of our subsidiaries guaranteed the 2028 Notes. The 2028 Notes are our general senior unsecured obligations and rank equally in right of payment with all of our existing and future unsecured unsubordinated debt. The 2028 Notes are effectively junior in right of payment to our existing and future secured debt, including under the Revolving Credit Facility and the Ex-Im Credit Facility (collectively, our Credit Facilities) and the 2027 Notes (to the extent of the value of the assets securing such debt), are structurally subordinated to all existing and future liabilities (including trade payables) of our subsidiaries that do not guarantee the 2028 Notes, and are senior in right of payment to all of our existing and future subordinated indebtedness.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81" w:right="379" w:bottom="1440" w:gutter="0" w:footer="0" w:header="0"/>
        </w:sectPr>
      </w:pPr>
    </w:p>
    <w:bookmarkStart w:id="54" w:name="page55"/>
    <w:bookmarkEnd w:id="54"/>
    <w:p>
      <w:pPr>
        <w:ind w:right="40" w:firstLine="510"/>
        <w:spacing w:after="0" w:line="245" w:lineRule="auto"/>
        <w:rPr>
          <w:sz w:val="20"/>
          <w:szCs w:val="20"/>
          <w:color w:val="auto"/>
        </w:rPr>
      </w:pPr>
      <w:r>
        <w:rPr>
          <w:rFonts w:ascii="Arial" w:cs="Arial" w:eastAsia="Arial" w:hAnsi="Arial"/>
          <w:sz w:val="18"/>
          <w:szCs w:val="18"/>
          <w:color w:val="auto"/>
        </w:rPr>
        <w:t>The indenture governing the 2028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18"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Prior to July 15, 2023, we may redeem up to 40% of the 2028 Notes at a redemption price of 106.500% of the principal amount thereof, plus accrued and unpaid interest, if any, thereon to the redemption date, from the net cash proceeds of specified equity offerings. We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22" w:lineRule="exact"/>
        <w:rPr>
          <w:sz w:val="20"/>
          <w:szCs w:val="20"/>
          <w:color w:val="auto"/>
        </w:rPr>
      </w:pPr>
    </w:p>
    <w:p>
      <w:pPr>
        <w:ind w:right="140" w:firstLine="510"/>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us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6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7"/>
          <w:szCs w:val="17"/>
          <w:color w:val="auto"/>
        </w:rPr>
        <w:t>In March 2019, we issued $600.0 million in principal amount of 2027 Notes in a private placement to institutional buyers. The 2027 Notes were issued at face value and are recorded as long-term debt, net of debt issuance costs, in our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03"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The 2027 Notes are required to be guaranteed on a senior secured basis by each of our existing and future subsidiaries that guarantees the Revolving Credit Facility. As of September 30, 2020, none of our subsidiaries guaranteed the 2027 Notes. The 2027 Notes are secured, equally and ratably with the Revolving Credit Facility and any future parity lien debt, by liens on substantially all of our assets.</w:t>
      </w:r>
    </w:p>
    <w:p>
      <w:pPr>
        <w:spacing w:after="0" w:line="110" w:lineRule="exact"/>
        <w:rPr>
          <w:sz w:val="20"/>
          <w:szCs w:val="20"/>
          <w:color w:val="auto"/>
        </w:rPr>
      </w:pPr>
    </w:p>
    <w:p>
      <w:pPr>
        <w:ind w:right="120" w:firstLine="510"/>
        <w:spacing w:after="0" w:line="241"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our 5.625% Senior Notes due 2025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125" w:lineRule="exact"/>
        <w:rPr>
          <w:sz w:val="20"/>
          <w:szCs w:val="20"/>
          <w:color w:val="auto"/>
        </w:rPr>
      </w:pPr>
    </w:p>
    <w:p>
      <w:pPr>
        <w:ind w:right="40" w:firstLine="510"/>
        <w:spacing w:after="0" w:line="245"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5" w:name="page56"/>
    <w:bookmarkEnd w:id="55"/>
    <w:p>
      <w:pPr>
        <w:ind w:firstLine="510"/>
        <w:spacing w:after="0" w:line="239" w:lineRule="auto"/>
        <w:rPr>
          <w:sz w:val="20"/>
          <w:szCs w:val="20"/>
          <w:color w:val="auto"/>
        </w:rPr>
      </w:pPr>
      <w:r>
        <w:rPr>
          <w:rFonts w:ascii="Arial" w:cs="Arial" w:eastAsia="Arial" w:hAnsi="Arial"/>
          <w:sz w:val="18"/>
          <w:szCs w:val="18"/>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22" w:lineRule="exact"/>
        <w:rPr>
          <w:sz w:val="20"/>
          <w:szCs w:val="20"/>
          <w:color w:val="auto"/>
        </w:rPr>
      </w:pPr>
    </w:p>
    <w:p>
      <w:pPr>
        <w:ind w:right="120" w:firstLine="510"/>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right="260" w:firstLine="510"/>
        <w:spacing w:after="0" w:line="243" w:lineRule="auto"/>
        <w:rPr>
          <w:sz w:val="20"/>
          <w:szCs w:val="20"/>
          <w:color w:val="auto"/>
        </w:rPr>
      </w:pPr>
      <w:r>
        <w:rPr>
          <w:rFonts w:ascii="Arial" w:cs="Arial" w:eastAsia="Arial" w:hAnsi="Arial"/>
          <w:sz w:val="18"/>
          <w:szCs w:val="18"/>
          <w:color w:val="auto"/>
        </w:rPr>
        <w:t>In September 2017, we issued $700.0 million in principal amount of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20" w:lineRule="exact"/>
        <w:rPr>
          <w:sz w:val="20"/>
          <w:szCs w:val="20"/>
          <w:color w:val="auto"/>
        </w:rPr>
      </w:pPr>
    </w:p>
    <w:p>
      <w:pPr>
        <w:ind w:right="40" w:firstLine="510"/>
        <w:spacing w:after="0" w:line="241"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September 30, 2020,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our Credit Facilities and the 2027 Notes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25" w:lineRule="exact"/>
        <w:rPr>
          <w:sz w:val="20"/>
          <w:szCs w:val="20"/>
          <w:color w:val="auto"/>
        </w:rPr>
      </w:pPr>
    </w:p>
    <w:p>
      <w:pPr>
        <w:ind w:right="20" w:firstLine="510"/>
        <w:spacing w:after="0" w:line="245"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18" w:lineRule="exact"/>
        <w:rPr>
          <w:sz w:val="20"/>
          <w:szCs w:val="20"/>
          <w:color w:val="auto"/>
        </w:rPr>
      </w:pPr>
    </w:p>
    <w:p>
      <w:pPr>
        <w:ind w:right="120" w:firstLine="510"/>
        <w:spacing w:after="0" w:line="248" w:lineRule="auto"/>
        <w:rPr>
          <w:sz w:val="20"/>
          <w:szCs w:val="20"/>
          <w:color w:val="auto"/>
        </w:rPr>
      </w:pPr>
      <w:r>
        <w:rPr>
          <w:rFonts w:ascii="Arial" w:cs="Arial" w:eastAsia="Arial" w:hAnsi="Arial"/>
          <w:sz w:val="18"/>
          <w:szCs w:val="18"/>
          <w:color w:val="auto"/>
        </w:rPr>
        <w:t>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16" w:lineRule="exact"/>
        <w:rPr>
          <w:sz w:val="20"/>
          <w:szCs w:val="20"/>
          <w:color w:val="auto"/>
        </w:rPr>
      </w:pPr>
    </w:p>
    <w:p>
      <w:pPr>
        <w:ind w:right="120" w:firstLine="510"/>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Contractual Obligations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5"/>
                <w:szCs w:val="15"/>
                <w:color w:val="auto"/>
              </w:rPr>
            </w:pPr>
          </w:p>
        </w:tc>
        <w:tc>
          <w:tcPr>
            <w:tcW w:w="3500" w:type="dxa"/>
            <w:vAlign w:val="bottom"/>
            <w:gridSpan w:val="8"/>
          </w:tcPr>
          <w:p>
            <w:pPr>
              <w:ind w:left="680"/>
              <w:spacing w:after="0"/>
              <w:rPr>
                <w:sz w:val="20"/>
                <w:szCs w:val="20"/>
                <w:color w:val="auto"/>
              </w:rPr>
            </w:pPr>
            <w:r>
              <w:rPr>
                <w:rFonts w:ascii="Arial" w:cs="Arial" w:eastAsia="Arial" w:hAnsi="Arial"/>
                <w:sz w:val="14"/>
                <w:szCs w:val="14"/>
                <w:b w:val="1"/>
                <w:bCs w:val="1"/>
                <w:color w:val="auto"/>
              </w:rPr>
              <w:t>For the Fiscal Years Ending</w:t>
            </w:r>
          </w:p>
        </w:tc>
      </w:tr>
      <w:tr>
        <w:trPr>
          <w:trHeight w:val="169"/>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4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2022-2023</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2024-2025</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210"/>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470,781</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128,602</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118,818</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2028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491,000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2027 Notes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836,250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684,375</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2025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896,876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719,688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18"/>
                <w:szCs w:val="18"/>
                <w:color w:val="auto"/>
              </w:rPr>
            </w:pPr>
          </w:p>
        </w:tc>
      </w:tr>
      <w:tr>
        <w:trPr>
          <w:trHeight w:val="193"/>
        </w:trPr>
        <w:tc>
          <w:tcPr>
            <w:tcW w:w="514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Purchase commitments including satellite-related</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51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agreements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1,622,599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660,586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858,283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76,083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27,647</w:t>
            </w:r>
          </w:p>
        </w:tc>
        <w:tc>
          <w:tcPr>
            <w:tcW w:w="100" w:type="dxa"/>
            <w:vAlign w:val="bottom"/>
            <w:shd w:val="clear" w:color="auto" w:fill="CFF0FC"/>
          </w:tcPr>
          <w:p>
            <w:pPr>
              <w:spacing w:after="0"/>
              <w:rPr>
                <w:sz w:val="19"/>
                <w:szCs w:val="19"/>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4,659,526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768,387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1,262,444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469,318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2,159,377</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80" w:firstLine="510"/>
        <w:spacing w:after="0" w:line="241"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25"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Our condensed consolidated balance sheets included $143.4 million and $120.9 million of “other liabilities” as of September 30, 2020 and March 31, 2020, respectively, which primarily consisted of the long-term portion of deferred revenues, the long-term portion of our satellite performance incentive obligations relating to the ViaSat-1 and ViaSat-2 satellites and our long-term warranty obligations.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included in our Annual Report on Form 10-K for the year ended March 31, 2020 for additional information regarding satellite performance incentive obligations relating to the ViaSat-1 and ViaSat-2 satellites. See Note 8 — Product Warranty to our condensed consolidated financial statements for a discussion of our product warranties.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6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had no material off-balance sheet arrangements at September 30, 2020 as defined in Regulation S-K Item 303(a)(4) other than as discussed under “Contractual Obligations” above or disclosed in the notes to our condensed consolidated financial statements included in this report or in our Annual Report on Form 10-K for the year ended March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5" w:lineRule="exact"/>
        <w:rPr>
          <w:sz w:val="20"/>
          <w:szCs w:val="20"/>
          <w:color w:val="auto"/>
        </w:rPr>
      </w:pPr>
    </w:p>
    <w:p>
      <w:pPr>
        <w:ind w:right="640" w:firstLine="510"/>
        <w:spacing w:after="0" w:line="27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57" w:name="page58"/>
    <w:bookmarkEnd w:id="57"/>
    <w:p>
      <w:pPr>
        <w:ind w:right="5540"/>
        <w:spacing w:after="0" w:line="322"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120" w:firstLine="510"/>
        <w:spacing w:after="0"/>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the 2027 Notes and the 2028 Notes, and foreign currency forward contracts. We consider investments in highly liquid instruments purchased with a remaining maturity of three months or less at the date of purchase to be cash equivalents. As of September 30, 2020, we had no outstanding borrowings under our Revolving Credit Facility, $108.1 million in principal amount of outstanding borrowings under our Ex-Im Credit Facility, $700.0 million in aggregate principal amount outstanding of the 2025 Notes, $600.0 million in aggregate principal amount outstanding of the 2027 Notes and $ 400.0 million in aggregate principal amount outstanding of the 2028 Notes, and we held no short-term investments. Our 2025 Notes, 2027 Notes, 2028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22"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and six months ended September 30, 2020 and 2019.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2" w:lineRule="exact"/>
        <w:rPr>
          <w:sz w:val="20"/>
          <w:szCs w:val="20"/>
          <w:color w:val="auto"/>
        </w:rPr>
      </w:pPr>
    </w:p>
    <w:p>
      <w:pPr>
        <w:ind w:right="160" w:firstLine="510"/>
        <w:spacing w:after="0" w:line="245"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September 30, 2020 that would have been applied to any new Eurodollar-based borrowings under the Revolving Credit Facility was approximately 2.11%. As of September 30, 2020, we had no outstanding borrowings under our Revolving Credit Facility. Accordingly, assuming the outstanding balance remained constant over a year changes in the interest rates applicable to our Revolving Credit Facility would have no effect on our interest incurred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79"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income (loss) before income taxes by an insignificant amount for the three and six months ended September 30, 2020 and 2019.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and March 31, 2020, we had no foreign currency forward contracts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9" w:lineRule="exact"/>
        <w:rPr>
          <w:sz w:val="20"/>
          <w:szCs w:val="20"/>
          <w:color w:val="auto"/>
        </w:rPr>
      </w:pPr>
    </w:p>
    <w:p>
      <w:pPr>
        <w:ind w:right="80" w:firstLine="510"/>
        <w:spacing w:after="0" w:line="241"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5" w:lineRule="exact"/>
        <w:rPr>
          <w:sz w:val="20"/>
          <w:szCs w:val="20"/>
          <w:color w:val="auto"/>
        </w:rPr>
      </w:pPr>
    </w:p>
    <w:p>
      <w:pPr>
        <w:ind w:firstLine="510"/>
        <w:spacing w:after="0" w:line="24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2020, the end of the period covered by this report. Based upon the foregoing, our Chief Executive Officer and Chief Financial Officer concluded that our disclosure controls and procedures were effective at a reasonable assurance level as of September 30, 2020.</w:t>
      </w:r>
    </w:p>
    <w:p>
      <w:pPr>
        <w:spacing w:after="0" w:line="116" w:lineRule="exact"/>
        <w:rPr>
          <w:sz w:val="20"/>
          <w:szCs w:val="20"/>
          <w:color w:val="auto"/>
        </w:rPr>
      </w:pPr>
    </w:p>
    <w:p>
      <w:pPr>
        <w:ind w:right="420" w:firstLine="510"/>
        <w:spacing w:after="0" w:line="27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9"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ind w:right="200" w:firstLine="510"/>
        <w:spacing w:after="0" w:line="24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2020, which factors could materially affect our business, financial condition, liquidity or future results. The risks described in our reports on Forms 10-K and 10 -Q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7"/>
        </w:trPr>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7"/>
        </w:trPr>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8"/>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412"/>
        </w:trPr>
        <w:tc>
          <w:tcPr>
            <w:tcW w:w="940" w:type="dxa"/>
            <w:vAlign w:val="bottom"/>
          </w:tcPr>
          <w:p>
            <w:pPr>
              <w:ind w:left="2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4340" w:type="dxa"/>
            <w:vAlign w:val="bottom"/>
            <w:gridSpan w:val="10"/>
          </w:tcPr>
          <w:p>
            <w:pPr>
              <w:spacing w:after="0"/>
              <w:rPr>
                <w:rFonts w:ascii="Arial" w:cs="Arial" w:eastAsia="Arial" w:hAnsi="Arial"/>
                <w:sz w:val="18"/>
                <w:szCs w:val="18"/>
                <w:color w:val="0000EE"/>
              </w:rPr>
            </w:pPr>
            <w:hyperlink r:id="rId80">
              <w:r>
                <w:rPr>
                  <w:rFonts w:ascii="Arial" w:cs="Arial" w:eastAsia="Arial" w:hAnsi="Arial"/>
                  <w:sz w:val="18"/>
                  <w:szCs w:val="18"/>
                  <w:color w:val="0000EE"/>
                </w:rPr>
                <w:t>1996 Equity Participation Plan of Viasat, Inc. (As</w:t>
              </w:r>
            </w:hyperlink>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2"/>
              <w:spacing w:after="0"/>
              <w:rPr>
                <w:sz w:val="20"/>
                <w:szCs w:val="20"/>
                <w:color w:val="auto"/>
              </w:rPr>
            </w:pPr>
            <w:r>
              <w:rPr>
                <w:rFonts w:ascii="Arial" w:cs="Arial" w:eastAsia="Arial" w:hAnsi="Arial"/>
                <w:sz w:val="18"/>
                <w:szCs w:val="18"/>
                <w:color w:val="auto"/>
              </w:rPr>
              <w:t>000-21767</w:t>
            </w:r>
          </w:p>
        </w:tc>
        <w:tc>
          <w:tcPr>
            <w:tcW w:w="12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9/9/2020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Amended and Restated Effective September 3,</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2020)</w:t>
              </w:r>
            </w:hyperlink>
          </w:p>
        </w:tc>
        <w:tc>
          <w:tcPr>
            <w:tcW w:w="180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40" w:type="dxa"/>
            <w:vAlign w:val="bottom"/>
          </w:tcPr>
          <w:p>
            <w:pPr>
              <w:ind w:left="2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340" w:type="dxa"/>
            <w:vAlign w:val="bottom"/>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Certification of Chief Executive Officer Pursuant to</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Section 302 of the Sarbanes-Oxley Act of 2002</w:t>
              </w:r>
            </w:hyperlink>
          </w:p>
        </w:tc>
        <w:tc>
          <w:tcPr>
            <w:tcW w:w="32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ind w:left="2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3"/>
                <w:szCs w:val="23"/>
                <w:color w:val="auto"/>
              </w:rPr>
            </w:pPr>
          </w:p>
        </w:tc>
        <w:tc>
          <w:tcPr>
            <w:tcW w:w="434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Certification of Chief Financial Officer Pursuant to</w:t>
              </w:r>
            </w:hyperlink>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Section 302 of the Sarbanes-Oxley Act of 2002</w:t>
              </w:r>
            </w:hyperlink>
          </w:p>
        </w:tc>
        <w:tc>
          <w:tcPr>
            <w:tcW w:w="6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ind w:left="2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3"/>
                <w:szCs w:val="23"/>
                <w:color w:val="auto"/>
              </w:rPr>
            </w:pPr>
          </w:p>
        </w:tc>
        <w:tc>
          <w:tcPr>
            <w:tcW w:w="4340" w:type="dxa"/>
            <w:vAlign w:val="bottom"/>
            <w:gridSpan w:val="1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Certifications Pursuant to 18 U.S.C. Section 1350,</w:t>
              </w:r>
            </w:hyperlink>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as Adopted Pursuant to Section 906 of the</w:t>
              </w:r>
            </w:hyperlink>
          </w:p>
        </w:tc>
        <w:tc>
          <w:tcPr>
            <w:tcW w:w="34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Sarbanes-Oxley Act of 2002</w:t>
              </w:r>
            </w:hyperlink>
          </w:p>
        </w:tc>
        <w:tc>
          <w:tcPr>
            <w:tcW w:w="1120" w:type="dxa"/>
            <w:vAlign w:val="bottom"/>
            <w:tcBorders>
              <w:top w:val="single" w:sz="8" w:color="0000EE"/>
            </w:tcBorders>
          </w:tcPr>
          <w:p>
            <w:pPr>
              <w:spacing w:after="0"/>
              <w:rPr>
                <w:sz w:val="15"/>
                <w:szCs w:val="15"/>
                <w:color w:val="auto"/>
              </w:rPr>
            </w:pPr>
          </w:p>
        </w:tc>
        <w:tc>
          <w:tcPr>
            <w:tcW w:w="960" w:type="dxa"/>
            <w:vAlign w:val="bottom"/>
            <w:gridSpan w:val="7"/>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940" w:type="dxa"/>
            <w:vAlign w:val="bottom"/>
          </w:tcPr>
          <w:p>
            <w:pPr>
              <w:ind w:left="14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10"/>
          </w:tcPr>
          <w:p>
            <w:pPr>
              <w:spacing w:after="0" w:line="202" w:lineRule="exact"/>
              <w:rPr>
                <w:sz w:val="20"/>
                <w:szCs w:val="20"/>
                <w:color w:val="auto"/>
              </w:rPr>
            </w:pPr>
            <w:r>
              <w:rPr>
                <w:rFonts w:ascii="Arial" w:cs="Arial" w:eastAsia="Arial" w:hAnsi="Arial"/>
                <w:sz w:val="18"/>
                <w:szCs w:val="18"/>
                <w:color w:val="auto"/>
              </w:rPr>
              <w:t>document does not appear in the Interactive Data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10"/>
          </w:tcPr>
          <w:p>
            <w:pPr>
              <w:spacing w:after="0" w:line="202" w:lineRule="exact"/>
              <w:rPr>
                <w:sz w:val="20"/>
                <w:szCs w:val="20"/>
                <w:color w:val="auto"/>
              </w:rPr>
            </w:pPr>
            <w:r>
              <w:rPr>
                <w:rFonts w:ascii="Arial" w:cs="Arial" w:eastAsia="Arial" w:hAnsi="Arial"/>
                <w:sz w:val="18"/>
                <w:szCs w:val="18"/>
                <w:color w:val="auto"/>
              </w:rPr>
              <w:t>File because its XBRL tags are embedded within the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document.</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40" w:type="dxa"/>
            <w:vAlign w:val="bottom"/>
          </w:tcPr>
          <w:p>
            <w:pPr>
              <w:ind w:left="14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Linkbase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940" w:type="dxa"/>
            <w:vAlign w:val="bottom"/>
          </w:tcPr>
          <w:p>
            <w:pPr>
              <w:ind w:left="14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Linkbase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40" w:type="dxa"/>
            <w:vAlign w:val="bottom"/>
          </w:tcPr>
          <w:p>
            <w:pPr>
              <w:ind w:left="14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Linkbase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940" w:type="dxa"/>
            <w:vAlign w:val="bottom"/>
          </w:tcPr>
          <w:p>
            <w:pPr>
              <w:ind w:left="1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XBRL and contained in Exhibit 101)</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3"/>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76"/>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0" w:name="page61"/>
    <w:bookmarkEnd w:id="60"/>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51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November 6, 2020</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ICK</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3488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Rick Baldridge</w:t>
      </w:r>
    </w:p>
    <w:p>
      <w:pPr>
        <w:ind w:left="5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3488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Shawn Duffy</w:t>
      </w:r>
    </w:p>
    <w:p>
      <w:pPr>
        <w:ind w:left="574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3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40"/>
          </w:cols>
          <w:pgMar w:left="320" w:top="317" w:right="7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Rick Baldridge, Chief Executive Officer of Viasat, Inc., certify that:</w:t>
      </w:r>
    </w:p>
    <w:p>
      <w:pPr>
        <w:spacing w:after="0" w:line="10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500" w:right="28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8"/>
          <w:szCs w:val="18"/>
          <w:color w:val="auto"/>
        </w:rPr>
      </w:pPr>
    </w:p>
    <w:p>
      <w:pPr>
        <w:ind w:left="500" w:right="6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ind w:left="1000" w:right="300" w:hanging="493"/>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000" w:right="300" w:hanging="493"/>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000" w:right="220" w:hanging="493"/>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ind w:left="1000" w:right="40" w:hanging="493"/>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500" w:right="28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ind w:left="1000" w:right="220" w:hanging="493"/>
        <w:spacing w:after="0" w:line="255"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000" w:right="140" w:hanging="493"/>
        <w:spacing w:after="0" w:line="276"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ICK</w:t>
      </w:r>
      <w:r>
        <w:rPr>
          <w:rFonts w:ascii="Arial" w:cs="Arial" w:eastAsia="Arial" w:hAnsi="Arial"/>
          <w:sz w:val="18"/>
          <w:szCs w:val="18"/>
          <w:color w:val="auto"/>
        </w:rPr>
        <w:t xml:space="preserve"> B</w:t>
      </w:r>
      <w:r>
        <w:rPr>
          <w:rFonts w:ascii="Arial" w:cs="Arial" w:eastAsia="Arial" w:hAnsi="Arial"/>
          <w:sz w:val="12"/>
          <w:szCs w:val="12"/>
          <w:color w:val="auto"/>
        </w:rPr>
        <w:t>A</w:t>
      </w:r>
      <w:r>
        <w:rPr>
          <w:rFonts w:ascii="Arial" w:cs="Arial" w:eastAsia="Arial" w:hAnsi="Arial"/>
          <w:sz w:val="13"/>
          <w:szCs w:val="13"/>
          <w:color w:val="auto"/>
        </w:rPr>
        <w:t>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20320</wp:posOffset>
            </wp:positionV>
            <wp:extent cx="27774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Rick Baldridge</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spacing w:after="0" w:line="1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500" w:right="280" w:hanging="492"/>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8"/>
          <w:szCs w:val="18"/>
          <w:color w:val="auto"/>
        </w:rPr>
      </w:pPr>
    </w:p>
    <w:p>
      <w:pPr>
        <w:ind w:left="500" w:right="60" w:hanging="492"/>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ind w:left="1000" w:right="300" w:hanging="493"/>
        <w:spacing w:after="0" w:line="255"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000" w:right="300" w:hanging="493"/>
        <w:spacing w:after="0" w:line="255"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000" w:right="220" w:hanging="493"/>
        <w:spacing w:after="0" w:line="255"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ind w:left="1000" w:right="40" w:hanging="493"/>
        <w:spacing w:after="0" w:line="255"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500" w:right="280" w:hanging="492"/>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ind w:left="1000" w:right="220" w:hanging="493"/>
        <w:spacing w:after="0" w:line="255"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000" w:right="140" w:hanging="493"/>
        <w:spacing w:after="0" w:line="276"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20320</wp:posOffset>
            </wp:positionV>
            <wp:extent cx="27774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2" w:lineRule="exact"/>
        <w:rPr>
          <w:sz w:val="20"/>
          <w:szCs w:val="20"/>
          <w:color w:val="auto"/>
        </w:rPr>
      </w:pPr>
    </w:p>
    <w:p>
      <w:pPr>
        <w:ind w:left="1000" w:right="60" w:hanging="493"/>
        <w:spacing w:after="0" w:line="255"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2020 (the “Report”) fully complies with the requirements of Section 13(a) or Section 15(d), as applicable, of the Securities Exchange Act of 1934, as amended; and</w:t>
      </w:r>
    </w:p>
    <w:p>
      <w:pPr>
        <w:spacing w:after="0" w:line="55" w:lineRule="exact"/>
        <w:rPr>
          <w:rFonts w:ascii="Arial" w:cs="Arial" w:eastAsia="Arial" w:hAnsi="Arial"/>
          <w:sz w:val="18"/>
          <w:szCs w:val="18"/>
          <w:color w:val="auto"/>
        </w:rPr>
      </w:pPr>
    </w:p>
    <w:p>
      <w:pPr>
        <w:ind w:left="1000" w:right="20" w:hanging="493"/>
        <w:spacing w:after="0" w:line="27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/s/ R</w:t>
      </w:r>
      <w:r>
        <w:rPr>
          <w:rFonts w:ascii="Arial" w:cs="Arial" w:eastAsia="Arial" w:hAnsi="Arial"/>
          <w:sz w:val="13"/>
          <w:szCs w:val="13"/>
          <w:color w:val="auto"/>
        </w:rPr>
        <w:t>ICK</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20320</wp:posOffset>
            </wp:positionV>
            <wp:extent cx="27774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Rick Baldridge</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2" w:lineRule="exact"/>
        <w:rPr>
          <w:sz w:val="20"/>
          <w:szCs w:val="20"/>
          <w:color w:val="auto"/>
        </w:rPr>
      </w:pPr>
    </w:p>
    <w:p>
      <w:pPr>
        <w:ind w:left="1000" w:right="60" w:hanging="493"/>
        <w:spacing w:after="0" w:line="25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2020 (the “Report”) fully complies with the requirements of Section 13(a) or Section 15(d), as applicable, of the Securities Exchange Act of 1934, as amended; and</w:t>
      </w:r>
    </w:p>
    <w:p>
      <w:pPr>
        <w:spacing w:after="0" w:line="55" w:lineRule="exact"/>
        <w:rPr>
          <w:rFonts w:ascii="Arial" w:cs="Arial" w:eastAsia="Arial" w:hAnsi="Arial"/>
          <w:sz w:val="18"/>
          <w:szCs w:val="18"/>
          <w:color w:val="auto"/>
        </w:rPr>
      </w:pPr>
    </w:p>
    <w:p>
      <w:pPr>
        <w:ind w:left="1000" w:right="20" w:hanging="493"/>
        <w:spacing w:after="0" w:line="27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20320</wp:posOffset>
            </wp:positionV>
            <wp:extent cx="27774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emdash "/>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606"/>
    </w:lvl>
  </w:abstractNum>
  <w:abstractNum w:abstractNumId="5">
    <w:nsid w:val="66EF438D"/>
    <w:multiLevelType w:val="hybridMultilevel"/>
    <w:lvl w:ilvl="0">
      <w:lvlJc w:val="left"/>
      <w:lvlText w:val="%1)"/>
      <w:numFmt w:val="decimal"/>
      <w:start w:val="326"/>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emdash "/>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2"/>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0" Type="http://schemas.openxmlformats.org/officeDocument/2006/relationships/hyperlink" Target="http://www.sec.gov/Archives/edgar/data/797721/000119312520242264/d8806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2020-11-06T13:38:39Z</dcterms:created>
  <dcterms:modified xsi:type="dcterms:W3CDTF">2020-11-06T13:38:39Z</dcterms:modified>
</cp:coreProperties>
</file>