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3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46990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420" w:hanging="655"/>
        <w:spacing w:after="0"/>
        <w:tabs>
          <w:tab w:leader="none" w:pos="1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For the fiscal year ended April 1, 2011</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420" w:hanging="625"/>
        <w:spacing w:after="0"/>
        <w:tabs>
          <w:tab w:leader="none" w:pos="14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120"/>
          </w:cols>
          <w:pgMar w:left="220" w:top="127" w:right="559" w:bottom="1440" w:gutter="0" w:footer="0" w:header="0"/>
        </w:sectPr>
      </w:pPr>
    </w:p>
    <w:p>
      <w:pPr>
        <w:spacing w:after="0" w:line="13" w:lineRule="exact"/>
        <w:rPr>
          <w:sz w:val="20"/>
          <w:szCs w:val="20"/>
          <w:color w:val="auto"/>
        </w:rPr>
      </w:pPr>
    </w:p>
    <w:p>
      <w:pPr>
        <w:ind w:left="1420"/>
        <w:spacing w:after="0"/>
        <w:tabs>
          <w:tab w:leader="none" w:pos="34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w:t>
      </w:r>
    </w:p>
    <w:p>
      <w:pPr>
        <w:spacing w:after="0" w:line="57" w:lineRule="exact"/>
        <w:rPr>
          <w:sz w:val="20"/>
          <w:szCs w:val="20"/>
          <w:color w:val="auto"/>
        </w:rPr>
      </w:pPr>
    </w:p>
    <w:p>
      <w:pPr>
        <w:sectPr>
          <w:pgSz w:w="11900" w:h="16838" w:orient="portrait"/>
          <w:cols w:equalWidth="0" w:num="2">
            <w:col w:w="3560" w:space="320"/>
            <w:col w:w="7240"/>
          </w:cols>
          <w:pgMar w:left="220" w:top="127" w:right="559" w:bottom="1440" w:gutter="0" w:footer="0" w:header="0"/>
          <w:type w:val="continuous"/>
        </w:sectPr>
      </w:pPr>
    </w:p>
    <w:p>
      <w:pPr>
        <w:jc w:val="center"/>
        <w:ind w:right="-339"/>
        <w:spacing w:after="0"/>
        <w:rPr>
          <w:sz w:val="20"/>
          <w:szCs w:val="20"/>
          <w:color w:val="auto"/>
        </w:rPr>
      </w:pPr>
      <w:r>
        <w:rPr>
          <w:rFonts w:ascii="Arial" w:cs="Arial" w:eastAsia="Arial" w:hAnsi="Arial"/>
          <w:sz w:val="11"/>
          <w:szCs w:val="11"/>
          <w:b w:val="1"/>
          <w:bCs w:val="1"/>
          <w:color w:val="auto"/>
        </w:rPr>
        <w:t>Commission file number (000-21767)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96520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VIASAT, INC.</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(Exact name of registrant as specified in its charter)</w:t>
      </w:r>
    </w:p>
    <w:p>
      <w:pPr>
        <w:sectPr>
          <w:pgSz w:w="11900" w:h="16838" w:orient="portrait"/>
          <w:cols w:equalWidth="0" w:num="1">
            <w:col w:w="11120"/>
          </w:cols>
          <w:pgMar w:left="220" w:top="127" w:right="559" w:bottom="1440" w:gutter="0" w:footer="0" w:header="0"/>
          <w:type w:val="continuous"/>
        </w:sectPr>
      </w:pPr>
    </w:p>
    <w:p>
      <w:pPr>
        <w:spacing w:after="0" w:line="56" w:lineRule="exact"/>
        <w:rPr>
          <w:sz w:val="20"/>
          <w:szCs w:val="20"/>
          <w:color w:val="auto"/>
        </w:rPr>
      </w:pPr>
    </w:p>
    <w:p>
      <w:pPr>
        <w:ind w:left="278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33-0174996</w:t>
      </w:r>
    </w:p>
    <w:p>
      <w:pPr>
        <w:spacing w:after="0" w:line="31" w:lineRule="exact"/>
        <w:rPr>
          <w:sz w:val="20"/>
          <w:szCs w:val="20"/>
          <w:color w:val="auto"/>
        </w:rPr>
      </w:pPr>
    </w:p>
    <w:p>
      <w:pPr>
        <w:sectPr>
          <w:pgSz w:w="11900" w:h="16838" w:orient="portrait"/>
          <w:cols w:equalWidth="0" w:num="2">
            <w:col w:w="7440" w:space="720"/>
            <w:col w:w="2960"/>
          </w:cols>
          <w:pgMar w:left="220" w:top="127" w:right="559" w:bottom="1440" w:gutter="0" w:footer="0" w:header="0"/>
          <w:type w:val="continuous"/>
        </w:sectPr>
      </w:pPr>
    </w:p>
    <w:p>
      <w:pPr>
        <w:ind w:left="2440"/>
        <w:spacing w:after="0"/>
        <w:rPr>
          <w:sz w:val="20"/>
          <w:szCs w:val="20"/>
          <w:color w:val="auto"/>
        </w:rPr>
      </w:pPr>
      <w:r>
        <w:rPr>
          <w:rFonts w:ascii="Arial" w:cs="Arial" w:eastAsia="Arial" w:hAnsi="Arial"/>
          <w:sz w:val="10"/>
          <w:szCs w:val="10"/>
          <w:i w:val="1"/>
          <w:iCs w:val="1"/>
          <w:color w:val="auto"/>
        </w:rPr>
        <w:t>(State or other jurisdiction of</w:t>
      </w:r>
    </w:p>
    <w:p>
      <w:pPr>
        <w:ind w:left="240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Arial" w:cs="Arial" w:eastAsia="Arial" w:hAnsi="Arial"/>
          <w:sz w:val="10"/>
          <w:szCs w:val="10"/>
          <w:i w:val="1"/>
          <w:iCs w:val="1"/>
          <w:color w:val="auto"/>
        </w:rPr>
        <w:t>(I.R.S. Employer</w:t>
      </w:r>
    </w:p>
    <w:p>
      <w:pPr>
        <w:jc w:val="center"/>
        <w:ind w:right="2260"/>
        <w:spacing w:after="0"/>
        <w:rPr>
          <w:sz w:val="20"/>
          <w:szCs w:val="20"/>
          <w:color w:val="auto"/>
        </w:rPr>
      </w:pPr>
      <w:r>
        <w:rPr>
          <w:rFonts w:ascii="Arial" w:cs="Arial" w:eastAsia="Arial" w:hAnsi="Arial"/>
          <w:sz w:val="9"/>
          <w:szCs w:val="9"/>
          <w:i w:val="1"/>
          <w:iCs w:val="1"/>
          <w:color w:val="auto"/>
        </w:rPr>
        <w:t>Identification No.)</w:t>
      </w:r>
    </w:p>
    <w:p>
      <w:pPr>
        <w:spacing w:after="0" w:line="46" w:lineRule="exact"/>
        <w:rPr>
          <w:sz w:val="20"/>
          <w:szCs w:val="20"/>
          <w:color w:val="auto"/>
        </w:rPr>
      </w:pPr>
    </w:p>
    <w:p>
      <w:pPr>
        <w:sectPr>
          <w:pgSz w:w="11900" w:h="16838" w:orient="portrait"/>
          <w:cols w:equalWidth="0" w:num="2">
            <w:col w:w="7380" w:space="720"/>
            <w:col w:w="302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2"/>
          <w:szCs w:val="12"/>
          <w:b w:val="1"/>
          <w:bCs w:val="1"/>
          <w:color w:val="auto"/>
        </w:rPr>
        <w:t>6155 El Camino Real, Carlsbad,</w:t>
      </w:r>
    </w:p>
    <w:p>
      <w:pPr>
        <w:spacing w:after="0" w:line="31"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California 92009</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(760) 476-2200</w:t>
      </w:r>
    </w:p>
    <w:p>
      <w:pPr>
        <w:sectPr>
          <w:pgSz w:w="11900" w:h="16838" w:orient="portrait"/>
          <w:cols w:equalWidth="0" w:num="1">
            <w:col w:w="11120"/>
          </w:cols>
          <w:pgMar w:left="220" w:top="127" w:right="559" w:bottom="1440" w:gutter="0" w:footer="0" w:header="0"/>
          <w:type w:val="continuous"/>
        </w:sectPr>
      </w:pP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(Address, including zip code, and telephone number, including area code, of principal executive offices)</w:t>
      </w:r>
    </w:p>
    <w:p>
      <w:pPr>
        <w:spacing w:after="0" w:line="70"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125"/>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(Title of Each Class)</w:t>
            </w:r>
          </w:p>
        </w:tc>
        <w:tc>
          <w:tcPr>
            <w:tcW w:w="100" w:type="dxa"/>
            <w:vAlign w:val="bottom"/>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jc w:val="center"/>
              <w:ind w:right="1481"/>
              <w:spacing w:after="0"/>
              <w:rPr>
                <w:sz w:val="20"/>
                <w:szCs w:val="20"/>
                <w:color w:val="auto"/>
              </w:rPr>
            </w:pPr>
            <w:r>
              <w:rPr>
                <w:rFonts w:ascii="Arial" w:cs="Arial" w:eastAsia="Arial" w:hAnsi="Arial"/>
                <w:sz w:val="10"/>
                <w:szCs w:val="10"/>
                <w:b w:val="1"/>
                <w:bCs w:val="1"/>
                <w:color w:val="auto"/>
                <w:w w:val="93"/>
              </w:rPr>
              <w:t>(Name of Each Exchange on which Registered)</w:t>
            </w:r>
          </w:p>
        </w:tc>
      </w:tr>
      <w:tr>
        <w:trPr>
          <w:trHeight w:val="185"/>
        </w:trPr>
        <w:tc>
          <w:tcPr>
            <w:tcW w:w="7040" w:type="dxa"/>
            <w:vAlign w:val="bottom"/>
            <w:gridSpan w:val="3"/>
          </w:tcPr>
          <w:p>
            <w:pPr>
              <w:jc w:val="center"/>
              <w:ind w:right="1640"/>
              <w:spacing w:after="0"/>
              <w:rPr>
                <w:sz w:val="20"/>
                <w:szCs w:val="20"/>
                <w:color w:val="auto"/>
              </w:rPr>
            </w:pPr>
            <w:r>
              <w:rPr>
                <w:rFonts w:ascii="Arial" w:cs="Arial" w:eastAsia="Arial" w:hAnsi="Arial"/>
                <w:sz w:val="13"/>
                <w:szCs w:val="13"/>
                <w:b w:val="1"/>
                <w:bCs w:val="1"/>
                <w:color w:val="auto"/>
                <w:w w:val="91"/>
              </w:rPr>
              <w:t>Common Stock, par value $0.0001 per share</w:t>
            </w:r>
          </w:p>
        </w:tc>
        <w:tc>
          <w:tcPr>
            <w:tcW w:w="3740" w:type="dxa"/>
            <w:vAlign w:val="bottom"/>
          </w:tcPr>
          <w:p>
            <w:pPr>
              <w:jc w:val="center"/>
              <w:ind w:right="1481"/>
              <w:spacing w:after="0"/>
              <w:rPr>
                <w:sz w:val="20"/>
                <w:szCs w:val="20"/>
                <w:color w:val="auto"/>
              </w:rPr>
            </w:pPr>
            <w:r>
              <w:rPr>
                <w:rFonts w:ascii="Arial" w:cs="Arial" w:eastAsia="Arial" w:hAnsi="Arial"/>
                <w:sz w:val="13"/>
                <w:szCs w:val="13"/>
                <w:b w:val="1"/>
                <w:bCs w:val="1"/>
                <w:color w:val="auto"/>
                <w:w w:val="97"/>
              </w:rPr>
              <w:t>The NASDAQ Stock Market LLC</w:t>
            </w:r>
          </w:p>
        </w:tc>
      </w:tr>
      <w:tr>
        <w:trPr>
          <w:trHeight w:val="195"/>
        </w:trPr>
        <w:tc>
          <w:tcPr>
            <w:tcW w:w="7040" w:type="dxa"/>
            <w:vAlign w:val="bottom"/>
            <w:gridSpan w:val="3"/>
          </w:tcPr>
          <w:p>
            <w:pPr>
              <w:jc w:val="center"/>
              <w:ind w:left="3698"/>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3740" w:type="dxa"/>
            <w:vAlign w:val="bottom"/>
          </w:tcPr>
          <w:p>
            <w:pPr>
              <w:spacing w:after="0"/>
              <w:rPr>
                <w:sz w:val="16"/>
                <w:szCs w:val="16"/>
                <w:color w:val="auto"/>
              </w:rPr>
            </w:pPr>
          </w:p>
        </w:tc>
      </w:tr>
      <w:tr>
        <w:trPr>
          <w:trHeight w:val="169"/>
        </w:trPr>
        <w:tc>
          <w:tcPr>
            <w:tcW w:w="7040" w:type="dxa"/>
            <w:vAlign w:val="bottom"/>
            <w:gridSpan w:val="3"/>
          </w:tcPr>
          <w:p>
            <w:pPr>
              <w:jc w:val="center"/>
              <w:ind w:left="3678"/>
              <w:spacing w:after="0"/>
              <w:rPr>
                <w:sz w:val="20"/>
                <w:szCs w:val="20"/>
                <w:color w:val="auto"/>
              </w:rPr>
            </w:pPr>
            <w:r>
              <w:rPr>
                <w:rFonts w:ascii="Arial" w:cs="Arial" w:eastAsia="Arial" w:hAnsi="Arial"/>
                <w:sz w:val="13"/>
                <w:szCs w:val="13"/>
                <w:b w:val="1"/>
                <w:bCs w:val="1"/>
                <w:color w:val="auto"/>
                <w:w w:val="92"/>
              </w:rPr>
              <w:t>None</w:t>
            </w:r>
          </w:p>
        </w:tc>
        <w:tc>
          <w:tcPr>
            <w:tcW w:w="3740" w:type="dxa"/>
            <w:vAlign w:val="bottom"/>
          </w:tcPr>
          <w:p>
            <w:pPr>
              <w:spacing w:after="0"/>
              <w:rPr>
                <w:sz w:val="14"/>
                <w:szCs w:val="14"/>
                <w:color w:val="auto"/>
              </w:rPr>
            </w:pPr>
          </w:p>
        </w:tc>
      </w:tr>
    </w:tbl>
    <w:p>
      <w:pPr>
        <w:spacing w:after="0" w:line="56" w:lineRule="exact"/>
        <w:rPr>
          <w:sz w:val="20"/>
          <w:szCs w:val="20"/>
          <w:color w:val="auto"/>
        </w:rPr>
      </w:pPr>
    </w:p>
    <w:p>
      <w:pPr>
        <w:ind w:left="660"/>
        <w:spacing w:after="0" w:line="138" w:lineRule="exact"/>
        <w:tabs>
          <w:tab w:leader="none" w:pos="780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of 1933. </w:t>
      </w:r>
      <w:r>
        <w:rPr>
          <w:rFonts w:ascii="MS PGothic" w:cs="MS PGothic" w:eastAsia="MS PGothic" w:hAnsi="MS PGothic"/>
          <w:sz w:val="12"/>
          <w:szCs w:val="12"/>
          <w:color w:val="auto"/>
        </w:rPr>
        <w:t>☑</w:t>
      </w:r>
      <w:r>
        <w:rPr>
          <w:rFonts w:ascii="Arial" w:cs="Arial" w:eastAsia="Arial" w:hAnsi="Arial"/>
          <w:sz w:val="12"/>
          <w:szCs w:val="12"/>
          <w:color w:val="auto"/>
        </w:rPr>
        <w:t xml:space="preserve"> Yes</w:t>
        <w:tab/>
        <w:t>o No</w:t>
      </w:r>
    </w:p>
    <w:p>
      <w:pPr>
        <w:spacing w:after="0" w:line="68" w:lineRule="exact"/>
        <w:rPr>
          <w:sz w:val="20"/>
          <w:szCs w:val="20"/>
          <w:color w:val="auto"/>
        </w:rPr>
      </w:pPr>
    </w:p>
    <w:p>
      <w:pPr>
        <w:ind w:left="660"/>
        <w:spacing w:after="0" w:line="138" w:lineRule="exact"/>
        <w:tabs>
          <w:tab w:leader="none" w:pos="854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Securities Exchange Act of 1934. o Yes</w:t>
      </w:r>
      <w:r>
        <w:rPr>
          <w:sz w:val="20"/>
          <w:szCs w:val="20"/>
          <w:color w:val="auto"/>
        </w:rPr>
        <w:tab/>
      </w:r>
      <w:r>
        <w:rPr>
          <w:rFonts w:ascii="MS PGothic" w:cs="MS PGothic" w:eastAsia="MS PGothic" w:hAnsi="MS PGothic"/>
          <w:sz w:val="11"/>
          <w:szCs w:val="11"/>
          <w:color w:val="auto"/>
        </w:rPr>
        <w:t xml:space="preserve">☑ </w:t>
      </w:r>
      <w:r>
        <w:rPr>
          <w:rFonts w:ascii="Arial" w:cs="Arial" w:eastAsia="Arial" w:hAnsi="Arial"/>
          <w:sz w:val="11"/>
          <w:szCs w:val="11"/>
          <w:color w:val="auto"/>
        </w:rPr>
        <w:t>No</w:t>
      </w:r>
    </w:p>
    <w:p>
      <w:pPr>
        <w:spacing w:after="0" w:line="93" w:lineRule="exact"/>
        <w:rPr>
          <w:sz w:val="20"/>
          <w:szCs w:val="20"/>
          <w:color w:val="auto"/>
        </w:rPr>
      </w:pPr>
    </w:p>
    <w:p>
      <w:pPr>
        <w:ind w:left="340" w:right="1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w:t>
      </w:r>
    </w:p>
    <w:p>
      <w:pPr>
        <w:spacing w:after="0" w:line="26" w:lineRule="exact"/>
        <w:rPr>
          <w:sz w:val="20"/>
          <w:szCs w:val="20"/>
          <w:color w:val="auto"/>
        </w:rPr>
      </w:pPr>
    </w:p>
    <w:p>
      <w:pPr>
        <w:ind w:left="340" w:right="2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w:t>
      </w:r>
    </w:p>
    <w:p>
      <w:pPr>
        <w:spacing w:after="0" w:line="26" w:lineRule="exact"/>
        <w:rPr>
          <w:sz w:val="20"/>
          <w:szCs w:val="20"/>
          <w:color w:val="auto"/>
        </w:rPr>
      </w:pPr>
    </w:p>
    <w:p>
      <w:pPr>
        <w:ind w:left="340" w:right="12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0"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0"/>
          <w:szCs w:val="20"/>
          <w:color w:val="auto"/>
        </w:rPr>
      </w:pPr>
    </w:p>
    <w:p>
      <w:pPr>
        <w:ind w:left="3320" w:right="420" w:hanging="4517"/>
        <w:spacing w:after="0" w:line="206" w:lineRule="exact"/>
        <w:tabs>
          <w:tab w:leader="none" w:pos="33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58" w:lineRule="exact"/>
        <w:rPr>
          <w:sz w:val="20"/>
          <w:szCs w:val="20"/>
          <w:color w:val="auto"/>
        </w:rPr>
      </w:pPr>
    </w:p>
    <w:p>
      <w:pPr>
        <w:ind w:left="660"/>
        <w:spacing w:after="0" w:line="138" w:lineRule="exact"/>
        <w:tabs>
          <w:tab w:leader="none" w:pos="7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1"/>
          <w:szCs w:val="11"/>
          <w:color w:val="auto"/>
        </w:rPr>
        <w:t xml:space="preserve">☑ </w:t>
      </w:r>
      <w:r>
        <w:rPr>
          <w:rFonts w:ascii="Arial" w:cs="Arial" w:eastAsia="Arial" w:hAnsi="Arial"/>
          <w:sz w:val="11"/>
          <w:szCs w:val="11"/>
          <w:color w:val="auto"/>
        </w:rPr>
        <w:t>No</w:t>
      </w:r>
    </w:p>
    <w:p>
      <w:pPr>
        <w:spacing w:after="0" w:line="93" w:lineRule="exact"/>
        <w:rPr>
          <w:sz w:val="20"/>
          <w:szCs w:val="20"/>
          <w:color w:val="auto"/>
        </w:rPr>
      </w:pPr>
    </w:p>
    <w:p>
      <w:pPr>
        <w:ind w:left="340" w:right="40" w:firstLine="324"/>
        <w:spacing w:after="0" w:line="276" w:lineRule="auto"/>
        <w:rPr>
          <w:sz w:val="20"/>
          <w:szCs w:val="20"/>
          <w:color w:val="auto"/>
        </w:rPr>
      </w:pPr>
      <w:r>
        <w:rPr>
          <w:rFonts w:ascii="Arial" w:cs="Arial" w:eastAsia="Arial" w:hAnsi="Arial"/>
          <w:sz w:val="13"/>
          <w:szCs w:val="13"/>
          <w:color w:val="auto"/>
        </w:rPr>
        <w:t>The aggregate market value of the common stock held by non-affiliates of the registrant as of October 1, 2010 was approximately $1,544,701,011 (based on the closing price on that date for shares of the registrant’s common stock as reported by the Nasdaq Global Select Market).</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outstanding of the registrant’s common stock, $.0001 par value, as of May 20, 2011 was 41,747,683.</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1" w:lineRule="exact"/>
        <w:rPr>
          <w:sz w:val="20"/>
          <w:szCs w:val="20"/>
          <w:color w:val="auto"/>
        </w:rPr>
      </w:pPr>
    </w:p>
    <w:p>
      <w:pPr>
        <w:ind w:left="340" w:right="160" w:firstLine="324"/>
        <w:spacing w:after="0" w:line="264"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pursuant to Regulation 14A in connection with its 2011 Annual Meeting of Stockholders are incorporated by reference into Part III of this Form 10-K where indicated. Such Proxy Statement will be filed with the Securities and Exchange Commission not later than 120 days after the registrant’s fiscal year ended April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66675</wp:posOffset>
            </wp:positionV>
            <wp:extent cx="684720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182245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gridSpan w:val="12"/>
          </w:tcPr>
          <w:p>
            <w:pPr>
              <w:jc w:val="center"/>
              <w:ind w:right="4240"/>
              <w:spacing w:after="0"/>
              <w:rPr>
                <w:sz w:val="20"/>
                <w:szCs w:val="20"/>
                <w:color w:val="auto"/>
              </w:rPr>
            </w:pPr>
            <w:r>
              <w:rPr>
                <w:rFonts w:ascii="Arial" w:cs="Arial" w:eastAsia="Arial" w:hAnsi="Arial"/>
                <w:sz w:val="13"/>
                <w:szCs w:val="13"/>
                <w:b w:val="1"/>
                <w:bCs w:val="1"/>
                <w:color w:val="auto"/>
              </w:rPr>
              <w:t>VIASAT, INC.</w:t>
            </w:r>
          </w:p>
        </w:tc>
        <w:tc>
          <w:tcPr>
            <w:tcW w:w="34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0" w:type="dxa"/>
            <w:vAlign w:val="bottom"/>
            <w:gridSpan w:val="14"/>
          </w:tcPr>
          <w:p>
            <w:pPr>
              <w:jc w:val="center"/>
              <w:ind w:right="3480"/>
              <w:spacing w:after="0"/>
              <w:rPr>
                <w:sz w:val="20"/>
                <w:szCs w:val="20"/>
                <w:color w:val="auto"/>
              </w:rPr>
            </w:pPr>
            <w:r>
              <w:rPr>
                <w:rFonts w:ascii="Arial" w:cs="Arial" w:eastAsia="Arial" w:hAnsi="Arial"/>
                <w:sz w:val="13"/>
                <w:szCs w:val="13"/>
                <w:b w:val="1"/>
                <w:bCs w:val="1"/>
                <w:color w:val="auto"/>
                <w:w w:val="99"/>
              </w:rPr>
              <w:t>TABLE OF CONTENTS</w:t>
            </w:r>
          </w:p>
        </w:tc>
        <w:tc>
          <w:tcPr>
            <w:tcW w:w="340" w:type="dxa"/>
            <w:vAlign w:val="bottom"/>
          </w:tcPr>
          <w:p>
            <w:pPr>
              <w:spacing w:after="0"/>
              <w:rPr>
                <w:sz w:val="21"/>
                <w:szCs w:val="21"/>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9"/>
          </w:tcPr>
          <w:p>
            <w:pPr>
              <w:jc w:val="center"/>
              <w:ind w:right="44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4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15"/>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40" w:type="dxa"/>
            <w:vAlign w:val="bottom"/>
            <w:gridSpan w:val="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bottom w:val="single" w:sz="8" w:color="0000EE"/>
            </w:tcBorders>
            <w:gridSpan w:val="8"/>
          </w:tcPr>
          <w:p>
            <w:pPr>
              <w:spacing w:after="0" w:line="138" w:lineRule="exact"/>
              <w:rPr>
                <w:rFonts w:ascii="Arial" w:cs="Arial" w:eastAsia="Arial" w:hAnsi="Arial"/>
                <w:sz w:val="13"/>
                <w:szCs w:val="13"/>
                <w:color w:val="0000EE"/>
                <w:w w:val="94"/>
              </w:rPr>
            </w:pPr>
            <w:hyperlink w:anchor="page18">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8">
              <w:r>
                <w:rPr>
                  <w:rFonts w:ascii="Arial" w:cs="Arial" w:eastAsia="Arial" w:hAnsi="Arial"/>
                  <w:sz w:val="13"/>
                  <w:szCs w:val="13"/>
                  <w:color w:val="0000EE"/>
                  <w:w w:val="88"/>
                </w:rPr>
                <w:t>Risk Factors</w:t>
              </w:r>
            </w:hyperlink>
          </w:p>
        </w:tc>
        <w:tc>
          <w:tcPr>
            <w:tcW w:w="7560" w:type="dxa"/>
            <w:vAlign w:val="bottom"/>
            <w:gridSpan w:val="21"/>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17</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7"/>
          </w:tcPr>
          <w:p>
            <w:pPr>
              <w:spacing w:after="0" w:line="138" w:lineRule="exact"/>
              <w:rPr>
                <w:rFonts w:ascii="Arial" w:cs="Arial" w:eastAsia="Arial" w:hAnsi="Arial"/>
                <w:sz w:val="13"/>
                <w:szCs w:val="13"/>
                <w:color w:val="0000EE"/>
                <w:w w:val="90"/>
              </w:rPr>
            </w:pPr>
            <w:hyperlink w:anchor="page34">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220" w:type="dxa"/>
            <w:vAlign w:val="bottom"/>
            <w:gridSpan w:val="24"/>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Properties</w:t>
              </w:r>
            </w:hyperlink>
          </w:p>
        </w:tc>
        <w:tc>
          <w:tcPr>
            <w:tcW w:w="6740" w:type="dxa"/>
            <w:vAlign w:val="bottom"/>
            <w:gridSpan w:val="1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Item 3.</w:t>
              </w:r>
            </w:hyperlink>
          </w:p>
        </w:tc>
        <w:tc>
          <w:tcPr>
            <w:tcW w:w="8220" w:type="dxa"/>
            <w:vAlign w:val="bottom"/>
            <w:gridSpan w:val="24"/>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5">
              <w:r>
                <w:rPr>
                  <w:rFonts w:ascii="Arial" w:cs="Arial" w:eastAsia="Arial" w:hAnsi="Arial"/>
                  <w:sz w:val="13"/>
                  <w:szCs w:val="13"/>
                  <w:b w:val="1"/>
                  <w:bCs w:val="1"/>
                  <w:color w:val="0000EE"/>
                </w:rPr>
                <w:t>PART II</w:t>
              </w:r>
            </w:hyperlink>
          </w:p>
        </w:tc>
        <w:tc>
          <w:tcPr>
            <w:tcW w:w="4400" w:type="dxa"/>
            <w:vAlign w:val="bottom"/>
            <w:gridSpan w:val="7"/>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Item 5.</w:t>
              </w:r>
            </w:hyperlink>
          </w:p>
        </w:tc>
        <w:tc>
          <w:tcPr>
            <w:tcW w:w="8220" w:type="dxa"/>
            <w:vAlign w:val="bottom"/>
            <w:gridSpan w:val="24"/>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Market for Registrant’s Common Equity, Related Stockholder Matters and Issuer Purchases of Equity Securities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Item 6.</w:t>
              </w:r>
            </w:hyperlink>
          </w:p>
        </w:tc>
        <w:tc>
          <w:tcPr>
            <w:tcW w:w="8220" w:type="dxa"/>
            <w:vAlign w:val="bottom"/>
            <w:gridSpan w:val="24"/>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Selected Financial Data</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Item 7.</w:t>
              </w:r>
            </w:hyperlink>
          </w:p>
        </w:tc>
        <w:tc>
          <w:tcPr>
            <w:tcW w:w="8220" w:type="dxa"/>
            <w:vAlign w:val="bottom"/>
            <w:gridSpan w:val="24"/>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36</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8"/>
          </w:tcPr>
          <w:p>
            <w:pPr>
              <w:spacing w:after="0" w:line="138" w:lineRule="exact"/>
              <w:rPr>
                <w:rFonts w:ascii="Arial" w:cs="Arial" w:eastAsia="Arial" w:hAnsi="Arial"/>
                <w:sz w:val="13"/>
                <w:szCs w:val="13"/>
                <w:color w:val="0000EE"/>
                <w:w w:val="94"/>
              </w:rPr>
            </w:pPr>
            <w:hyperlink w:anchor="page57">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220" w:type="dxa"/>
            <w:vAlign w:val="bottom"/>
            <w:gridSpan w:val="24"/>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56</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58">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60" w:type="dxa"/>
            <w:vAlign w:val="bottom"/>
            <w:tcBorders>
              <w:top w:val="single" w:sz="8" w:color="0000EE"/>
            </w:tcBorders>
            <w:gridSpan w:val="12"/>
          </w:tcPr>
          <w:p>
            <w:pPr>
              <w:spacing w:after="0" w:line="138" w:lineRule="exact"/>
              <w:rPr>
                <w:rFonts w:ascii="Arial" w:cs="Arial" w:eastAsia="Arial" w:hAnsi="Arial"/>
                <w:sz w:val="13"/>
                <w:szCs w:val="13"/>
                <w:color w:val="0000EE"/>
              </w:rPr>
            </w:pPr>
            <w:hyperlink w:anchor="page58">
              <w:r>
                <w:rPr>
                  <w:rFonts w:ascii="Arial" w:cs="Arial" w:eastAsia="Arial" w:hAnsi="Arial"/>
                  <w:sz w:val="13"/>
                  <w:szCs w:val="13"/>
                  <w:color w:val="0000EE"/>
                </w:rPr>
                <w:t>Financial Statements and Supplementary Data</w:t>
              </w:r>
            </w:hyperlink>
          </w:p>
        </w:tc>
        <w:tc>
          <w:tcPr>
            <w:tcW w:w="5060" w:type="dxa"/>
            <w:vAlign w:val="bottom"/>
            <w:gridSpan w:val="1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57</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Item 9.</w:t>
              </w:r>
            </w:hyperlink>
          </w:p>
        </w:tc>
        <w:tc>
          <w:tcPr>
            <w:tcW w:w="8220" w:type="dxa"/>
            <w:vAlign w:val="bottom"/>
            <w:gridSpan w:val="24"/>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gridSpan w:val="8"/>
          </w:tcPr>
          <w:p>
            <w:pPr>
              <w:spacing w:after="0" w:line="138" w:lineRule="exact"/>
              <w:rPr>
                <w:rFonts w:ascii="Arial" w:cs="Arial" w:eastAsia="Arial" w:hAnsi="Arial"/>
                <w:sz w:val="13"/>
                <w:szCs w:val="13"/>
                <w:color w:val="0000EE"/>
                <w:w w:val="94"/>
              </w:rPr>
            </w:pPr>
            <w:hyperlink w:anchor="page59">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220" w:type="dxa"/>
            <w:vAlign w:val="bottom"/>
            <w:gridSpan w:val="24"/>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top w:val="single" w:sz="8" w:color="0000EE"/>
            </w:tcBorders>
            <w:gridSpan w:val="8"/>
          </w:tcPr>
          <w:p>
            <w:pPr>
              <w:spacing w:after="0" w:line="138" w:lineRule="exact"/>
              <w:rPr>
                <w:rFonts w:ascii="Arial" w:cs="Arial" w:eastAsia="Arial" w:hAnsi="Arial"/>
                <w:sz w:val="13"/>
                <w:szCs w:val="13"/>
                <w:color w:val="0000EE"/>
                <w:w w:val="94"/>
              </w:rPr>
            </w:pPr>
            <w:hyperlink w:anchor="page60">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Other Information</w:t>
              </w:r>
            </w:hyperlink>
          </w:p>
        </w:tc>
        <w:tc>
          <w:tcPr>
            <w:tcW w:w="6940" w:type="dxa"/>
            <w:vAlign w:val="bottom"/>
            <w:gridSpan w:val="1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59</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60">
              <w:r>
                <w:rPr>
                  <w:rFonts w:ascii="Arial" w:cs="Arial" w:eastAsia="Arial" w:hAnsi="Arial"/>
                  <w:sz w:val="13"/>
                  <w:szCs w:val="13"/>
                  <w:b w:val="1"/>
                  <w:bCs w:val="1"/>
                  <w:color w:val="0000EE"/>
                </w:rPr>
                <w:t>PART III</w:t>
              </w:r>
            </w:hyperlink>
          </w:p>
        </w:tc>
        <w:tc>
          <w:tcPr>
            <w:tcW w:w="4360" w:type="dxa"/>
            <w:vAlign w:val="bottom"/>
            <w:gridSpan w:val="5"/>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10.</w:t>
              </w:r>
            </w:hyperlink>
          </w:p>
        </w:tc>
        <w:tc>
          <w:tcPr>
            <w:tcW w:w="8220" w:type="dxa"/>
            <w:vAlign w:val="bottom"/>
            <w:gridSpan w:val="24"/>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Directors, Executive Officers and Corporate Governance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59</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Item 11.</w:t>
              </w:r>
            </w:hyperlink>
          </w:p>
        </w:tc>
        <w:tc>
          <w:tcPr>
            <w:tcW w:w="8220" w:type="dxa"/>
            <w:vAlign w:val="bottom"/>
            <w:gridSpan w:val="24"/>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Executive Compensation</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59</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6"/>
          </w:tcPr>
          <w:p>
            <w:pPr>
              <w:spacing w:after="0" w:line="138" w:lineRule="exact"/>
              <w:rPr>
                <w:rFonts w:ascii="Arial" w:cs="Arial" w:eastAsia="Arial" w:hAnsi="Arial"/>
                <w:sz w:val="13"/>
                <w:szCs w:val="13"/>
                <w:color w:val="0000EE"/>
                <w:w w:val="89"/>
              </w:rPr>
            </w:pPr>
            <w:hyperlink w:anchor="page61">
              <w:r>
                <w:rPr>
                  <w:rFonts w:ascii="Arial" w:cs="Arial" w:eastAsia="Arial" w:hAnsi="Arial"/>
                  <w:sz w:val="13"/>
                  <w:szCs w:val="13"/>
                  <w:color w:val="0000EE"/>
                  <w:w w:val="89"/>
                </w:rPr>
                <w:t>Item 12.</w:t>
              </w:r>
            </w:hyperlink>
          </w:p>
        </w:tc>
        <w:tc>
          <w:tcPr>
            <w:tcW w:w="600" w:type="dxa"/>
            <w:vAlign w:val="bottom"/>
            <w:gridSpan w:val="3"/>
          </w:tcPr>
          <w:p>
            <w:pPr>
              <w:spacing w:after="0"/>
              <w:rPr>
                <w:sz w:val="11"/>
                <w:szCs w:val="11"/>
                <w:color w:val="auto"/>
              </w:rPr>
            </w:pPr>
          </w:p>
        </w:tc>
        <w:tc>
          <w:tcPr>
            <w:tcW w:w="8220" w:type="dxa"/>
            <w:vAlign w:val="bottom"/>
            <w:gridSpan w:val="24"/>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Security Ownership of Certain Beneficial Owners and Management and Related Stockholder Matters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0000EE"/>
            </w:tcBorders>
            <w:gridSpan w:val="6"/>
          </w:tcPr>
          <w:p>
            <w:pPr>
              <w:spacing w:after="0" w:line="138" w:lineRule="exact"/>
              <w:rPr>
                <w:rFonts w:ascii="Arial" w:cs="Arial" w:eastAsia="Arial" w:hAnsi="Arial"/>
                <w:sz w:val="13"/>
                <w:szCs w:val="13"/>
                <w:color w:val="0000EE"/>
                <w:w w:val="89"/>
              </w:rPr>
            </w:pPr>
            <w:hyperlink w:anchor="page61">
              <w:r>
                <w:rPr>
                  <w:rFonts w:ascii="Arial" w:cs="Arial" w:eastAsia="Arial" w:hAnsi="Arial"/>
                  <w:sz w:val="13"/>
                  <w:szCs w:val="13"/>
                  <w:color w:val="0000EE"/>
                  <w:w w:val="89"/>
                </w:rPr>
                <w:t>Item 13.</w:t>
              </w:r>
            </w:hyperlink>
          </w:p>
        </w:tc>
        <w:tc>
          <w:tcPr>
            <w:tcW w:w="600" w:type="dxa"/>
            <w:vAlign w:val="bottom"/>
            <w:gridSpan w:val="3"/>
          </w:tcPr>
          <w:p>
            <w:pPr>
              <w:spacing w:after="0"/>
              <w:rPr>
                <w:sz w:val="11"/>
                <w:szCs w:val="11"/>
                <w:color w:val="auto"/>
              </w:rPr>
            </w:pPr>
          </w:p>
        </w:tc>
        <w:tc>
          <w:tcPr>
            <w:tcW w:w="5300" w:type="dxa"/>
            <w:vAlign w:val="bottom"/>
            <w:tcBorders>
              <w:top w:val="single" w:sz="8" w:color="0000EE"/>
            </w:tcBorders>
            <w:gridSpan w:val="22"/>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Certain Relationships and Related Transactions, and Director Independence</w:t>
              </w:r>
            </w:hyperlink>
          </w:p>
        </w:tc>
        <w:tc>
          <w:tcPr>
            <w:tcW w:w="2920" w:type="dxa"/>
            <w:vAlign w:val="bottom"/>
            <w:gridSpan w:val="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0000EE"/>
            </w:tcBorders>
            <w:gridSpan w:val="6"/>
          </w:tcPr>
          <w:p>
            <w:pPr>
              <w:spacing w:after="0" w:line="138" w:lineRule="exact"/>
              <w:rPr>
                <w:rFonts w:ascii="Arial" w:cs="Arial" w:eastAsia="Arial" w:hAnsi="Arial"/>
                <w:sz w:val="13"/>
                <w:szCs w:val="13"/>
                <w:color w:val="0000EE"/>
                <w:w w:val="89"/>
              </w:rPr>
            </w:pPr>
            <w:hyperlink w:anchor="page61">
              <w:r>
                <w:rPr>
                  <w:rFonts w:ascii="Arial" w:cs="Arial" w:eastAsia="Arial" w:hAnsi="Arial"/>
                  <w:sz w:val="13"/>
                  <w:szCs w:val="13"/>
                  <w:color w:val="0000EE"/>
                  <w:w w:val="89"/>
                </w:rPr>
                <w:t>Item 14.</w:t>
              </w:r>
            </w:hyperlink>
          </w:p>
        </w:tc>
        <w:tc>
          <w:tcPr>
            <w:tcW w:w="600" w:type="dxa"/>
            <w:vAlign w:val="bottom"/>
            <w:gridSpan w:val="3"/>
          </w:tcPr>
          <w:p>
            <w:pPr>
              <w:spacing w:after="0"/>
              <w:rPr>
                <w:sz w:val="11"/>
                <w:szCs w:val="11"/>
                <w:color w:val="auto"/>
              </w:rPr>
            </w:pPr>
          </w:p>
        </w:tc>
        <w:tc>
          <w:tcPr>
            <w:tcW w:w="3960" w:type="dxa"/>
            <w:vAlign w:val="bottom"/>
            <w:tcBorders>
              <w:top w:val="single" w:sz="8" w:color="0000EE"/>
            </w:tcBorders>
            <w:gridSpan w:val="20"/>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Principal Accounting Fees and Services</w:t>
              </w:r>
            </w:hyperlink>
          </w:p>
        </w:tc>
        <w:tc>
          <w:tcPr>
            <w:tcW w:w="4260" w:type="dxa"/>
            <w:vAlign w:val="bottom"/>
            <w:gridSpan w:val="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00" w:type="dxa"/>
            <w:vAlign w:val="bottom"/>
            <w:gridSpan w:val="11"/>
          </w:tcPr>
          <w:p>
            <w:pPr>
              <w:jc w:val="center"/>
              <w:ind w:right="4380"/>
              <w:spacing w:after="0"/>
              <w:rPr>
                <w:rFonts w:ascii="Arial" w:cs="Arial" w:eastAsia="Arial" w:hAnsi="Arial"/>
                <w:sz w:val="13"/>
                <w:szCs w:val="13"/>
                <w:b w:val="1"/>
                <w:bCs w:val="1"/>
                <w:color w:val="0000EE"/>
              </w:rPr>
            </w:pPr>
            <w:hyperlink w:anchor="page61">
              <w:r>
                <w:rPr>
                  <w:rFonts w:ascii="Arial" w:cs="Arial" w:eastAsia="Arial" w:hAnsi="Arial"/>
                  <w:sz w:val="13"/>
                  <w:szCs w:val="13"/>
                  <w:b w:val="1"/>
                  <w:bCs w:val="1"/>
                  <w:color w:val="0000EE"/>
                </w:rPr>
                <w:t>PART IV</w:t>
              </w:r>
            </w:hyperlink>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9"/>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Item 15.</w:t>
              </w:r>
            </w:hyperlink>
          </w:p>
        </w:tc>
        <w:tc>
          <w:tcPr>
            <w:tcW w:w="3340" w:type="dxa"/>
            <w:vAlign w:val="bottom"/>
            <w:gridSpan w:val="14"/>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380" w:type="dxa"/>
            <w:vAlign w:val="bottom"/>
            <w:gridSpan w:val="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60</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420" w:type="dxa"/>
            <w:vAlign w:val="bottom"/>
            <w:gridSpan w:val="11"/>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61</w:t>
            </w:r>
          </w:p>
        </w:tc>
      </w:tr>
      <w:tr>
        <w:trPr>
          <w:trHeight w:val="137"/>
        </w:trPr>
        <w:tc>
          <w:tcPr>
            <w:tcW w:w="4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92"/>
              </w:rPr>
              <w:t>EX-10.14</w:t>
            </w:r>
          </w:p>
        </w:tc>
        <w:tc>
          <w:tcPr>
            <w:tcW w:w="860" w:type="dxa"/>
            <w:vAlign w:val="bottom"/>
            <w:gridSpan w:val="6"/>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EX-21.1</w:t>
            </w:r>
          </w:p>
        </w:tc>
        <w:tc>
          <w:tcPr>
            <w:tcW w:w="60" w:type="dxa"/>
            <w:vAlign w:val="bottom"/>
            <w:tcBorders>
              <w:top w:val="single" w:sz="8" w:color="0000EE"/>
            </w:tcBorders>
          </w:tcPr>
          <w:p>
            <w:pPr>
              <w:spacing w:after="0"/>
              <w:rPr>
                <w:sz w:val="11"/>
                <w:szCs w:val="11"/>
                <w:color w:val="auto"/>
              </w:rPr>
            </w:pPr>
          </w:p>
        </w:tc>
        <w:tc>
          <w:tcPr>
            <w:tcW w:w="880" w:type="dxa"/>
            <w:vAlign w:val="bottom"/>
            <w:gridSpan w:val="7"/>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EX-23.1</w:t>
            </w:r>
          </w:p>
        </w:tc>
        <w:tc>
          <w:tcPr>
            <w:tcW w:w="940" w:type="dxa"/>
            <w:vAlign w:val="bottom"/>
            <w:gridSpan w:val="8"/>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EX-31.1</w:t>
            </w:r>
          </w:p>
        </w:tc>
        <w:tc>
          <w:tcPr>
            <w:tcW w:w="940" w:type="dxa"/>
            <w:vAlign w:val="bottom"/>
            <w:gridSpan w:val="8"/>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EX-31.2</w:t>
            </w:r>
          </w:p>
        </w:tc>
        <w:tc>
          <w:tcPr>
            <w:tcW w:w="940" w:type="dxa"/>
            <w:vAlign w:val="bottom"/>
            <w:gridSpan w:val="8"/>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100" w:firstLine="399"/>
        <w:spacing w:after="0" w:line="278" w:lineRule="auto"/>
        <w:rPr>
          <w:sz w:val="20"/>
          <w:szCs w:val="20"/>
          <w:color w:val="auto"/>
        </w:rPr>
      </w:pPr>
      <w:r>
        <w:rPr>
          <w:rFonts w:ascii="Arial" w:cs="Arial" w:eastAsia="Arial" w:hAnsi="Arial"/>
          <w:sz w:val="12"/>
          <w:szCs w:val="12"/>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Item 1A,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3"/>
          <w:szCs w:val="13"/>
          <w:i w:val="1"/>
          <w:iCs w:val="1"/>
          <w:color w:val="auto"/>
        </w:rPr>
        <w:t>www.viasat.com.</w:t>
      </w:r>
      <w:r>
        <w:rPr>
          <w:rFonts w:ascii="Arial" w:cs="Arial" w:eastAsia="Arial" w:hAnsi="Arial"/>
          <w:sz w:val="13"/>
          <w:szCs w:val="13"/>
          <w:color w:val="auto"/>
        </w:rPr>
        <w:t xml:space="preserve"> The information on our website does not constitute part of this report.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Overview</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 In addition, through our wholly owned subsidiary WildBlue Holding, Inc. (WildBlue), we are a leading wholesale and retail provider of satellite broadband internet services in the United States.</w:t>
      </w:r>
    </w:p>
    <w:p>
      <w:pPr>
        <w:spacing w:after="0" w:line="7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ViaSat operates in three segments: government systems, commercial networks and satellite services. Financial information regarding our reporting segments and the geographic areas in which we operate is included in the consolidated financial statements and notes thereto.</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Government Systems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government systems segment develops and produces network-centric internet protocol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tactical armed forces, public safety first-responders and remote government employees.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believe our strong track record of developing complex, secure, high-capacity wireless and satellite networking communications technologies for both government and commercial customers, combined with our ability to integrate and leverage technologies developed across our various business segments, provides us with significant opportunities for continued growth in this segment. The U.S. military’s increasing emphasis on “network-centric” highly mobile warfare over geographically dispersed areas requires the development and deployment of secure, IP-based communications networks and products capable of supporting real-time dissemination of data using multiple transmission media. Satellite-based systems are increasingly seen as the most reliable method of connecting rapidly moving forces who may out-run the range of terrestrial radio links. In addition, we anticipate that government demand for bandwidth will continue to grow in order to support this increased use of secure IP-based network-centric applications at all organizational levels. We also expect that over the next five to ten years many of the previous generation of the U.S. Department of Defense’s (DoD’s) defense communications satellite networks will expire or become obsolete, and new programs are underway or in planning to define, develop, procure and deploy replacement systems. We believe these new programs present greater opportunities for bidding on new contracts than we have seen historically. We also believe the government’s demand for bandwidth will provide additional opportunities for us. Our existing and evolving portfolio of systems, products and solutions is well-positioned to take advantage of these significant and pervasive trends, and accordingly, we believe that these trends will continue to drive growth opportunities for our government systems segment over the next several years.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products and services of our government systems segment include:</w:t>
      </w:r>
    </w:p>
    <w:p>
      <w:pPr>
        <w:spacing w:after="0" w:line="96" w:lineRule="exact"/>
        <w:rPr>
          <w:sz w:val="20"/>
          <w:szCs w:val="20"/>
          <w:color w:val="auto"/>
        </w:rPr>
      </w:pPr>
    </w:p>
    <w:p>
      <w:pPr>
        <w:ind w:left="1280" w:right="200" w:hanging="190"/>
        <w:spacing w:after="0" w:line="282" w:lineRule="auto"/>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Government Satellite Communication Systems. </w:t>
      </w:r>
      <w:r>
        <w:rPr>
          <w:rFonts w:ascii="Arial" w:cs="Arial" w:eastAsia="Arial" w:hAnsi="Arial"/>
          <w:sz w:val="12"/>
          <w:szCs w:val="12"/>
          <w:color w:val="auto"/>
        </w:rPr>
        <w:t>Our government satellite communication systems offer an array of portable, mobile and fixed broadband modems, terminals,</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access control systems and antenna systems using a range of satellite frequency bands for line-of-sight and beyond-line-of-sight Intelligence, Surveillance, and Reconnaissance (ISR) and Command and Control (C2) missions, as well as satellite networking services. Our systems and products are designed to support high-throughput broadband data links, to increase available bandwidth using existing satellite capacity, and to withstand certain catastrophic events. Our range of broadband modems, terminals and systems support high-speed broadband and multimedia transmissions over point-to-point, mesh and hub-and-spoke satellite networking systems, and include products designed for manpacks, aircraft, unmanned aerial vehicles (UAVs), seagoing vessels, ground mobile vehicles and fixed applications.</w:t>
      </w:r>
    </w:p>
    <w:p>
      <w:pPr>
        <w:spacing w:after="0" w:line="49" w:lineRule="exact"/>
        <w:rPr>
          <w:rFonts w:ascii="Arial" w:cs="Arial" w:eastAsia="Arial" w:hAnsi="Arial"/>
          <w:sz w:val="12"/>
          <w:szCs w:val="12"/>
          <w:color w:val="auto"/>
        </w:rPr>
      </w:pPr>
    </w:p>
    <w:p>
      <w:pPr>
        <w:ind w:left="1280" w:right="300" w:hanging="190"/>
        <w:spacing w:after="0" w:line="258"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Information Assurance. </w:t>
      </w:r>
      <w:r>
        <w:rPr>
          <w:rFonts w:ascii="Arial" w:cs="Arial" w:eastAsia="Arial" w:hAnsi="Arial"/>
          <w:sz w:val="13"/>
          <w:szCs w:val="13"/>
          <w:color w:val="auto"/>
        </w:rPr>
        <w:t>Our information security and assurance products provide advanced, high-speed IP-based “Type 1” and High Assurance Internet Protocol Encryption</w:t>
      </w:r>
      <w:r>
        <w:rPr>
          <w:rFonts w:ascii="Arial" w:cs="Arial" w:eastAsia="Arial" w:hAnsi="Arial"/>
          <w:sz w:val="13"/>
          <w:szCs w:val="13"/>
          <w:i w:val="1"/>
          <w:iCs w:val="1"/>
          <w:color w:val="auto"/>
        </w:rPr>
        <w:t xml:space="preserve"> </w:t>
      </w:r>
      <w:r>
        <w:rPr>
          <w:rFonts w:ascii="Arial" w:cs="Arial" w:eastAsia="Arial" w:hAnsi="Arial"/>
          <w:sz w:val="13"/>
          <w:szCs w:val="13"/>
          <w:color w:val="auto"/>
        </w:rPr>
        <w:t>(HAIPE</w:t>
      </w:r>
      <w:r>
        <w:rPr>
          <w:rFonts w:ascii="Arial" w:cs="Arial" w:eastAsia="Arial" w:hAnsi="Arial"/>
          <w:sz w:val="11"/>
          <w:szCs w:val="11"/>
          <w:color w:val="auto"/>
        </w:rPr>
        <w:t>®</w:t>
      </w:r>
      <w:r>
        <w:rPr>
          <w:rFonts w:ascii="Arial" w:cs="Arial" w:eastAsia="Arial" w:hAnsi="Arial"/>
          <w:sz w:val="13"/>
          <w:szCs w:val="13"/>
          <w:color w:val="auto"/>
        </w:rPr>
        <w:t>)-compliant encryption solutions that enable military and government users to communicate information securely over networks, and that secure data stored on computers and storage devices. Our encryption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satellite communication systems and products.</w:t>
      </w:r>
    </w:p>
    <w:p>
      <w:pPr>
        <w:spacing w:after="0" w:line="61" w:lineRule="exact"/>
        <w:rPr>
          <w:rFonts w:ascii="Arial" w:cs="Arial" w:eastAsia="Arial" w:hAnsi="Arial"/>
          <w:sz w:val="13"/>
          <w:szCs w:val="13"/>
          <w:color w:val="auto"/>
        </w:rPr>
      </w:pPr>
    </w:p>
    <w:p>
      <w:pPr>
        <w:ind w:left="1280" w:right="80" w:hanging="190"/>
        <w:spacing w:after="0" w:line="260"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Tactical Data Links. </w:t>
      </w:r>
      <w:r>
        <w:rPr>
          <w:rFonts w:ascii="Arial" w:cs="Arial" w:eastAsia="Arial" w:hAnsi="Arial"/>
          <w:sz w:val="13"/>
          <w:szCs w:val="13"/>
          <w:color w:val="auto"/>
        </w:rPr>
        <w:t>We develop and produce advanced tactical radio and information distribution systems that enable real-time collection and dissemination of video and data</w:t>
      </w:r>
      <w:r>
        <w:rPr>
          <w:rFonts w:ascii="Arial" w:cs="Arial" w:eastAsia="Arial" w:hAnsi="Arial"/>
          <w:sz w:val="13"/>
          <w:szCs w:val="13"/>
          <w:i w:val="1"/>
          <w:iCs w:val="1"/>
          <w:color w:val="auto"/>
        </w:rPr>
        <w:t xml:space="preserve"> </w:t>
      </w:r>
      <w:r>
        <w:rPr>
          <w:rFonts w:ascii="Arial" w:cs="Arial" w:eastAsia="Arial" w:hAnsi="Arial"/>
          <w:sz w:val="13"/>
          <w:szCs w:val="13"/>
          <w:color w:val="auto"/>
        </w:rPr>
        <w:t>using secure, jam-resistant transmission links from manned aircraft, ground mobile vehicles and other remote platforms to networked communication and command centers. Key products in this category include: our Multifunctional Information Distribution System (MIDS) terminals for military fighter jets and their successor, MIDS Joint Tactical Radio System (MIDS-JTRS) terminals, “disposable” weapon data links and portable small tactical terminals.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Commercial Networks</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Our commercial networks segment develops and produces a variety of advanced end-to-end satellite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Our networking equipment and products include radio frequency gateways, network infrastructure and end-user equipment and terminals. With expertise in commercial satellite network engineering, gateway construction and remote terminal manufacturing for various types of interactive communication services, combined with our advanced satellite technology and systems integration experience, we have the ability to design, build, initially operate and then hand over on a turnkey basis, fully operational, customized satellite communication systems capable of serving a variety of markets and applications. In addition, the strength of our core government systems business provides us with an effective platform to continue to design and develop new equipment and products, as we adapt and customize communication systems and products designed for the government systems segment to commercial use and vice versa.</w:t>
      </w:r>
    </w:p>
    <w:p>
      <w:pPr>
        <w:spacing w:after="0" w:line="4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believe growth of the commercial satellite market will continue to be driven in coming years by a number of factors, including: (1) the continued growth in worldwide demand for communications services and, in particular, the rise in both consumer and enterprise demand for broadband internet access, (2) the improving cost-effectiveness of satellite communications for many uses, and (3) recent technological advancements that broaden applications for and increase the capacity and efficiency of satellite-based networks. As satellite communications equipment becomes less expensive and new capabilities emerge in satellite communications technology, we believe that the market for satellite communications will offer additional growth opportunities, as service providers seek to rapidly and cost-efficiently deploy broadband communications services across wide geographic areas, both in suburban and rural areas in the developed world and in developing countries where the deployment of terrestrial high-capacity solutions such as fiber-optic cable is neither cost-effective nor practical. Satellite communications also provide cost-effective augmentation capability for existing terrestrial networks or broadband service providers to address network congestion caused by the continued exponential increase in the volume of multimedia content accessed via the internet.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satellite communication systems, ground networking equipment and products cater to a wide range of domestic and international commercial customers and include:</w:t>
      </w:r>
    </w:p>
    <w:p>
      <w:pPr>
        <w:spacing w:after="0" w:line="106" w:lineRule="exact"/>
        <w:rPr>
          <w:sz w:val="20"/>
          <w:szCs w:val="20"/>
          <w:color w:val="auto"/>
        </w:rPr>
      </w:pPr>
    </w:p>
    <w:p>
      <w:pPr>
        <w:ind w:left="1280" w:right="40" w:hanging="190"/>
        <w:spacing w:after="0" w:line="286"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Consumer Broadband. </w:t>
      </w:r>
      <w:r>
        <w:rPr>
          <w:rFonts w:ascii="Arial" w:cs="Arial" w:eastAsia="Arial" w:hAnsi="Arial"/>
          <w:sz w:val="12"/>
          <w:szCs w:val="12"/>
          <w:color w:val="auto"/>
        </w:rPr>
        <w:t>We are a leading network technology supplier for the consumer satellite market. Our SurfBeam</w:t>
      </w:r>
      <w:r>
        <w:rPr>
          <w:rFonts w:ascii="Arial" w:cs="Arial" w:eastAsia="Arial" w:hAnsi="Arial"/>
          <w:sz w:val="10"/>
          <w:szCs w:val="10"/>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systems and modems enable satellite broadband</w:t>
      </w:r>
      <w:r>
        <w:rPr>
          <w:rFonts w:ascii="Arial" w:cs="Arial" w:eastAsia="Arial" w:hAnsi="Arial"/>
          <w:sz w:val="12"/>
          <w:szCs w:val="12"/>
          <w:i w:val="1"/>
          <w:iCs w:val="1"/>
          <w:color w:val="auto"/>
        </w:rPr>
        <w:t xml:space="preserve"> </w:t>
      </w:r>
      <w:r>
        <w:rPr>
          <w:rFonts w:ascii="Arial" w:cs="Arial" w:eastAsia="Arial" w:hAnsi="Arial"/>
          <w:sz w:val="12"/>
          <w:szCs w:val="12"/>
          <w:color w:val="auto"/>
        </w:rPr>
        <w:t>access for residential or home office customers. In addition, we designed and developed next-generation satellite network infrastructure and ground terminals to access Ka-band broadband on high-capacity satellites, including ViaSat-1, which is planned for launch in the summer of 2011 to serve the United States and Canada and KA-SAT (Eutelsat’s new high-capacity Ka-band satellite), which was launched at the end of 2010 and serves Europe and parts of the Middle East and Africa. We anticipate growing demand for Ka-band network infrastructure and ground terminals driven by additional high-capacity Ka-band satellites in other geographies around the world.</w:t>
      </w:r>
    </w:p>
    <w:p>
      <w:pPr>
        <w:spacing w:after="0" w:line="44" w:lineRule="exact"/>
        <w:rPr>
          <w:rFonts w:ascii="Arial" w:cs="Arial" w:eastAsia="Arial" w:hAnsi="Arial"/>
          <w:sz w:val="12"/>
          <w:szCs w:val="12"/>
          <w:color w:val="auto"/>
        </w:rPr>
      </w:pPr>
    </w:p>
    <w:p>
      <w:pPr>
        <w:ind w:left="1280" w:right="6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Antenna Systems. </w:t>
      </w:r>
      <w:r>
        <w:rPr>
          <w:rFonts w:ascii="Arial" w:cs="Arial" w:eastAsia="Arial" w:hAnsi="Arial"/>
          <w:sz w:val="13"/>
          <w:szCs w:val="13"/>
          <w:color w:val="auto"/>
        </w:rPr>
        <w:t>We develop, design, produce, test and install turnkey ground terminals and antennas for terrestrial and satellite applications, specializing in geospatial imagery,</w:t>
      </w:r>
      <w:r>
        <w:rPr>
          <w:rFonts w:ascii="Arial" w:cs="Arial" w:eastAsia="Arial" w:hAnsi="Arial"/>
          <w:sz w:val="13"/>
          <w:szCs w:val="13"/>
          <w:i w:val="1"/>
          <w:iCs w:val="1"/>
          <w:color w:val="auto"/>
        </w:rPr>
        <w:t xml:space="preserve"> </w:t>
      </w:r>
      <w:r>
        <w:rPr>
          <w:rFonts w:ascii="Arial" w:cs="Arial" w:eastAsia="Arial" w:hAnsi="Arial"/>
          <w:sz w:val="13"/>
          <w:szCs w:val="13"/>
          <w:color w:val="auto"/>
        </w:rPr>
        <w:t>mobile satellite communication, Ka-band gateways, and other multi-band antennas.</w:t>
      </w:r>
    </w:p>
    <w:p>
      <w:pPr>
        <w:spacing w:after="0" w:line="47" w:lineRule="exact"/>
        <w:rPr>
          <w:rFonts w:ascii="Arial" w:cs="Arial" w:eastAsia="Arial" w:hAnsi="Arial"/>
          <w:sz w:val="13"/>
          <w:szCs w:val="13"/>
          <w:color w:val="auto"/>
        </w:rPr>
      </w:pPr>
    </w:p>
    <w:p>
      <w:pPr>
        <w:ind w:left="1280" w:right="80" w:hanging="190"/>
        <w:spacing w:after="0" w:line="26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Mobile Broadband Satellite Communication Systems. </w:t>
      </w:r>
      <w:r>
        <w:rPr>
          <w:rFonts w:ascii="Arial" w:cs="Arial" w:eastAsia="Arial" w:hAnsi="Arial"/>
          <w:sz w:val="13"/>
          <w:szCs w:val="13"/>
          <w:color w:val="auto"/>
        </w:rPr>
        <w:t>Our ArcLight</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Ku-band mobile satellite systems and related products provide high-speed, cost-efficient broadband access</w:t>
      </w:r>
      <w:r>
        <w:rPr>
          <w:rFonts w:ascii="Arial" w:cs="Arial" w:eastAsia="Arial" w:hAnsi="Arial"/>
          <w:sz w:val="13"/>
          <w:szCs w:val="13"/>
          <w:i w:val="1"/>
          <w:iCs w:val="1"/>
          <w:color w:val="auto"/>
        </w:rPr>
        <w:t xml:space="preserve"> </w:t>
      </w:r>
      <w:r>
        <w:rPr>
          <w:rFonts w:ascii="Arial" w:cs="Arial" w:eastAsia="Arial" w:hAnsi="Arial"/>
          <w:sz w:val="13"/>
          <w:szCs w:val="13"/>
          <w:color w:val="auto"/>
        </w:rPr>
        <w:t>while on the move via small transceivers, and are designed for use in aircraft, seagoing vessels and high-speed trains. We also sell our ArcLight mobile satellite systems to government customers as part of our government satellite communication systems business.</w:t>
      </w:r>
    </w:p>
    <w:p>
      <w:pPr>
        <w:spacing w:after="0" w:line="55" w:lineRule="exact"/>
        <w:rPr>
          <w:rFonts w:ascii="Arial" w:cs="Arial" w:eastAsia="Arial" w:hAnsi="Arial"/>
          <w:sz w:val="13"/>
          <w:szCs w:val="13"/>
          <w:color w:val="auto"/>
        </w:rPr>
      </w:pPr>
    </w:p>
    <w:p>
      <w:pPr>
        <w:ind w:left="1280" w:hanging="190"/>
        <w:spacing w:after="0" w:line="285"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Enterprise VSAT Networks and Products. </w:t>
      </w:r>
      <w:r>
        <w:rPr>
          <w:rFonts w:ascii="Arial" w:cs="Arial" w:eastAsia="Arial" w:hAnsi="Arial"/>
          <w:sz w:val="12"/>
          <w:szCs w:val="12"/>
          <w:color w:val="auto"/>
        </w:rPr>
        <w:t>Our enterprise Very Small Aperture Terminal (VSAT) networks and products comprise VSAT satellite systems and products designed to</w:t>
      </w:r>
      <w:r>
        <w:rPr>
          <w:rFonts w:ascii="Arial" w:cs="Arial" w:eastAsia="Arial" w:hAnsi="Arial"/>
          <w:sz w:val="12"/>
          <w:szCs w:val="12"/>
          <w:i w:val="1"/>
          <w:iCs w:val="1"/>
          <w:color w:val="auto"/>
        </w:rPr>
        <w:t xml:space="preserve"> </w:t>
      </w:r>
      <w:r>
        <w:rPr>
          <w:rFonts w:ascii="Arial" w:cs="Arial" w:eastAsia="Arial" w:hAnsi="Arial"/>
          <w:sz w:val="12"/>
          <w:szCs w:val="12"/>
          <w:color w:val="auto"/>
        </w:rPr>
        <w:t>provide enterprises with broadband access to the internet or private networks in order to support retail point-of-sale, voice-over-IP, distance learning and other web-centric or network applications. We also offer enterprise customers related products and services to address bandwidth constraints, latency and other issues, such as our AcceleNet</w:t>
      </w:r>
      <w:r>
        <w:rPr>
          <w:rFonts w:ascii="Arial" w:cs="Arial" w:eastAsia="Arial" w:hAnsi="Arial"/>
          <w:sz w:val="10"/>
          <w:szCs w:val="10"/>
          <w:color w:val="auto"/>
        </w:rPr>
        <w:t>®</w:t>
      </w:r>
      <w:r>
        <w:rPr>
          <w:rFonts w:ascii="Arial" w:cs="Arial" w:eastAsia="Arial" w:hAnsi="Arial"/>
          <w:sz w:val="12"/>
          <w:szCs w:val="12"/>
          <w:color w:val="auto"/>
        </w:rPr>
        <w:t xml:space="preserve"> wide area network (WAN) optimization product, which enables enterprise customers to optimize “cloud computing” services and other applications delivered over WANs. In developing countries, we also supply our enterprise VSAT networks and products to carriers to provide cellular backhaul and telephony services in under-served areas.</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4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Satellite Networking Development. </w:t>
      </w:r>
      <w:r>
        <w:rPr>
          <w:rFonts w:ascii="Arial" w:cs="Arial" w:eastAsia="Arial" w:hAnsi="Arial"/>
          <w:sz w:val="13"/>
          <w:szCs w:val="13"/>
          <w:color w:val="auto"/>
        </w:rPr>
        <w:t>Through our Comsat Labs division, we offer specialized design and technology services covering all aspects of satellite communication</w:t>
      </w:r>
      <w:r>
        <w:rPr>
          <w:rFonts w:ascii="Arial" w:cs="Arial" w:eastAsia="Arial" w:hAnsi="Arial"/>
          <w:sz w:val="13"/>
          <w:szCs w:val="13"/>
          <w:i w:val="1"/>
          <w:iCs w:val="1"/>
          <w:color w:val="auto"/>
        </w:rPr>
        <w:t xml:space="preserve"> </w:t>
      </w:r>
      <w:r>
        <w:rPr>
          <w:rFonts w:ascii="Arial" w:cs="Arial" w:eastAsia="Arial" w:hAnsi="Arial"/>
          <w:sz w:val="13"/>
          <w:szCs w:val="13"/>
          <w:color w:val="auto"/>
        </w:rPr>
        <w:t>system architecture and technology, including the analysis, design, and specification of satellites and ground systems, ASIC and MMIC design and production, and WAN compression for enterprise networks.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Satellite Services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Our satellite services segment complements both our government systems and commercial networks segments by providing wholesale and retail satellite-based broadband internet services in the United States via our distribution and capacity agreements, as well as managed network services for the satellite communication systems of our consumer, enterprise and mobile broadband customers.</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Commencing in late 2011, we expect this segment to also include broadband services using our new high-capacity Ka-band spot-beam satellite, ViaSat-1. At the time of launch, ViaSat-1 is expected to be the highest capacity, most cost-efficient satellite in the world. We currently estimate that the total data throughput of ViaSat-1 will be approximately 130 Gigabits per second. With the market demonstrating increasing demand for satellite broadband services, ViaSat-1 is designed to significantly expand the quality, capability and availability of high-speed broadband satellite services for North American consumers and enterprises. In addition, we anticipate that our government systems and commercial networks segments will be able to leverage the launch of ViaSat-1 through the increased sale of next-generation satellite communication systems, ground networking equipment and products that operate on Ka-band frequencies.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services offered by our satellite services segment comprise:</w:t>
      </w:r>
    </w:p>
    <w:p>
      <w:pPr>
        <w:spacing w:after="0" w:line="94" w:lineRule="exact"/>
        <w:rPr>
          <w:sz w:val="20"/>
          <w:szCs w:val="20"/>
          <w:color w:val="auto"/>
        </w:rPr>
      </w:pPr>
    </w:p>
    <w:p>
      <w:pPr>
        <w:ind w:left="1280" w:right="60" w:hanging="190"/>
        <w:spacing w:after="0" w:line="313" w:lineRule="auto"/>
        <w:tabs>
          <w:tab w:leader="none" w:pos="128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 xml:space="preserve">Wholesale and Retail Broadband Services. </w:t>
      </w:r>
      <w:r>
        <w:rPr>
          <w:rFonts w:ascii="Arial" w:cs="Arial" w:eastAsia="Arial" w:hAnsi="Arial"/>
          <w:sz w:val="11"/>
          <w:szCs w:val="11"/>
          <w:color w:val="auto"/>
        </w:rPr>
        <w:t>Our WildBlue</w:t>
      </w:r>
      <w:r>
        <w:rPr>
          <w:rFonts w:ascii="Arial" w:cs="Arial" w:eastAsia="Arial" w:hAnsi="Arial"/>
          <w:sz w:val="9"/>
          <w:szCs w:val="9"/>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service provides two-way satellite-based broadband internet access to consumers and small businesses in the United</w:t>
      </w:r>
      <w:r>
        <w:rPr>
          <w:rFonts w:ascii="Arial" w:cs="Arial" w:eastAsia="Arial" w:hAnsi="Arial"/>
          <w:sz w:val="11"/>
          <w:szCs w:val="11"/>
          <w:i w:val="1"/>
          <w:iCs w:val="1"/>
          <w:color w:val="auto"/>
        </w:rPr>
        <w:t xml:space="preserve"> </w:t>
      </w:r>
      <w:r>
        <w:rPr>
          <w:rFonts w:ascii="Arial" w:cs="Arial" w:eastAsia="Arial" w:hAnsi="Arial"/>
          <w:sz w:val="11"/>
          <w:szCs w:val="11"/>
          <w:color w:val="auto"/>
        </w:rPr>
        <w:t>States. We offer a range of WildBlue service plans to both wholesale and retail customers, with pricing based on maximum downstream/upstream data speeds. As of April 1, 2011, we provided WildBlue service to approximately 409,000 subscribers. In addition, following the launch of ViaSat-1, we expect to provide wholesale and retail broadband service via ViaSat-1 in the United States at speeds and volumes that provide a broadband experience that is comparable to or better than terrestrial broadband alternatives such as wireless and DSL connections. We plan to offer wholesale broadband services via ViaSat-1 to national and regional distribution partners, including direct-to-home satellite video providers, retail service providers and communications companies. We plan to offer our retail service via ViaSat-1 through WildBlue and its dealer network.</w:t>
      </w:r>
    </w:p>
    <w:p>
      <w:pPr>
        <w:spacing w:after="0" w:line="32" w:lineRule="exact"/>
        <w:rPr>
          <w:rFonts w:ascii="Arial" w:cs="Arial" w:eastAsia="Arial" w:hAnsi="Arial"/>
          <w:sz w:val="11"/>
          <w:szCs w:val="11"/>
          <w:color w:val="auto"/>
        </w:rPr>
      </w:pPr>
    </w:p>
    <w:p>
      <w:pPr>
        <w:ind w:left="1280" w:right="160" w:hanging="190"/>
        <w:spacing w:after="0" w:line="280"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Mobile Broadband Services. </w:t>
      </w:r>
      <w:r>
        <w:rPr>
          <w:rFonts w:ascii="Arial" w:cs="Arial" w:eastAsia="Arial" w:hAnsi="Arial"/>
          <w:sz w:val="13"/>
          <w:szCs w:val="13"/>
          <w:color w:val="auto"/>
        </w:rPr>
        <w:t>Our Yonder</w:t>
      </w:r>
      <w:r>
        <w:rPr>
          <w:rFonts w:ascii="Arial" w:cs="Arial" w:eastAsia="Arial" w:hAnsi="Arial"/>
          <w:sz w:val="7"/>
          <w:szCs w:val="7"/>
          <w:color w:val="auto"/>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worldwide mobile broadband services is comprised of global network management services for customers who use our ArcLight</w:t>
      </w:r>
      <w:r>
        <w:rPr>
          <w:rFonts w:ascii="Arial" w:cs="Arial" w:eastAsia="Arial" w:hAnsi="Arial"/>
          <w:sz w:val="11"/>
          <w:szCs w:val="11"/>
          <w:color w:val="auto"/>
        </w:rPr>
        <w:t>®</w:t>
      </w:r>
      <w:r>
        <w:rPr>
          <w:rFonts w:ascii="Arial" w:cs="Arial" w:eastAsia="Arial" w:hAnsi="Arial"/>
          <w:sz w:val="13"/>
          <w:szCs w:val="13"/>
          <w:color w:val="auto"/>
        </w:rPr>
        <w:t>-based mobile satellite systems supporting airborne, maritime and various ground-mobile customers.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Strengths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the following strengths position our business to capitalize on the attractive growth opportunities presented in each of our segments:</w:t>
      </w:r>
    </w:p>
    <w:p>
      <w:pPr>
        <w:spacing w:after="0" w:line="96" w:lineRule="exact"/>
        <w:rPr>
          <w:sz w:val="20"/>
          <w:szCs w:val="20"/>
          <w:color w:val="auto"/>
        </w:rPr>
      </w:pPr>
    </w:p>
    <w:p>
      <w:pPr>
        <w:ind w:left="1280" w:hanging="190"/>
        <w:spacing w:after="0" w:line="255"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Leading Satellite and Wireless Technology Platform. </w:t>
      </w:r>
      <w:r>
        <w:rPr>
          <w:rFonts w:ascii="Arial" w:cs="Arial" w:eastAsia="Arial" w:hAnsi="Arial"/>
          <w:sz w:val="13"/>
          <w:szCs w:val="13"/>
          <w:color w:val="auto"/>
        </w:rPr>
        <w:t>We believe our ability to design and deliver cost-effective satellite and wireless communications and networking solutions,</w:t>
      </w:r>
      <w:r>
        <w:rPr>
          <w:rFonts w:ascii="Arial" w:cs="Arial" w:eastAsia="Arial" w:hAnsi="Arial"/>
          <w:sz w:val="13"/>
          <w:szCs w:val="13"/>
          <w:i w:val="1"/>
          <w:iCs w:val="1"/>
          <w:color w:val="auto"/>
        </w:rPr>
        <w:t xml:space="preserve"> </w:t>
      </w:r>
      <w:r>
        <w:rPr>
          <w:rFonts w:ascii="Arial" w:cs="Arial" w:eastAsia="Arial" w:hAnsi="Arial"/>
          <w:sz w:val="13"/>
          <w:szCs w:val="13"/>
          <w:color w:val="auto"/>
        </w:rPr>
        <w:t>covering both the supply of advanced communications systems, ground network equipment and end-user terminals, and the provision of managed network services, enables us to provide our government and commercial customers with a diverse portfolio of leading applications and solutions. Our product and systems offerings are often linked through common underlying technologies, customer applications and market relationships. We believe that many of the market segments in which we compete have significant barriers to entry relating to the complexity of technology, the amount of required developmental funding, the willingness of the customer to support multiple suppliers, and the importance of existing customer relationships. We believe our history of developing complex secure satellite and wireless networking and communications technologies demonstrates that we possess the expertise and credibility required to serve the evolving technology needs of our government and commercial customers. In addition, our acquisition of WildBlue provides us with</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significant expertise in network management and operational and business systems support for large-scale network deployments.</w:t>
      </w:r>
    </w:p>
    <w:p>
      <w:pPr>
        <w:spacing w:after="0" w:line="96" w:lineRule="exact"/>
        <w:rPr>
          <w:sz w:val="20"/>
          <w:szCs w:val="20"/>
          <w:color w:val="auto"/>
        </w:rPr>
      </w:pPr>
    </w:p>
    <w:p>
      <w:pPr>
        <w:ind w:left="1280" w:right="160" w:hanging="190"/>
        <w:spacing w:after="0" w:line="26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Blue-Chip Customer Base. </w:t>
      </w:r>
      <w:r>
        <w:rPr>
          <w:rFonts w:ascii="Arial" w:cs="Arial" w:eastAsia="Arial" w:hAnsi="Arial"/>
          <w:sz w:val="13"/>
          <w:szCs w:val="13"/>
          <w:color w:val="auto"/>
        </w:rPr>
        <w:t>Our customers include the DoD, civil agencies, defense contractors, allied foreign governments, satellite network integrators, large communications</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providers and enterprises requiring complex communications and networking solutions. The credit strength of our key customers, including the U.S. government and leading aerospace and defense prime contractors, supports our consistent financial performance.</w:t>
      </w:r>
    </w:p>
    <w:p>
      <w:pPr>
        <w:spacing w:after="0" w:line="57" w:lineRule="exact"/>
        <w:rPr>
          <w:rFonts w:ascii="Arial" w:cs="Arial" w:eastAsia="Arial" w:hAnsi="Arial"/>
          <w:sz w:val="13"/>
          <w:szCs w:val="13"/>
          <w:color w:val="auto"/>
        </w:rPr>
      </w:pPr>
    </w:p>
    <w:p>
      <w:pPr>
        <w:ind w:left="1280" w:right="80" w:hanging="190"/>
        <w:spacing w:after="0" w:line="26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Strong Balance Sheet and Equity Capitalization. </w:t>
      </w:r>
      <w:r>
        <w:rPr>
          <w:rFonts w:ascii="Arial" w:cs="Arial" w:eastAsia="Arial" w:hAnsi="Arial"/>
          <w:sz w:val="13"/>
          <w:szCs w:val="13"/>
          <w:color w:val="auto"/>
        </w:rPr>
        <w:t>We are well-capitalized with total equity as of April 1, 2011 of $844.2 million, or 72% of our total capitalization. Our revolving</w:t>
      </w:r>
      <w:r>
        <w:rPr>
          <w:rFonts w:ascii="Arial" w:cs="Arial" w:eastAsia="Arial" w:hAnsi="Arial"/>
          <w:sz w:val="13"/>
          <w:szCs w:val="13"/>
          <w:i w:val="1"/>
          <w:iCs w:val="1"/>
          <w:color w:val="auto"/>
        </w:rPr>
        <w:t xml:space="preserve"> </w:t>
      </w:r>
      <w:r>
        <w:rPr>
          <w:rFonts w:ascii="Arial" w:cs="Arial" w:eastAsia="Arial" w:hAnsi="Arial"/>
          <w:sz w:val="13"/>
          <w:szCs w:val="13"/>
          <w:color w:val="auto"/>
        </w:rPr>
        <w:t>credit facility (the Credit Facility) allows us to borrow up to $325.0 million, and we had $60.0 million in principal amount of outstanding borrowings under the Credit Facility as of April 1, 2011. This financial flexibility along with the significant cash flow generated from our operations is expected to provide us with the liquidity to finance our ongoing capital expenditures, as well as our investment in ViaSat-1, for at least the next twelve months.</w:t>
      </w:r>
    </w:p>
    <w:p>
      <w:pPr>
        <w:spacing w:after="0" w:line="59" w:lineRule="exact"/>
        <w:rPr>
          <w:rFonts w:ascii="Arial" w:cs="Arial" w:eastAsia="Arial" w:hAnsi="Arial"/>
          <w:sz w:val="13"/>
          <w:szCs w:val="13"/>
          <w:color w:val="auto"/>
        </w:rPr>
      </w:pPr>
    </w:p>
    <w:p>
      <w:pPr>
        <w:ind w:left="1280" w:right="180" w:hanging="190"/>
        <w:spacing w:after="0" w:line="26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Experienced Management Team. </w:t>
      </w:r>
      <w:r>
        <w:rPr>
          <w:rFonts w:ascii="Arial" w:cs="Arial" w:eastAsia="Arial" w:hAnsi="Arial"/>
          <w:sz w:val="13"/>
          <w:szCs w:val="13"/>
          <w:color w:val="auto"/>
        </w:rPr>
        <w:t>Our Chief Executive Officer, Mark D. Dankberg, and our Chief Technology Officers have been with the company since its inception in 1986.</w:t>
      </w:r>
      <w:r>
        <w:rPr>
          <w:rFonts w:ascii="Arial" w:cs="Arial" w:eastAsia="Arial" w:hAnsi="Arial"/>
          <w:sz w:val="13"/>
          <w:szCs w:val="13"/>
          <w:i w:val="1"/>
          <w:iCs w:val="1"/>
          <w:color w:val="auto"/>
        </w:rPr>
        <w:t xml:space="preserve"> </w:t>
      </w:r>
      <w:r>
        <w:rPr>
          <w:rFonts w:ascii="Arial" w:cs="Arial" w:eastAsia="Arial" w:hAnsi="Arial"/>
          <w:sz w:val="13"/>
          <w:szCs w:val="13"/>
          <w:color w:val="auto"/>
        </w:rPr>
        <w:t>Mr. Dankberg is considered to be a leading expert in the field of wireless and satellite communications. In 2008, Mr. Dankberg received the prestigious AIAA Aerospace International Communication award, which recognized him for “shepherding ViaSat into a leading satellite communications company through outstanding leadership and technical expertise.”</w:t>
      </w:r>
    </w:p>
    <w:p>
      <w:pPr>
        <w:spacing w:after="0" w:line="59" w:lineRule="exact"/>
        <w:rPr>
          <w:rFonts w:ascii="Arial" w:cs="Arial" w:eastAsia="Arial" w:hAnsi="Arial"/>
          <w:sz w:val="13"/>
          <w:szCs w:val="13"/>
          <w:color w:val="auto"/>
        </w:rPr>
      </w:pPr>
    </w:p>
    <w:p>
      <w:pPr>
        <w:ind w:left="1280" w:right="100" w:hanging="190"/>
        <w:spacing w:after="0" w:line="316" w:lineRule="auto"/>
        <w:tabs>
          <w:tab w:leader="none" w:pos="1280" w:val="left"/>
        </w:tabs>
        <w:numPr>
          <w:ilvl w:val="0"/>
          <w:numId w:val="8"/>
        </w:numPr>
        <w:rPr>
          <w:rFonts w:ascii="Arial" w:cs="Arial" w:eastAsia="Arial" w:hAnsi="Arial"/>
          <w:sz w:val="11"/>
          <w:szCs w:val="11"/>
          <w:color w:val="auto"/>
        </w:rPr>
      </w:pPr>
      <w:r>
        <w:rPr>
          <w:rFonts w:ascii="Arial" w:cs="Arial" w:eastAsia="Arial" w:hAnsi="Arial"/>
          <w:sz w:val="11"/>
          <w:szCs w:val="11"/>
          <w:i w:val="1"/>
          <w:iCs w:val="1"/>
          <w:color w:val="auto"/>
        </w:rPr>
        <w:t xml:space="preserve">Innovation of Next-Generation Satellite Technology. </w:t>
      </w:r>
      <w:r>
        <w:rPr>
          <w:rFonts w:ascii="Arial" w:cs="Arial" w:eastAsia="Arial" w:hAnsi="Arial"/>
          <w:sz w:val="11"/>
          <w:szCs w:val="11"/>
          <w:color w:val="auto"/>
        </w:rPr>
        <w:t>ViaSat-1, our high-capacity Ka-band spot-beam satellite planned for launch in the summer of 2011, is currently under</w:t>
      </w:r>
      <w:r>
        <w:rPr>
          <w:rFonts w:ascii="Arial" w:cs="Arial" w:eastAsia="Arial" w:hAnsi="Arial"/>
          <w:sz w:val="11"/>
          <w:szCs w:val="11"/>
          <w:i w:val="1"/>
          <w:iCs w:val="1"/>
          <w:color w:val="auto"/>
        </w:rPr>
        <w:t xml:space="preserve"> </w:t>
      </w:r>
      <w:r>
        <w:rPr>
          <w:rFonts w:ascii="Arial" w:cs="Arial" w:eastAsia="Arial" w:hAnsi="Arial"/>
          <w:sz w:val="11"/>
          <w:szCs w:val="11"/>
          <w:color w:val="auto"/>
        </w:rPr>
        <w:t>construction. At the time of launch, we believe ViaSat-1 will be the highest capacity, most cost-efficient satellite in the world. With the market demonstrating increasing demand for satellite broadband services, ViaSat-1 and our associated SurfBeam 2 ground segment technology are designed to significantly expand the quality, capability and availability of high-speed broadband satellite services for consumers and enterprises. In addition, we expect that our WildBlue business will facilitate our deployment of broadband services in the United States using ViaSat-1, as well as provide a platform for the provision of network management services to international providers of satellite broadband services.</w:t>
      </w:r>
    </w:p>
    <w:p>
      <w:pPr>
        <w:spacing w:after="0" w:line="32" w:lineRule="exact"/>
        <w:rPr>
          <w:rFonts w:ascii="Arial" w:cs="Arial" w:eastAsia="Arial" w:hAnsi="Arial"/>
          <w:sz w:val="11"/>
          <w:szCs w:val="11"/>
          <w:color w:val="auto"/>
        </w:rPr>
      </w:pPr>
    </w:p>
    <w:p>
      <w:pPr>
        <w:ind w:left="1280" w:right="100" w:hanging="190"/>
        <w:spacing w:after="0" w:line="285"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Innovative Product Development and Cost-Efficient Business Model</w:t>
      </w:r>
      <w:r>
        <w:rPr>
          <w:rFonts w:ascii="Arial" w:cs="Arial" w:eastAsia="Arial" w:hAnsi="Arial"/>
          <w:sz w:val="12"/>
          <w:szCs w:val="12"/>
          <w:color w:val="auto"/>
        </w:rPr>
        <w:t>. Maintaining technological competencies and innovative new product development has been one of our</w:t>
      </w:r>
      <w:r>
        <w:rPr>
          <w:rFonts w:ascii="Arial" w:cs="Arial" w:eastAsia="Arial" w:hAnsi="Arial"/>
          <w:sz w:val="12"/>
          <w:szCs w:val="12"/>
          <w:i w:val="1"/>
          <w:iCs w:val="1"/>
          <w:color w:val="auto"/>
        </w:rPr>
        <w:t xml:space="preserve"> </w:t>
      </w:r>
      <w:r>
        <w:rPr>
          <w:rFonts w:ascii="Arial" w:cs="Arial" w:eastAsia="Arial" w:hAnsi="Arial"/>
          <w:sz w:val="12"/>
          <w:szCs w:val="12"/>
          <w:color w:val="auto"/>
        </w:rPr>
        <w:t>hallmarks and continues to be critical to our success. Our research and development efforts are supported by an employee base of over 1,100 engineers and a culture that deeply values innovation. We balance an emphasis on new product development with efficient management of our capital. For example, the majority of our research and development efforts with respect to the development of new products or applications are funded by customers. In addition, we drive capital efficiencies by outsourcing a significant portion of our manufacturing to subcontractors with whom we collaborate to ensure quality control and superior finished products.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objective is to leverage our advanced technology and capabilities to (1) increase our role as the U.S. government increases its emphasis on IP-based, highly secure, highly mobile, network-centric warfare, (2) develop high-performance, feature-rich, low-cost technology to grow the size of the consumer satellite broadband, commercial enterprise and networking markets, while also capturing a significant share of these growing markets, and (3) maintain a leadership position, while reducing costs and increasing profitability, in our satellite and wireless communications markets. The principal elements of our strategy include:</w:t>
      </w:r>
    </w:p>
    <w:p>
      <w:pPr>
        <w:spacing w:after="0" w:line="70" w:lineRule="exact"/>
        <w:rPr>
          <w:sz w:val="20"/>
          <w:szCs w:val="20"/>
          <w:color w:val="auto"/>
        </w:rPr>
      </w:pPr>
    </w:p>
    <w:p>
      <w:pPr>
        <w:ind w:left="1280" w:right="240" w:hanging="190"/>
        <w:spacing w:after="0" w:line="303" w:lineRule="auto"/>
        <w:tabs>
          <w:tab w:leader="none" w:pos="1280"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Address Increasingly Larger Markets. </w:t>
      </w:r>
      <w:r>
        <w:rPr>
          <w:rFonts w:ascii="Arial" w:cs="Arial" w:eastAsia="Arial" w:hAnsi="Arial"/>
          <w:sz w:val="11"/>
          <w:szCs w:val="11"/>
          <w:color w:val="auto"/>
        </w:rPr>
        <w:t>We have focused on addressing larger markets since our inception. As we have grown our revenues, we are able to target larger</w:t>
      </w:r>
      <w:r>
        <w:rPr>
          <w:rFonts w:ascii="Arial" w:cs="Arial" w:eastAsia="Arial" w:hAnsi="Arial"/>
          <w:sz w:val="11"/>
          <w:szCs w:val="11"/>
          <w:i w:val="1"/>
          <w:iCs w:val="1"/>
          <w:color w:val="auto"/>
        </w:rPr>
        <w:t xml:space="preserve"> </w:t>
      </w:r>
      <w:r>
        <w:rPr>
          <w:rFonts w:ascii="Arial" w:cs="Arial" w:eastAsia="Arial" w:hAnsi="Arial"/>
          <w:sz w:val="11"/>
          <w:szCs w:val="11"/>
          <w:color w:val="auto"/>
        </w:rPr>
        <w:t>opportunities and markets more credibly and more successfully. We consider several factors in selecting new market opportunities, including whether (1) there are meaningful entry barriers for new competitors (for example, specialized technologies or relationships), (2) the new market is the right size and consistent with our growth objectives, and</w:t>
      </w:r>
    </w:p>
    <w:p>
      <w:pPr>
        <w:ind w:left="1280"/>
        <w:spacing w:after="0"/>
        <w:rPr>
          <w:rFonts w:ascii="Arial" w:cs="Arial" w:eastAsia="Arial" w:hAnsi="Arial"/>
          <w:sz w:val="11"/>
          <w:szCs w:val="11"/>
          <w:color w:val="auto"/>
        </w:rPr>
      </w:pPr>
      <w:r>
        <w:rPr>
          <w:rFonts w:ascii="Arial" w:cs="Arial" w:eastAsia="Arial" w:hAnsi="Arial"/>
          <w:sz w:val="13"/>
          <w:szCs w:val="13"/>
          <w:color w:val="auto"/>
        </w:rPr>
        <w:t>(3) the customers in the market value our technology competence and focus, which makes us an attractive partner.</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60" w:hanging="190"/>
        <w:spacing w:after="0" w:line="260"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Evolve into Adjacent Technologies and Markets. </w:t>
      </w:r>
      <w:r>
        <w:rPr>
          <w:rFonts w:ascii="Arial" w:cs="Arial" w:eastAsia="Arial" w:hAnsi="Arial"/>
          <w:sz w:val="13"/>
          <w:szCs w:val="13"/>
          <w:color w:val="auto"/>
        </w:rPr>
        <w:t>We anticipate continued organic growth into adjacent technologies and markets. We seek to increase our share in the market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segments we address by selling existing or customized versions of technologies we developed for one customer base to a different market </w:t>
      </w:r>
      <w:r>
        <w:rPr>
          <w:rFonts w:ascii="Arial" w:cs="Arial" w:eastAsia="Arial" w:hAnsi="Arial"/>
          <w:sz w:val="13"/>
          <w:szCs w:val="13"/>
          <w:i w:val="1"/>
          <w:iCs w:val="1"/>
          <w:color w:val="auto"/>
        </w:rPr>
        <w:t>—</w:t>
      </w:r>
      <w:r>
        <w:rPr>
          <w:rFonts w:ascii="Arial" w:cs="Arial" w:eastAsia="Arial" w:hAnsi="Arial"/>
          <w:sz w:val="13"/>
          <w:szCs w:val="13"/>
          <w:color w:val="auto"/>
        </w:rPr>
        <w:t xml:space="preserve"> for instance, to different segments of the government market or between government and commercial markets. In addition, we seek to expand the breadth of technologies and products we offer by selling new, but related, technologies and products to existing customers.</w:t>
      </w:r>
    </w:p>
    <w:p>
      <w:pPr>
        <w:spacing w:after="0" w:line="59" w:lineRule="exact"/>
        <w:rPr>
          <w:rFonts w:ascii="Arial" w:cs="Arial" w:eastAsia="Arial" w:hAnsi="Arial"/>
          <w:sz w:val="13"/>
          <w:szCs w:val="13"/>
          <w:color w:val="auto"/>
        </w:rPr>
      </w:pPr>
    </w:p>
    <w:p>
      <w:pPr>
        <w:ind w:left="1280" w:right="20" w:hanging="190"/>
        <w:spacing w:after="0" w:line="258"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Enhance International Growth. </w:t>
      </w:r>
      <w:r>
        <w:rPr>
          <w:rFonts w:ascii="Arial" w:cs="Arial" w:eastAsia="Arial" w:hAnsi="Arial"/>
          <w:sz w:val="13"/>
          <w:szCs w:val="13"/>
          <w:color w:val="auto"/>
        </w:rPr>
        <w:t>International revenues represented approximately 17% of our total fiscal year 2011 revenues. We believe growth in international markets</w:t>
      </w:r>
      <w:r>
        <w:rPr>
          <w:rFonts w:ascii="Arial" w:cs="Arial" w:eastAsia="Arial" w:hAnsi="Arial"/>
          <w:sz w:val="13"/>
          <w:szCs w:val="13"/>
          <w:i w:val="1"/>
          <w:iCs w:val="1"/>
          <w:color w:val="auto"/>
        </w:rPr>
        <w:t xml:space="preserve"> </w:t>
      </w:r>
      <w:r>
        <w:rPr>
          <w:rFonts w:ascii="Arial" w:cs="Arial" w:eastAsia="Arial" w:hAnsi="Arial"/>
          <w:sz w:val="13"/>
          <w:szCs w:val="13"/>
          <w:color w:val="auto"/>
        </w:rPr>
        <w:t>represents an attractive opportunity, as we believe our comprehensive offering of satellite communications products, systems and services will be attractive to government and commercial customers on an international basis. In addition, we expect that our WildBlue business will provide a platform for the provision of network management and back-office services to international providers of satellite broadband services, capitalizing on both the strength of WildBlue’s reputation in the satellite industry globally and WildBlue’s operational expertise with respect to the commercial provision of satellite broadband services.</w:t>
      </w:r>
    </w:p>
    <w:p>
      <w:pPr>
        <w:spacing w:after="0" w:line="61" w:lineRule="exact"/>
        <w:rPr>
          <w:rFonts w:ascii="Arial" w:cs="Arial" w:eastAsia="Arial" w:hAnsi="Arial"/>
          <w:sz w:val="13"/>
          <w:szCs w:val="13"/>
          <w:color w:val="auto"/>
        </w:rPr>
      </w:pPr>
    </w:p>
    <w:p>
      <w:pPr>
        <w:ind w:left="1280" w:right="60" w:hanging="190"/>
        <w:spacing w:after="0" w:line="285" w:lineRule="auto"/>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Pursue Growth Through Strategic Alliances and Relationships</w:t>
      </w:r>
      <w:r>
        <w:rPr>
          <w:rFonts w:ascii="Arial" w:cs="Arial" w:eastAsia="Arial" w:hAnsi="Arial"/>
          <w:sz w:val="12"/>
          <w:szCs w:val="12"/>
          <w:color w:val="auto"/>
        </w:rPr>
        <w:t>. We have regularly entered into teaming arrangements with other government contractors to more effectively</w:t>
      </w:r>
      <w:r>
        <w:rPr>
          <w:rFonts w:ascii="Arial" w:cs="Arial" w:eastAsia="Arial" w:hAnsi="Arial"/>
          <w:sz w:val="12"/>
          <w:szCs w:val="12"/>
          <w:i w:val="1"/>
          <w:iCs w:val="1"/>
          <w:color w:val="auto"/>
        </w:rPr>
        <w:t xml:space="preserve"> </w:t>
      </w:r>
      <w:r>
        <w:rPr>
          <w:rFonts w:ascii="Arial" w:cs="Arial" w:eastAsia="Arial" w:hAnsi="Arial"/>
          <w:sz w:val="12"/>
          <w:szCs w:val="12"/>
          <w:color w:val="auto"/>
        </w:rPr>
        <w:t>capture complex government programs, and we expect to continue to actively seek strategic relationships and ventures with companies whose financial, marketing, operational or technological resources can accelerate the introduction of new technologies and the penetration of new markets.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Customers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Initially, we focused primarily on developing satellite communication systems and equipment for the U.S. government, and our U.S. government contracts remain a core part of our business. However, we have also successfully diversified into other related wireless communications and secure networking markets serving a range of government and commercial customers and, over the past few years, we have significantly expanded our customer base both domestically and internationally. In addition, in December 2009 we expanded the scope of our satellite services segment through the acquisition of WildBlue, a leading satellite broadband internet service provider.</w:t>
      </w:r>
    </w:p>
    <w:p>
      <w:pPr>
        <w:spacing w:after="0" w:line="7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Our customers include the DoD, U.S. National Security Agency, the U.S. Department of Homeland Security, allied foreign governments, select other U.S. federal, state and local government agencies,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prime contractors. For our commercial contracts, we also act as both a prime contractor and subcontractor for the sale of equipment and services. Customers of our WildBlue service include residential customers and small businesses in the United States, as well as wholesale distribution partners such as DirecTV, DISH Network and the National Rural Telecommunications Cooperative. In February 2011, DISH Network notified us that it did not intend to renew its distribution agreement with us upon its expiration in August 2011. Under the terms of the distribution agreement, we will continue to provide service to DISH Network’s current 105,000 customers under current pricing terms until the date on which the total number of DISH Network subscribers is less than 20,000. Although the parties are in discussions that may lead to a potential new distribution contract, there can be no assurance that these ongoing discussions with DISH Network will lead to a new contract.</w:t>
      </w:r>
    </w:p>
    <w:p>
      <w:pPr>
        <w:spacing w:after="0" w:line="74" w:lineRule="exact"/>
        <w:rPr>
          <w:sz w:val="20"/>
          <w:szCs w:val="20"/>
          <w:color w:val="auto"/>
        </w:rPr>
      </w:pPr>
    </w:p>
    <w:p>
      <w:pPr>
        <w:ind w:left="680" w:right="320" w:firstLine="399"/>
        <w:spacing w:after="0" w:line="371" w:lineRule="auto"/>
        <w:rPr>
          <w:sz w:val="20"/>
          <w:szCs w:val="20"/>
          <w:color w:val="auto"/>
        </w:rPr>
      </w:pPr>
      <w:r>
        <w:rPr>
          <w:rFonts w:ascii="Arial" w:cs="Arial" w:eastAsia="Arial" w:hAnsi="Arial"/>
          <w:sz w:val="11"/>
          <w:szCs w:val="11"/>
          <w:color w:val="auto"/>
        </w:rPr>
        <w:t>Revenues from the U.S. government comprised approximately 25%, 30% and 36% of total revenues for fiscal years 2011, 2010 and 2009, respectively. None of our commercial customers comprised 10% or more of total revenues in fiscal years 2011 and 2010. In fiscal year 2009, one commercial customer comprised approximately 10% of total revenues.</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Contracts</w:t>
      </w:r>
    </w:p>
    <w:p>
      <w:pPr>
        <w:spacing w:after="0" w:line="100" w:lineRule="exact"/>
        <w:rPr>
          <w:sz w:val="20"/>
          <w:szCs w:val="20"/>
          <w:color w:val="auto"/>
        </w:rPr>
      </w:pPr>
    </w:p>
    <w:p>
      <w:pPr>
        <w:ind w:left="680" w:right="260" w:firstLine="399"/>
        <w:spacing w:after="0" w:line="316" w:lineRule="auto"/>
        <w:rPr>
          <w:sz w:val="20"/>
          <w:szCs w:val="20"/>
          <w:color w:val="auto"/>
        </w:rPr>
      </w:pPr>
      <w:r>
        <w:rPr>
          <w:rFonts w:ascii="Arial" w:cs="Arial" w:eastAsia="Arial" w:hAnsi="Arial"/>
          <w:sz w:val="11"/>
          <w:szCs w:val="11"/>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4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provide products under federal government contracts that usually require performance over a period of several months to five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 the contract price. In fiscal year 2011, approximately 9% of our total government revenues were generated from cost-reimbursement contracts with the federal government or our prime contractors, 1% from time-and-materials contracts and approximately 90% from fixed-price contracts.</w:t>
      </w:r>
    </w:p>
    <w:p>
      <w:pPr>
        <w:spacing w:after="0" w:line="5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allowable federal government contract costs and fees are subject to audit by the Defense Contracting Management Agency (DCMA) and the Defense Contract Audit Agency (DCAA). Audits may result in non-reimbursement of some contract costs and fees and delays in payments for work performed. Failure to comply with applicable contracting and procurement laws, regulations and standards could result in civil and criminal penalties and administrative sanctions being imposed on us, which may include termination of contracts, forfeiture of profits, triggering of price reduction clauses, suspension of payments, fines and suspension, or a prohibition on doing business with U.S. government agencies. In addition, if we fail to obtain an “adequate” determination of our various accounting and management internal control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w:t>
      </w:r>
    </w:p>
    <w:p>
      <w:pPr>
        <w:spacing w:after="0" w:line="73"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federal government contracts may be terminated, in whole or in part, at the convenience of the U.S. government. If a termination for convenience occurs, the U.S.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new and enhanced products, is a significant factor in maintaining or improving our competitive position and our prospects for growth. Therefore, we continue to make significant investments in product development.</w:t>
      </w:r>
    </w:p>
    <w:p>
      <w:pPr>
        <w:spacing w:after="0" w:line="5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conduct the majority of our research and product development activities in-house and have a research and development and engineering staff, which includes over 1,100 engineers. Our product development activities focus on products that we consider viable revenue opportunities to support all of our business segments. A significant portion of our research and development efforts have generally been conducted in direct response to the specific requirements of a customer’s order and, accordingly, these amounts are included in the cost of sales when incurred and the related funding is included in revenues at that time.</w:t>
      </w:r>
    </w:p>
    <w:p>
      <w:pPr>
        <w:spacing w:after="0" w:line="70"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The portion of our contract revenues which includes research and development funded by government and commercial customers was approximately $210.6 million, $92.9 million and $126.7 million during fiscal years 2011, 2010 and 2009, respectively. In addition, we incurred $28.7 million, $27.3 million and $29.6 million during fiscal years 2011, 2010 and 2009, respectively, on independent research and development (IR&amp;D) expenses, which comprises research and development not directly funded by a third party. Funded research and development contains a profit component and is therefore not directly comparable to independent research and development. As a U.S. government contractor, we also are able to recover a portion of our IR&amp;D expenses, consisting primarily of salaries and other personnel-related expenses, supplies and prototype materials related to research and development programs.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seek to establish and maintain our proprietary rights in our technology and products through a combination of patents, copyrights, trademarks, trade secret laws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71"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have a sales presence in various domestic and foreign locations, and we sell our products and services both directly and indirectly through channel partners, as described below:</w:t>
      </w:r>
    </w:p>
    <w:p>
      <w:pPr>
        <w:spacing w:after="0" w:line="119" w:lineRule="exact"/>
        <w:rPr>
          <w:sz w:val="20"/>
          <w:szCs w:val="20"/>
          <w:color w:val="auto"/>
        </w:rPr>
      </w:pPr>
    </w:p>
    <w:p>
      <w:pPr>
        <w:ind w:left="1280" w:right="20" w:hanging="190"/>
        <w:spacing w:after="0" w:line="322" w:lineRule="auto"/>
        <w:tabs>
          <w:tab w:leader="none" w:pos="1280" w:val="left"/>
        </w:tabs>
        <w:numPr>
          <w:ilvl w:val="0"/>
          <w:numId w:val="11"/>
        </w:numPr>
        <w:rPr>
          <w:rFonts w:ascii="Arial" w:cs="Arial" w:eastAsia="Arial" w:hAnsi="Arial"/>
          <w:sz w:val="11"/>
          <w:szCs w:val="11"/>
          <w:color w:val="auto"/>
        </w:rPr>
      </w:pPr>
      <w:r>
        <w:rPr>
          <w:rFonts w:ascii="Arial" w:cs="Arial" w:eastAsia="Arial" w:hAnsi="Arial"/>
          <w:sz w:val="11"/>
          <w:szCs w:val="11"/>
          <w:i w:val="1"/>
          <w:iCs w:val="1"/>
          <w:color w:val="auto"/>
        </w:rPr>
        <w:t xml:space="preserve">Government Sales Organization. </w:t>
      </w:r>
      <w:r>
        <w:rPr>
          <w:rFonts w:ascii="Arial" w:cs="Arial" w:eastAsia="Arial" w:hAnsi="Arial"/>
          <w:sz w:val="11"/>
          <w:szCs w:val="11"/>
          <w:color w:val="auto"/>
        </w:rPr>
        <w:t>Our government sales organization consists of both direct sales personnel who sell our standard products, and business development personnel</w:t>
      </w:r>
      <w:r>
        <w:rPr>
          <w:rFonts w:ascii="Arial" w:cs="Arial" w:eastAsia="Arial" w:hAnsi="Arial"/>
          <w:sz w:val="11"/>
          <w:szCs w:val="11"/>
          <w:i w:val="1"/>
          <w:iCs w:val="1"/>
          <w:color w:val="auto"/>
        </w:rPr>
        <w:t xml:space="preserve"> </w:t>
      </w:r>
      <w:r>
        <w:rPr>
          <w:rFonts w:ascii="Arial" w:cs="Arial" w:eastAsia="Arial" w:hAnsi="Arial"/>
          <w:sz w:val="11"/>
          <w:szCs w:val="11"/>
          <w:color w:val="auto"/>
        </w:rPr>
        <w:t>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28" w:lineRule="exact"/>
        <w:rPr>
          <w:rFonts w:ascii="Arial" w:cs="Arial" w:eastAsia="Arial" w:hAnsi="Arial"/>
          <w:sz w:val="11"/>
          <w:szCs w:val="11"/>
          <w:color w:val="auto"/>
        </w:rPr>
      </w:pPr>
    </w:p>
    <w:p>
      <w:pPr>
        <w:ind w:left="1280" w:right="100" w:hanging="190"/>
        <w:spacing w:after="0" w:line="258"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Commercial Networks Sales Organization. </w:t>
      </w:r>
      <w:r>
        <w:rPr>
          <w:rFonts w:ascii="Arial" w:cs="Arial" w:eastAsia="Arial" w:hAnsi="Arial"/>
          <w:sz w:val="13"/>
          <w:szCs w:val="13"/>
          <w:color w:val="auto"/>
        </w:rPr>
        <w:t>Our commercial networks sales organization consists of sales managers and sales engineers, who act as the primary interface to</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61"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Satellite Services Sales Organization. </w:t>
      </w:r>
      <w:r>
        <w:rPr>
          <w:rFonts w:ascii="Arial" w:cs="Arial" w:eastAsia="Arial" w:hAnsi="Arial"/>
          <w:sz w:val="12"/>
          <w:szCs w:val="12"/>
          <w:color w:val="auto"/>
        </w:rPr>
        <w:t>Our satellite services sales organization includes exclusive wholesale distribution relationships with DirecTV and the National Rural</w:t>
      </w:r>
      <w:r>
        <w:rPr>
          <w:rFonts w:ascii="Arial" w:cs="Arial" w:eastAsia="Arial" w:hAnsi="Arial"/>
          <w:sz w:val="12"/>
          <w:szCs w:val="12"/>
          <w:i w:val="1"/>
          <w:iCs w:val="1"/>
          <w:color w:val="auto"/>
        </w:rPr>
        <w:t xml:space="preserve"> </w:t>
      </w:r>
      <w:r>
        <w:rPr>
          <w:rFonts w:ascii="Arial" w:cs="Arial" w:eastAsia="Arial" w:hAnsi="Arial"/>
          <w:sz w:val="12"/>
          <w:szCs w:val="12"/>
          <w:color w:val="auto"/>
        </w:rPr>
        <w:t>Telecommunications Cooperative for our WildBlue satellite broadband internet service, as well as our own retail distribution channel, which sells directly to residential customers.</w:t>
      </w:r>
    </w:p>
    <w:p>
      <w:pPr>
        <w:spacing w:after="0" w:line="25" w:lineRule="exact"/>
        <w:rPr>
          <w:rFonts w:ascii="Arial" w:cs="Arial" w:eastAsia="Arial" w:hAnsi="Arial"/>
          <w:sz w:val="12"/>
          <w:szCs w:val="12"/>
          <w:color w:val="auto"/>
        </w:rPr>
      </w:pPr>
    </w:p>
    <w:p>
      <w:pPr>
        <w:ind w:left="1280" w:right="120" w:hanging="190"/>
        <w:spacing w:after="0" w:line="322" w:lineRule="auto"/>
        <w:tabs>
          <w:tab w:leader="none" w:pos="1280" w:val="left"/>
        </w:tabs>
        <w:numPr>
          <w:ilvl w:val="0"/>
          <w:numId w:val="11"/>
        </w:numPr>
        <w:rPr>
          <w:rFonts w:ascii="Arial" w:cs="Arial" w:eastAsia="Arial" w:hAnsi="Arial"/>
          <w:sz w:val="11"/>
          <w:szCs w:val="11"/>
          <w:color w:val="auto"/>
        </w:rPr>
      </w:pPr>
      <w:r>
        <w:rPr>
          <w:rFonts w:ascii="Arial" w:cs="Arial" w:eastAsia="Arial" w:hAnsi="Arial"/>
          <w:sz w:val="11"/>
          <w:szCs w:val="11"/>
          <w:i w:val="1"/>
          <w:iCs w:val="1"/>
          <w:color w:val="auto"/>
        </w:rPr>
        <w:t xml:space="preserve">Strategic Partners. </w:t>
      </w:r>
      <w:r>
        <w:rPr>
          <w:rFonts w:ascii="Arial" w:cs="Arial" w:eastAsia="Arial" w:hAnsi="Arial"/>
          <w:sz w:val="11"/>
          <w:szCs w:val="11"/>
          <w:color w:val="auto"/>
        </w:rPr>
        <w:t>To augment our direct sales efforts, we seek to develop key strategic relationships to market and sell our products and services. We direct our sales and</w:t>
      </w:r>
      <w:r>
        <w:rPr>
          <w:rFonts w:ascii="Arial" w:cs="Arial" w:eastAsia="Arial" w:hAnsi="Arial"/>
          <w:sz w:val="11"/>
          <w:szCs w:val="11"/>
          <w:i w:val="1"/>
          <w:iCs w:val="1"/>
          <w:color w:val="auto"/>
        </w:rPr>
        <w:t xml:space="preserve"> </w:t>
      </w:r>
      <w:r>
        <w:rPr>
          <w:rFonts w:ascii="Arial" w:cs="Arial" w:eastAsia="Arial" w:hAnsi="Arial"/>
          <w:sz w:val="11"/>
          <w:szCs w:val="11"/>
          <w:color w:val="auto"/>
        </w:rPr>
        <w:t>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3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marketing team works closely with our sales, research and product development organizations and our customers to increase the awareness of the ViaSat brand through a mix of positive program performance and our customers’ recommendation as well as public relations, advertising, trade show participation and conference speaking engagements by providing communications that keep the market current on our products and features. Our marketing team also identifies and sizes new target markets for our products, creates awareness of our company and products, and generates contacts and leads within these targeted markets.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markets in which we compete are characterized by rapid change, converging technologies and a migration to solutions that offer superior advantages. These market factors represent both an opportunity and a competitive threat to us.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Within our government systems segment, we generally compete with manufacturers of defense electronics products, systems or subsystems, such as BAE Systems, General Dynamics, Harris, L-3 Communications, Rockwell Collins and similar companies. We may also occasionally compete directly with the largest defense prime contractors, including Boeing, Lockheed Martin, Northrop Grumman or Raytheon Systems. These companies, while competitors, can also be our customers or partners on government projects. Accordingly, maintaining an open and cooperative relationship is important. Almost all of the companies we compete with in the government systems segment are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commercial networks and satellite services segments, we compete with Gilat, Hughes Communications and iDirect Technologies, each of which offers a broad range of satellite communications products and services, and with other terrestrial-based internet service providers in areas where such competing services are available. Our principal competitors in the supply of antenna systems are ASC Signal, General Dynamics, L-3 Communications and Zodiac Data Systems.</w:t>
      </w:r>
    </w:p>
    <w:p>
      <w:pPr>
        <w:spacing w:after="0" w:line="67"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overall number of our competitors may increase, and the identity and composition of competitors may change. As we continue to expand our sales globally, we may see new competition in different geographic regions. Many of our competitors have significant competitive advantages, including strong customer relationships, more experience with regulatory compliance, greater financial and management resources and access to technologies not available to us. In addition, our satellite services segment may face increasing competition as a result of recent industry consolidation and vertical integration, which may enable our competitors to provide competing services to broader customer segments or to offer bundled service offerings that we are not able to duplicate, or which may reduce demand for our wholesale broadband distribution services. Further, some of our customers continuously evaluate whether to develop and manufacture their own products and could elect to compete with us at any time.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compete with these providers, we emphasize:</w:t>
      </w:r>
    </w:p>
    <w:p>
      <w:pPr>
        <w:spacing w:after="0" w:line="96"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innovative and flexible features integrated into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increased bandwidth efficiency offered by our networks and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network management experience;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cost-effectiveness of our products and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end-to-end network implementation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distinct advantages of satellite data networks;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technical advantages and advanced features of our antenna systems as compared to our competitors’ offerings;</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overall cost of our antenna systems and satellite networks, which can include equipment, installation and bandwidth costs, as compared to products offered by terrestrial and other satellite service providers;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proven designs and network integration services for complex, customized network needs.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While we believe we compete successfully in each of these factors, we expect to face intense competition in each of our markets.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Our manufacturing objective is to produce high-quality products that conform to specifications at the lowest possible manufacturing cost. We primarily utilize a range of contract manufacturers, based on the volume and complexity of the production, to reduce the costs of products and to support rapid increases in delivery rates when needed. As part of our manufacturing process, we conduct extensive testing and quality control procedures for all products before they are delivered to customers.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Contract manufacturers produce products for many different customers and are able to pass on the benefits of large scale manufacturing to their customers. These manufacturers are able to achieve high quality products with lower levels of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EADS, Harris, IEC Electronics Corporation, MTI and Regal Technology Partners.</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another if required. Our operations management has experience in the successful transition from in-house production to contract manufacturing. The degree to which we employ contract manufacturing depends on the maturity of the product. We intend to limit our internal manufacturing capacity to new product development support and customized products that need to be manufactured in strict accordance with a customer’s specifications and delivery schedule. Therefore, our internal manufacturing capability for standard products has been, and is expected to continue to be, very limited and we intend to rely on contract manufacturers for large-scale manufacturing.</w:t>
      </w:r>
    </w:p>
    <w:p>
      <w:pPr>
        <w:spacing w:after="0" w:line="7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Environment</w:t>
      </w:r>
    </w:p>
    <w:p>
      <w:pPr>
        <w:spacing w:after="0" w:line="10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We are required to comply with the laws and regulations of, and often obtain approvals from, national and local authorities in connection with the services that we provide. In particular, we provide a number of services that rely on the use of radio frequencies, and the provision of such services is highly regulated. National authorities generally require that the satellites they authorize be operated in a manner consistent with the regulations and procedures of the International Telecommunication Union (ITU), which require the coordination of the operation of satellite systems in certain circumstances, and more generally are intended to avoid the occurrence of harmful interference among different users of the radio spectrum.</w:t>
      </w:r>
    </w:p>
    <w:p>
      <w:pPr>
        <w:spacing w:after="0" w:line="53"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 We also participate in joint ventures that may be subject to foreign regulation.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Radio Frequency and Communications Regulation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commercial use of radio frequencies in the United States is subject to the jurisdiction of the Federal Communications Commission (FCC) under the Communications Act of 1934, as amended (Communications Act). The FCC is responsible for licensing the operation of satellite earth stations and spacecraft, and for regulating the technical and other aspects of the operation of these facilities.</w:t>
      </w:r>
    </w:p>
    <w:p>
      <w:pPr>
        <w:spacing w:after="0" w:line="67" w:lineRule="exact"/>
        <w:rPr>
          <w:sz w:val="20"/>
          <w:szCs w:val="20"/>
          <w:color w:val="auto"/>
        </w:rPr>
      </w:pPr>
    </w:p>
    <w:p>
      <w:pPr>
        <w:ind w:left="680" w:right="340" w:firstLine="399"/>
        <w:spacing w:after="0" w:line="280" w:lineRule="auto"/>
        <w:rPr>
          <w:sz w:val="20"/>
          <w:szCs w:val="20"/>
          <w:color w:val="auto"/>
        </w:rPr>
      </w:pPr>
      <w:r>
        <w:rPr>
          <w:rFonts w:ascii="Arial" w:cs="Arial" w:eastAsia="Arial" w:hAnsi="Arial"/>
          <w:sz w:val="12"/>
          <w:szCs w:val="12"/>
          <w:i w:val="1"/>
          <w:iCs w:val="1"/>
          <w:color w:val="auto"/>
        </w:rPr>
        <w:t xml:space="preserve">Earth Stations. </w:t>
      </w:r>
      <w:r>
        <w:rPr>
          <w:rFonts w:ascii="Arial" w:cs="Arial" w:eastAsia="Arial" w:hAnsi="Arial"/>
          <w:sz w:val="12"/>
          <w:szCs w:val="12"/>
          <w:color w:val="auto"/>
        </w:rPr>
        <w:t>The Communications Act requires a license for the operation of satellite earth station facilities in the United States. We currently hold licenses authorizing us to</w:t>
      </w:r>
      <w:r>
        <w:rPr>
          <w:rFonts w:ascii="Arial" w:cs="Arial" w:eastAsia="Arial" w:hAnsi="Arial"/>
          <w:sz w:val="12"/>
          <w:szCs w:val="12"/>
          <w:i w:val="1"/>
          <w:iCs w:val="1"/>
          <w:color w:val="auto"/>
        </w:rPr>
        <w:t xml:space="preserve"> </w:t>
      </w:r>
      <w:r>
        <w:rPr>
          <w:rFonts w:ascii="Arial" w:cs="Arial" w:eastAsia="Arial" w:hAnsi="Arial"/>
          <w:sz w:val="12"/>
          <w:szCs w:val="12"/>
          <w:color w:val="auto"/>
        </w:rPr>
        <w:t>operate various earth stations within the United States, including but not limited to user terminals, “gateway” facilities and network hubs. These licenses typically are granted for 10 to</w:t>
      </w:r>
    </w:p>
    <w:p>
      <w:pPr>
        <w:ind w:left="680" w:right="240"/>
        <w:spacing w:after="0" w:line="264" w:lineRule="auto"/>
        <w:rPr>
          <w:sz w:val="20"/>
          <w:szCs w:val="20"/>
          <w:color w:val="auto"/>
        </w:rPr>
      </w:pPr>
      <w:r>
        <w:rPr>
          <w:rFonts w:ascii="Arial" w:cs="Arial" w:eastAsia="Arial" w:hAnsi="Arial"/>
          <w:sz w:val="13"/>
          <w:szCs w:val="13"/>
          <w:color w:val="auto"/>
        </w:rPr>
        <w:t>15 year terms, and renewed in the ordinary course. Material changes in these operations would require prior approval by the FCC. The operation of our earth stations is subject to various license conditions, as well as the technical and operational requirements of the FCC’s rules and regulations.</w:t>
      </w:r>
    </w:p>
    <w:p>
      <w:pPr>
        <w:spacing w:after="0" w:line="67"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 xml:space="preserve">Space Stations. </w:t>
      </w:r>
      <w:r>
        <w:rPr>
          <w:rFonts w:ascii="Arial" w:cs="Arial" w:eastAsia="Arial" w:hAnsi="Arial"/>
          <w:sz w:val="13"/>
          <w:szCs w:val="13"/>
          <w:color w:val="auto"/>
        </w:rPr>
        <w:t>In the United States, the FCC authorizes the launch and operation of commercial spacecraft, and also authorizes non-U.S. licensed spacecraft to be used to serve the</w:t>
      </w:r>
      <w:r>
        <w:rPr>
          <w:rFonts w:ascii="Arial" w:cs="Arial" w:eastAsia="Arial" w:hAnsi="Arial"/>
          <w:sz w:val="13"/>
          <w:szCs w:val="13"/>
          <w:i w:val="1"/>
          <w:iCs w:val="1"/>
          <w:color w:val="auto"/>
        </w:rPr>
        <w:t xml:space="preserve"> </w:t>
      </w:r>
      <w:r>
        <w:rPr>
          <w:rFonts w:ascii="Arial" w:cs="Arial" w:eastAsia="Arial" w:hAnsi="Arial"/>
          <w:sz w:val="13"/>
          <w:szCs w:val="13"/>
          <w:color w:val="auto"/>
        </w:rPr>
        <w:t>United States. The FCC has authorized the use of the Anik F2, WildBlue-1 and ViaSat-1 spacecraft to serve the United States. The use of these spacecraft in our business is subject to various conditions in the underlying authorizations, as well as the technical and operational requirements of the FCC’s rules and regulations. For example, in granting such authorization with respect to ViaSat-1, which is not yet operational, the FCC imposed implementation milestones that we must satisfy in order to maintain that authorization. Specifically, the authorization requires that we: (1) enter into a binding non-contingent contract to construct the licensed satellite system by August 18, 2010, (2) complete critical design review by August 18, 2011, (3) begin construction by August 18, 2012, and (4) launch and operate by August 18, 2014. We have satisfied the first three of these milestones, and plan to satisfy the fourth of these milestones in calendar 2011, well in advance of the deadline.</w:t>
      </w:r>
    </w:p>
    <w:p>
      <w:pPr>
        <w:spacing w:after="0" w:line="7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Universal Service. </w:t>
      </w:r>
      <w:r>
        <w:rPr>
          <w:rFonts w:ascii="Arial" w:cs="Arial" w:eastAsia="Arial" w:hAnsi="Arial"/>
          <w:sz w:val="13"/>
          <w:szCs w:val="13"/>
          <w:color w:val="auto"/>
        </w:rPr>
        <w:t>Certain of our services may constitute the provision of telecommunications to, from or within the United States, and may require us to contribute a percentage of</w:t>
      </w:r>
      <w:r>
        <w:rPr>
          <w:rFonts w:ascii="Arial" w:cs="Arial" w:eastAsia="Arial" w:hAnsi="Arial"/>
          <w:sz w:val="13"/>
          <w:szCs w:val="13"/>
          <w:i w:val="1"/>
          <w:iCs w:val="1"/>
          <w:color w:val="auto"/>
        </w:rPr>
        <w:t xml:space="preserve"> </w:t>
      </w:r>
      <w:r>
        <w:rPr>
          <w:rFonts w:ascii="Arial" w:cs="Arial" w:eastAsia="Arial" w:hAnsi="Arial"/>
          <w:sz w:val="13"/>
          <w:szCs w:val="13"/>
          <w:color w:val="auto"/>
        </w:rPr>
        <w:t>our revenues from such services to universal service support mechanisms that subsidize the provision of services to low-income consumers, high-cost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0" w:lineRule="auto"/>
        <w:rPr>
          <w:sz w:val="20"/>
          <w:szCs w:val="20"/>
          <w:color w:val="auto"/>
        </w:rPr>
      </w:pPr>
      <w:r>
        <w:rPr>
          <w:rFonts w:ascii="Arial" w:cs="Arial" w:eastAsia="Arial" w:hAnsi="Arial"/>
          <w:sz w:val="11"/>
          <w:szCs w:val="11"/>
          <w:color w:val="auto"/>
        </w:rPr>
        <w:t>areas, schools, libraries and rural health care providers. This percentage is set each calendar quarter by the FCC, and currently is 14.9%. Current FCC rules permit us to pass this universal service contribution through to our customers. The FCC also is considering whether and how to alter the regulatory framework governing federal universal service support mechanisms. For example, in early 2011, the FCC proposed modifications to the universal service support mechanisms that subsidize the provision of services to low-income consumers, high-cost areas, schools, libraries and rural health care providers. The proposals currently being considered by the FCC would transform the existing universal service support mechanisms through the creation of a Connect America Fund (CAF) that would be focused on funding the deployment of affordable broadband services to rural America. The framework proposes to exclude satellite broadband providers from direct participation in Phase I of the CAF and suggests the possibility of limiting satellite participation in Phase II of the CAF. If adopted, this disparate treatment would prevent ViaSat and other satellite broadband service providers from competing for funding on an equal basis with terrestrial and other broadband service providers.</w:t>
      </w:r>
    </w:p>
    <w:p>
      <w:pPr>
        <w:spacing w:after="0" w:line="46"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i w:val="1"/>
          <w:iCs w:val="1"/>
          <w:color w:val="auto"/>
        </w:rPr>
        <w:t xml:space="preserve">CALEA. </w:t>
      </w:r>
      <w:r>
        <w:rPr>
          <w:rFonts w:ascii="Arial" w:cs="Arial" w:eastAsia="Arial" w:hAnsi="Arial"/>
          <w:sz w:val="12"/>
          <w:szCs w:val="12"/>
          <w:color w:val="auto"/>
        </w:rPr>
        <w:t>We are obligated to comply with the requirements of the Communications Assistance for Law Enforcement Act (CALEA), which requires telecommunications providers</w:t>
      </w:r>
      <w:r>
        <w:rPr>
          <w:rFonts w:ascii="Arial" w:cs="Arial" w:eastAsia="Arial" w:hAnsi="Arial"/>
          <w:sz w:val="12"/>
          <w:szCs w:val="12"/>
          <w:i w:val="1"/>
          <w:iCs w:val="1"/>
          <w:color w:val="auto"/>
        </w:rPr>
        <w:t xml:space="preserve"> </w:t>
      </w:r>
      <w:r>
        <w:rPr>
          <w:rFonts w:ascii="Arial" w:cs="Arial" w:eastAsia="Arial" w:hAnsi="Arial"/>
          <w:sz w:val="12"/>
          <w:szCs w:val="12"/>
          <w:color w:val="auto"/>
        </w:rPr>
        <w:t>and broadband internet access providers to ensure that law enforcement agencies are able to conduct lawfully-authorized surveillance of users of their services.</w:t>
      </w:r>
    </w:p>
    <w:p>
      <w:pPr>
        <w:spacing w:after="0" w:line="35"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i w:val="1"/>
          <w:iCs w:val="1"/>
          <w:color w:val="auto"/>
        </w:rPr>
        <w:t xml:space="preserve">Net Neutrality. </w:t>
      </w:r>
      <w:r>
        <w:rPr>
          <w:rFonts w:ascii="Arial" w:cs="Arial" w:eastAsia="Arial" w:hAnsi="Arial"/>
          <w:sz w:val="12"/>
          <w:szCs w:val="12"/>
          <w:color w:val="auto"/>
        </w:rPr>
        <w:t>In October 2009, the FCC proposed and sought public comment on rules intended to preserve the openness of the internet, a concept generally referred to as “net</w:t>
      </w:r>
      <w:r>
        <w:rPr>
          <w:rFonts w:ascii="Arial" w:cs="Arial" w:eastAsia="Arial" w:hAnsi="Arial"/>
          <w:sz w:val="12"/>
          <w:szCs w:val="12"/>
          <w:i w:val="1"/>
          <w:iCs w:val="1"/>
          <w:color w:val="auto"/>
        </w:rPr>
        <w:t xml:space="preserve"> </w:t>
      </w:r>
      <w:r>
        <w:rPr>
          <w:rFonts w:ascii="Arial" w:cs="Arial" w:eastAsia="Arial" w:hAnsi="Arial"/>
          <w:sz w:val="12"/>
          <w:szCs w:val="12"/>
          <w:color w:val="auto"/>
        </w:rPr>
        <w:t>neutrality.” The proposed rules would, among other things, prohibit facilities-based broadband internet access service providers from preventing end-user customers from accessing lawful content or running applications of their choice over the internet, and from connecting and using devices that do not harm the network; they also would require facilities-based broadband internet access service providers to treat lawful content, applications, and services in a nondiscriminatory manner, and to make certain disclosures concerning their practices as they relate to the openness of their networks. However, the FCC’s proposal would permit us to employ reasonable techniques to manage traffic on our network. In addition, the FCC’s proposal would exempt from these rules (1) services provided to national or homeland security authorities, and (2) certain managed or specialized services provided to enterprise customers. Many of our services could fall within these categories of exempt services, and we do not believe that these rules as proposed would likely have a material impact on our operations. If the FCC were to adopt different rules, though, or construe narrowly or eliminate its proposed exemptions, the impact of any final rules on our operations could be different.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Licensing</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The spacecraft we use or are planning to use are subject to the regulatory authority of, and conditions imposed by, foreign governments. Anik F2 and WildBlue-1 operate under authority granted by the government of Canada. ViaSat-1 will operate under authority granted by the governments of the Isle of Man and the United Kingdom. The use of these spacecraft in our business is subject to various conditions in their underlying authorizations, as well as the technical and operational requirements of the rules and regulations of those jurisdictions.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Equipment Design, Manufacture, and Marketing</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55"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Equipment Testing and Verification. </w:t>
      </w:r>
      <w:r>
        <w:rPr>
          <w:rFonts w:ascii="Arial" w:cs="Arial" w:eastAsia="Arial" w:hAnsi="Arial"/>
          <w:sz w:val="13"/>
          <w:szCs w:val="13"/>
          <w:color w:val="auto"/>
        </w:rPr>
        <w:t>In the United States, certain equipment that we manufacture must comply with applicable technical requirements intended to minimize radio</w:t>
      </w:r>
      <w:r>
        <w:rPr>
          <w:rFonts w:ascii="Arial" w:cs="Arial" w:eastAsia="Arial" w:hAnsi="Arial"/>
          <w:sz w:val="13"/>
          <w:szCs w:val="13"/>
          <w:i w:val="1"/>
          <w:iCs w:val="1"/>
          <w:color w:val="auto"/>
        </w:rPr>
        <w:t xml:space="preserve"> </w:t>
      </w:r>
      <w:r>
        <w:rPr>
          <w:rFonts w:ascii="Arial" w:cs="Arial" w:eastAsia="Arial" w:hAnsi="Arial"/>
          <w:sz w:val="13"/>
          <w:szCs w:val="13"/>
          <w:color w:val="auto"/>
        </w:rPr>
        <w:t>interference to other communications services and ensure product safety. In the United States, the FCC is responsible for ensuring that communications devices comply with technical requirements for minimizing radio interference and human exposure to radio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71" w:lineRule="auto"/>
        <w:rPr>
          <w:sz w:val="20"/>
          <w:szCs w:val="20"/>
          <w:color w:val="auto"/>
        </w:rPr>
      </w:pPr>
      <w:r>
        <w:rPr>
          <w:rFonts w:ascii="Arial" w:cs="Arial" w:eastAsia="Arial" w:hAnsi="Arial"/>
          <w:sz w:val="11"/>
          <w:szCs w:val="11"/>
          <w:color w:val="auto"/>
        </w:rPr>
        <w:t>emissions. The FCC requires that equipment be tested either by the manufacturer or by a private testing organization to ensure compliance with the applicable technical requirements. For other classes of device, the FCC requires submission of an application, which must be approved by the FCC, or in some instances may be approved by a private testing organization.</w:t>
      </w:r>
    </w:p>
    <w:p>
      <w:pPr>
        <w:spacing w:after="0" w:line="1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Export Controls. </w:t>
      </w:r>
      <w:r>
        <w:rPr>
          <w:rFonts w:ascii="Arial" w:cs="Arial" w:eastAsia="Arial" w:hAnsi="Arial"/>
          <w:sz w:val="13"/>
          <w:szCs w:val="13"/>
          <w:color w:val="auto"/>
        </w:rPr>
        <w:t>Due to the nature and sophistication of our communications products, we must comply with applicable U.S. government and other agency regulations regarding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Regulations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As a government contractor, we are subject to routine audits, investigations and reviews by U.S. government agencies such as the DCMA and DCAA. These agencies routinely audit and review a contractor’s performance under government contracts, cost structure, pricing practices and compliance with applicable laws, regulations and standards. They also review the adequacy of the contractor’s compliance with government standards for its accounting and management internal control systems and policies, including the contractor’s general control environment and accounting, purchasing, property, budgeting, billing, compensation, labor, management, and information technology systems. Failure to comply with applicable contracting and procurement laws, regulations and standards could result in civil and criminal penalties and administrative sanctions being imposed on us, which may include termination of contracts, forfeiture of profits, triggering of price reduction clauses, suspension of payments, fines and suspension, or a prohibition on doing business with U.S. government agencies. In addition, if we fail to obtain an “adequate” determination of our various accounting and management internal control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w:t>
      </w:r>
    </w:p>
    <w:p>
      <w:pPr>
        <w:spacing w:after="0" w:line="74"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We are also subject to a variety of local, state and federal government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Availability of Public Reports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Through a link on the Investor Relations section of our website at </w:t>
      </w:r>
      <w:r>
        <w:rPr>
          <w:rFonts w:ascii="Arial" w:cs="Arial" w:eastAsia="Arial" w:hAnsi="Arial"/>
          <w:sz w:val="13"/>
          <w:szCs w:val="13"/>
          <w:i w:val="1"/>
          <w:iCs w:val="1"/>
          <w:color w:val="auto"/>
        </w:rPr>
        <w:t>www.viasat.com,</w:t>
      </w:r>
      <w:r>
        <w:rPr>
          <w:rFonts w:ascii="Arial" w:cs="Arial" w:eastAsia="Arial" w:hAnsi="Arial"/>
          <w:sz w:val="13"/>
          <w:szCs w:val="13"/>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3"/>
          <w:szCs w:val="13"/>
          <w:i w:val="1"/>
          <w:iCs w:val="1"/>
          <w:color w:val="auto"/>
        </w:rPr>
        <w:t>www.sec.gov</w:t>
      </w:r>
      <w:r>
        <w:rPr>
          <w:rFonts w:ascii="Arial" w:cs="Arial" w:eastAsia="Arial" w:hAnsi="Arial"/>
          <w:sz w:val="13"/>
          <w:szCs w:val="13"/>
          <w:color w:val="auto"/>
        </w:rPr>
        <w:t>. In addition, any materials filed with the SEC may be read and copied by the public at the SEC’s Public Reference Room at 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of April 1, 2011, we employed more than 2,200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Set forth below is information concerning our executive officers and their ages as of April 1, 2011.</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20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180" w:type="dxa"/>
            <w:vAlign w:val="bottom"/>
          </w:tcPr>
          <w:p>
            <w:pPr>
              <w:spacing w:after="0"/>
              <w:rPr>
                <w:sz w:val="10"/>
                <w:szCs w:val="10"/>
                <w:color w:val="auto"/>
              </w:rPr>
            </w:pPr>
          </w:p>
        </w:tc>
        <w:tc>
          <w:tcPr>
            <w:tcW w:w="4980" w:type="dxa"/>
            <w:vAlign w:val="bottom"/>
            <w:tcBorders>
              <w:bottom w:val="single" w:sz="8" w:color="auto"/>
            </w:tcBorders>
          </w:tcPr>
          <w:p>
            <w:pPr>
              <w:ind w:left="2320"/>
              <w:spacing w:after="0"/>
              <w:rPr>
                <w:sz w:val="20"/>
                <w:szCs w:val="20"/>
                <w:color w:val="auto"/>
              </w:rPr>
            </w:pPr>
            <w:r>
              <w:rPr>
                <w:rFonts w:ascii="Arial" w:cs="Arial" w:eastAsia="Arial" w:hAnsi="Arial"/>
                <w:sz w:val="10"/>
                <w:szCs w:val="10"/>
                <w:b w:val="1"/>
                <w:bCs w:val="1"/>
                <w:color w:val="auto"/>
              </w:rPr>
              <w:t>Position</w:t>
            </w:r>
          </w:p>
        </w:tc>
      </w:tr>
      <w:tr>
        <w:trPr>
          <w:trHeight w:val="29"/>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Mark D. Dankberg</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55</w:t>
            </w:r>
          </w:p>
        </w:tc>
        <w:tc>
          <w:tcPr>
            <w:tcW w:w="180" w:type="dxa"/>
            <w:vAlign w:val="bottom"/>
            <w:shd w:val="clear" w:color="auto" w:fill="CCEEFF"/>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Chairman of the Board and Chief Executive Officer</w:t>
            </w:r>
          </w:p>
        </w:tc>
      </w:tr>
      <w:tr>
        <w:trPr>
          <w:trHeight w:val="157"/>
        </w:trPr>
        <w:tc>
          <w:tcPr>
            <w:tcW w:w="4280" w:type="dxa"/>
            <w:vAlign w:val="bottom"/>
          </w:tcPr>
          <w:p>
            <w:pPr>
              <w:spacing w:after="0"/>
              <w:rPr>
                <w:sz w:val="20"/>
                <w:szCs w:val="20"/>
                <w:color w:val="auto"/>
              </w:rPr>
            </w:pPr>
            <w:r>
              <w:rPr>
                <w:rFonts w:ascii="Arial" w:cs="Arial" w:eastAsia="Arial" w:hAnsi="Arial"/>
                <w:sz w:val="13"/>
                <w:szCs w:val="13"/>
                <w:color w:val="auto"/>
              </w:rPr>
              <w:t>Richard A. Baldridge</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52</w:t>
            </w:r>
          </w:p>
        </w:tc>
        <w:tc>
          <w:tcPr>
            <w:tcW w:w="18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Arial" w:cs="Arial" w:eastAsia="Arial" w:hAnsi="Arial"/>
                <w:sz w:val="13"/>
                <w:szCs w:val="13"/>
                <w:color w:val="auto"/>
              </w:rPr>
              <w:t>President and Chief Operating Officer</w:t>
            </w: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H. Stephen Estes</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56</w:t>
            </w:r>
          </w:p>
        </w:tc>
        <w:tc>
          <w:tcPr>
            <w:tcW w:w="180" w:type="dxa"/>
            <w:vAlign w:val="bottom"/>
            <w:shd w:val="clear" w:color="auto" w:fill="CCEEFF"/>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Vice President — Human Resources</w:t>
            </w:r>
          </w:p>
        </w:tc>
      </w:tr>
      <w:tr>
        <w:trPr>
          <w:trHeight w:val="157"/>
        </w:trPr>
        <w:tc>
          <w:tcPr>
            <w:tcW w:w="4280" w:type="dxa"/>
            <w:vAlign w:val="bottom"/>
          </w:tcPr>
          <w:p>
            <w:pPr>
              <w:spacing w:after="0"/>
              <w:rPr>
                <w:sz w:val="20"/>
                <w:szCs w:val="20"/>
                <w:color w:val="auto"/>
              </w:rPr>
            </w:pPr>
            <w:r>
              <w:rPr>
                <w:rFonts w:ascii="Arial" w:cs="Arial" w:eastAsia="Arial" w:hAnsi="Arial"/>
                <w:sz w:val="13"/>
                <w:szCs w:val="13"/>
                <w:color w:val="auto"/>
              </w:rPr>
              <w:t>Kevin J. Harkenrider</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55</w:t>
            </w:r>
          </w:p>
        </w:tc>
        <w:tc>
          <w:tcPr>
            <w:tcW w:w="18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Arial" w:cs="Arial" w:eastAsia="Arial" w:hAnsi="Arial"/>
                <w:sz w:val="13"/>
                <w:szCs w:val="13"/>
                <w:color w:val="auto"/>
              </w:rPr>
              <w:t>Vice President of ViaSat; Vice President and Chief Operating Officer of WildBlue</w:t>
            </w: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Steven R. Hart</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57</w:t>
            </w:r>
          </w:p>
        </w:tc>
        <w:tc>
          <w:tcPr>
            <w:tcW w:w="180" w:type="dxa"/>
            <w:vAlign w:val="bottom"/>
            <w:shd w:val="clear" w:color="auto" w:fill="CCEEFF"/>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Vice President and Chief Technical Officer</w:t>
            </w:r>
          </w:p>
        </w:tc>
      </w:tr>
      <w:tr>
        <w:trPr>
          <w:trHeight w:val="157"/>
        </w:trPr>
        <w:tc>
          <w:tcPr>
            <w:tcW w:w="4280" w:type="dxa"/>
            <w:vAlign w:val="bottom"/>
          </w:tcPr>
          <w:p>
            <w:pPr>
              <w:spacing w:after="0"/>
              <w:rPr>
                <w:sz w:val="20"/>
                <w:szCs w:val="20"/>
                <w:color w:val="auto"/>
              </w:rPr>
            </w:pPr>
            <w:r>
              <w:rPr>
                <w:rFonts w:ascii="Arial" w:cs="Arial" w:eastAsia="Arial" w:hAnsi="Arial"/>
                <w:sz w:val="13"/>
                <w:szCs w:val="13"/>
                <w:color w:val="auto"/>
              </w:rPr>
              <w:t>Keven K. Lippert</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38</w:t>
            </w:r>
          </w:p>
        </w:tc>
        <w:tc>
          <w:tcPr>
            <w:tcW w:w="18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Arial" w:cs="Arial" w:eastAsia="Arial" w:hAnsi="Arial"/>
                <w:sz w:val="13"/>
                <w:szCs w:val="13"/>
                <w:color w:val="auto"/>
              </w:rPr>
              <w:t>Vice President — General Counsel and Secretary</w:t>
            </w: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Mark J. Miller</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51</w:t>
            </w:r>
          </w:p>
        </w:tc>
        <w:tc>
          <w:tcPr>
            <w:tcW w:w="180" w:type="dxa"/>
            <w:vAlign w:val="bottom"/>
            <w:shd w:val="clear" w:color="auto" w:fill="CCEEFF"/>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Vice President and Chief Technical Officer</w:t>
            </w:r>
          </w:p>
        </w:tc>
      </w:tr>
      <w:tr>
        <w:trPr>
          <w:trHeight w:val="157"/>
        </w:trPr>
        <w:tc>
          <w:tcPr>
            <w:tcW w:w="4280" w:type="dxa"/>
            <w:vAlign w:val="bottom"/>
          </w:tcPr>
          <w:p>
            <w:pPr>
              <w:spacing w:after="0"/>
              <w:rPr>
                <w:sz w:val="20"/>
                <w:szCs w:val="20"/>
                <w:color w:val="auto"/>
              </w:rPr>
            </w:pPr>
            <w:r>
              <w:rPr>
                <w:rFonts w:ascii="Arial" w:cs="Arial" w:eastAsia="Arial" w:hAnsi="Arial"/>
                <w:sz w:val="13"/>
                <w:szCs w:val="13"/>
                <w:color w:val="auto"/>
              </w:rPr>
              <w:t>Thomas E. Moore</w:t>
            </w:r>
          </w:p>
        </w:tc>
        <w:tc>
          <w:tcPr>
            <w:tcW w:w="540" w:type="dxa"/>
            <w:vAlign w:val="bottom"/>
            <w:gridSpan w:val="2"/>
          </w:tcPr>
          <w:p>
            <w:pPr>
              <w:jc w:val="center"/>
              <w:ind w:left="134"/>
              <w:spacing w:after="0"/>
              <w:rPr>
                <w:sz w:val="20"/>
                <w:szCs w:val="20"/>
                <w:color w:val="auto"/>
              </w:rPr>
            </w:pPr>
            <w:r>
              <w:rPr>
                <w:rFonts w:ascii="Arial" w:cs="Arial" w:eastAsia="Arial" w:hAnsi="Arial"/>
                <w:sz w:val="13"/>
                <w:szCs w:val="13"/>
                <w:color w:val="auto"/>
                <w:w w:val="96"/>
              </w:rPr>
              <w:t>49</w:t>
            </w:r>
          </w:p>
        </w:tc>
        <w:tc>
          <w:tcPr>
            <w:tcW w:w="18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Arial" w:cs="Arial" w:eastAsia="Arial" w:hAnsi="Arial"/>
                <w:sz w:val="13"/>
                <w:szCs w:val="13"/>
                <w:color w:val="auto"/>
              </w:rPr>
              <w:t>Senior Vice President of ViaSat; President of WildBlue</w:t>
            </w: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Ronald G. Wangerin</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44</w:t>
            </w:r>
          </w:p>
        </w:tc>
        <w:tc>
          <w:tcPr>
            <w:tcW w:w="180" w:type="dxa"/>
            <w:vAlign w:val="bottom"/>
            <w:shd w:val="clear" w:color="auto" w:fill="CCEEFF"/>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Vice President and Chief Financial Officer</w:t>
            </w:r>
          </w:p>
        </w:tc>
      </w:tr>
    </w:tbl>
    <w:p>
      <w:pPr>
        <w:spacing w:after="0" w:line="8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Mark D. Dankberg </w:t>
      </w:r>
      <w:r>
        <w:rPr>
          <w:rFonts w:ascii="Arial" w:cs="Arial" w:eastAsia="Arial" w:hAnsi="Arial"/>
          <w:sz w:val="12"/>
          <w:szCs w:val="12"/>
          <w:color w:val="auto"/>
        </w:rPr>
        <w:t>is a founder of ViaSat and has served as Chairman of the Board and Chief Executive Officer of ViaSat since its inception in May 1986. Mr. Dankberg provides our</w:t>
      </w:r>
      <w:r>
        <w:rPr>
          <w:rFonts w:ascii="Arial" w:cs="Arial" w:eastAsia="Arial" w:hAnsi="Arial"/>
          <w:sz w:val="12"/>
          <w:szCs w:val="12"/>
          <w:i w:val="1"/>
          <w:iCs w:val="1"/>
          <w:color w:val="auto"/>
        </w:rPr>
        <w:t xml:space="preserve"> </w:t>
      </w:r>
      <w:r>
        <w:rPr>
          <w:rFonts w:ascii="Arial" w:cs="Arial" w:eastAsia="Arial" w:hAnsi="Arial"/>
          <w:sz w:val="12"/>
          <w:szCs w:val="12"/>
          <w:color w:val="auto"/>
        </w:rPr>
        <w:t>Board with significant operational, business and technological expertise in the satellite and communications industry, and intimate knowledge of the issues facing our management, having been a member of ViaSat’s founding group in May 1986. Mr. Dankberg also has significant expertise and perspective as a member of the boards of directors of companies in various industries, including communications. Mr. Dankberg serves as a director of TrellisWare Technologies, Inc. (TrellisWare), a majority-owned subsidiary of ViaSat that develops advanced signal processing technologies for communication applications, and was a director of REMEC, Inc. In addition, Mr. Dankberg serves on the board of Minnetronix, Inc., a privately-held medical device and design company.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58"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Richard A. Baldridge </w:t>
      </w:r>
      <w:r>
        <w:rPr>
          <w:rFonts w:ascii="Arial" w:cs="Arial" w:eastAsia="Arial" w:hAnsi="Arial"/>
          <w:sz w:val="13"/>
          <w:szCs w:val="13"/>
          <w:color w:val="auto"/>
        </w:rPr>
        <w:t>joined ViaSat in April 1999 as Vice President and Chief Financial Officer. From September 2000 to August 2002, Mr. Baldridge served as Executive Vice</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Chief Operating Officer and Chief Financial Officer. He currently serves as President and Chief Operating Officer of ViaSat. In addition, Mr. Baldridge serves as a director of CommNexus San Diego, a non-profit technology industry association.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7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H. Stephen Estes </w:t>
      </w:r>
      <w:r>
        <w:rPr>
          <w:rFonts w:ascii="Arial" w:cs="Arial" w:eastAsia="Arial" w:hAnsi="Arial"/>
          <w:sz w:val="13"/>
          <w:szCs w:val="13"/>
          <w:color w:val="auto"/>
        </w:rPr>
        <w:t>first became part of the ViaSat team with the acquisition of several commercial divisions of Scientific-Atlanta in April 2000. Mr. Estes served as Vice President and</w:t>
      </w:r>
      <w:r>
        <w:rPr>
          <w:rFonts w:ascii="Arial" w:cs="Arial" w:eastAsia="Arial" w:hAnsi="Arial"/>
          <w:sz w:val="13"/>
          <w:szCs w:val="13"/>
          <w:i w:val="1"/>
          <w:iCs w:val="1"/>
          <w:color w:val="auto"/>
        </w:rPr>
        <w:t xml:space="preserve"> </w:t>
      </w:r>
      <w:r>
        <w:rPr>
          <w:rFonts w:ascii="Arial" w:cs="Arial" w:eastAsia="Arial" w:hAnsi="Arial"/>
          <w:sz w:val="13"/>
          <w:szCs w:val="13"/>
          <w:color w:val="auto"/>
        </w:rPr>
        <w:t>General Manager of the Antenna Systems group from 2000 to 2003. From 2003 to 2005, he served as a co-founder of an entrepreneurial startup. In September 2005, Mr. Estes rejoined ViaSat as Vice President — Human Resources. Mr. Estes began his career as an electrical design engineer, moving into various management positions in engineering, program management, sales and marketing, and general management for companies that included Scientific-Atlanta, Loral (now part of L-3 Communications), and AEL Cross Systems (now part of BAE Systems). Mr. Estes holds a B.S. degree in Mathematics from Brescia University, an Electrical Engineering degree from Georgia Tech and an M.B.A. degree from Georgia State University focused on finance and marketing.</w:t>
      </w:r>
    </w:p>
    <w:p>
      <w:pPr>
        <w:spacing w:after="0" w:line="72"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Kevin J. Harkenrider </w:t>
      </w:r>
      <w:r>
        <w:rPr>
          <w:rFonts w:ascii="Arial" w:cs="Arial" w:eastAsia="Arial" w:hAnsi="Arial"/>
          <w:sz w:val="13"/>
          <w:szCs w:val="13"/>
          <w:color w:val="auto"/>
        </w:rPr>
        <w:t>joined ViaSat in October 2006 as Director — Operations and served as Vice President — Operations from January 2007 until December 2009. He assumed his</w:t>
      </w:r>
      <w:r>
        <w:rPr>
          <w:rFonts w:ascii="Arial" w:cs="Arial" w:eastAsia="Arial" w:hAnsi="Arial"/>
          <w:sz w:val="13"/>
          <w:szCs w:val="13"/>
          <w:i w:val="1"/>
          <w:iCs w:val="1"/>
          <w:color w:val="auto"/>
        </w:rPr>
        <w:t xml:space="preserve"> </w:t>
      </w:r>
      <w:r>
        <w:rPr>
          <w:rFonts w:ascii="Arial" w:cs="Arial" w:eastAsia="Arial" w:hAnsi="Arial"/>
          <w:sz w:val="13"/>
          <w:szCs w:val="13"/>
          <w:color w:val="auto"/>
        </w:rPr>
        <w:t>current position as Vice President of ViaSat and Vice President and Chief Operating Officer of WildBlue Communications, a ViaSat subsidiary, in December 2009 following our acquisition of WildBlue. Prior to joining ViaSat, Mr. Harkenrider served as Account Executive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0" w:lineRule="auto"/>
        <w:rPr>
          <w:sz w:val="20"/>
          <w:szCs w:val="20"/>
          <w:color w:val="auto"/>
        </w:rPr>
      </w:pPr>
      <w:r>
        <w:rPr>
          <w:rFonts w:ascii="Arial" w:cs="Arial" w:eastAsia="Arial" w:hAnsi="Arial"/>
          <w:sz w:val="13"/>
          <w:szCs w:val="13"/>
          <w:color w:val="auto"/>
        </w:rPr>
        <w:t>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70"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Steven R. Hart </w:t>
      </w:r>
      <w:r>
        <w:rPr>
          <w:rFonts w:ascii="Arial" w:cs="Arial" w:eastAsia="Arial" w:hAnsi="Arial"/>
          <w:sz w:val="12"/>
          <w:szCs w:val="12"/>
          <w:color w:val="auto"/>
        </w:rPr>
        <w:t>is a founder of ViaSat and has served as Vice President and Chief Technical Officer since March 1993. Mr. Hart served as Vice President — Engineering from March</w:t>
      </w:r>
      <w:r>
        <w:rPr>
          <w:rFonts w:ascii="Arial" w:cs="Arial" w:eastAsia="Arial" w:hAnsi="Arial"/>
          <w:sz w:val="12"/>
          <w:szCs w:val="12"/>
          <w:i w:val="1"/>
          <w:iCs w:val="1"/>
          <w:color w:val="auto"/>
        </w:rPr>
        <w:t xml:space="preserve"> </w:t>
      </w:r>
      <w:r>
        <w:rPr>
          <w:rFonts w:ascii="Arial" w:cs="Arial" w:eastAsia="Arial" w:hAnsi="Arial"/>
          <w:sz w:val="12"/>
          <w:szCs w:val="12"/>
          <w:color w:val="auto"/>
        </w:rPr>
        <w:t>1997 to January 2007 and as Engineering Manager since 1986. Prior to joining ViaSat, Mr. Hart was a Staff Engineer and Manager at M/A-COM Linkabit from 1982 to 1986. Mr. Hart holds a B.S. degree in Mathematics from the University of Nevada, Las Vegas and a M.A. degree in Mathematics from the University of California, San Diego.</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Keven K. Lippert </w:t>
      </w:r>
      <w:r>
        <w:rPr>
          <w:rFonts w:ascii="Arial" w:cs="Arial" w:eastAsia="Arial" w:hAnsi="Arial"/>
          <w:sz w:val="13"/>
          <w:szCs w:val="13"/>
          <w:color w:val="auto"/>
        </w:rPr>
        <w:t>has served as Vice President — General Counsel and Secretary of ViaSat since April 2007 and as Associate General Counsel and Assistant Secretary from May</w:t>
      </w:r>
      <w:r>
        <w:rPr>
          <w:rFonts w:ascii="Arial" w:cs="Arial" w:eastAsia="Arial" w:hAnsi="Arial"/>
          <w:sz w:val="13"/>
          <w:szCs w:val="13"/>
          <w:i w:val="1"/>
          <w:iCs w:val="1"/>
          <w:color w:val="auto"/>
        </w:rPr>
        <w:t xml:space="preserve"> </w:t>
      </w:r>
      <w:r>
        <w:rPr>
          <w:rFonts w:ascii="Arial" w:cs="Arial" w:eastAsia="Arial" w:hAnsi="Arial"/>
          <w:sz w:val="13"/>
          <w:szCs w:val="13"/>
          <w:color w:val="auto"/>
        </w:rPr>
        <w:t>2000 to April 2007.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67"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Mark J. Miller </w:t>
      </w:r>
      <w:r>
        <w:rPr>
          <w:rFonts w:ascii="Arial" w:cs="Arial" w:eastAsia="Arial" w:hAnsi="Arial"/>
          <w:sz w:val="13"/>
          <w:szCs w:val="13"/>
          <w:color w:val="auto"/>
        </w:rPr>
        <w:t>is a founder of ViaSat and has served as Vice President and Chief Technical Officer of ViaSat since March 1993 and as Engineering Manager since 1986.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joining ViaSat, Mr. Miller was a Staff Engineer at M/A-COM Linkabit from 1983 to 1986. Mr. Miller holds a B.S.E.E. degree from the University of California, San Diego and a M.S.E.E. degree from the University of California, Los Angeles.</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Thomas E. Moore </w:t>
      </w:r>
      <w:r>
        <w:rPr>
          <w:rFonts w:ascii="Arial" w:cs="Arial" w:eastAsia="Arial" w:hAnsi="Arial"/>
          <w:sz w:val="13"/>
          <w:szCs w:val="13"/>
          <w:color w:val="auto"/>
        </w:rPr>
        <w:t>joined ViaSat in 2008 as Senior Vice President and President of ViaSat Satellite Ventures. In 2009, he also was appointed as the President of WildBlue</w:t>
      </w:r>
      <w:r>
        <w:rPr>
          <w:rFonts w:ascii="Arial" w:cs="Arial" w:eastAsia="Arial" w:hAnsi="Arial"/>
          <w:sz w:val="13"/>
          <w:szCs w:val="13"/>
          <w:i w:val="1"/>
          <w:iCs w:val="1"/>
          <w:color w:val="auto"/>
        </w:rPr>
        <w:t xml:space="preserve"> </w:t>
      </w:r>
      <w:r>
        <w:rPr>
          <w:rFonts w:ascii="Arial" w:cs="Arial" w:eastAsia="Arial" w:hAnsi="Arial"/>
          <w:sz w:val="13"/>
          <w:szCs w:val="13"/>
          <w:color w:val="auto"/>
        </w:rPr>
        <w:t>Communications. Prior to joining ViaSat, Mr. Moore was a principal at TimesArrow, a venture investing firm from December 2005. From 1998 through 2005 (prior to our acquisition of WildBlue), Mr. Moore served as President, Chief Executive Officer of WildBlue Communications and served as a director of WildBlue Communications until February 2008. From 1993 through 1998 Mr. Moore was in senior management at Cable Television Laboratories (CableLabs) a non-profit technology development consortium of the cable industry. Mr. Moore is on the advisory boards of the Telecommunications Program at the University of Colorado and Silicon Flatirons and serves as a founding member of the Colorado Governor’s Innovation Council. Mr. Moore holds a master’s degree in telecommunications engineering from the University of Colorado and he earned an M.B.A. (with distinction) from Harvard Business School. He also holds a B.S. in Engineering from the Colorado School of Mines.</w:t>
      </w:r>
    </w:p>
    <w:p>
      <w:pPr>
        <w:spacing w:after="0" w:line="73"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i w:val="1"/>
          <w:iCs w:val="1"/>
          <w:color w:val="auto"/>
        </w:rPr>
        <w:t xml:space="preserve">Ronald G. Wangerin </w:t>
      </w:r>
      <w:r>
        <w:rPr>
          <w:rFonts w:ascii="Arial" w:cs="Arial" w:eastAsia="Arial" w:hAnsi="Arial"/>
          <w:sz w:val="13"/>
          <w:szCs w:val="13"/>
          <w:color w:val="auto"/>
        </w:rPr>
        <w:t>joined ViaSat in 2002 as Vice President and Chief Financial Officer. Prior to joining ViaSat, Mr. Wangerin served as Vice President, Chief Financial Officer,</w:t>
      </w:r>
      <w:r>
        <w:rPr>
          <w:rFonts w:ascii="Arial" w:cs="Arial" w:eastAsia="Arial" w:hAnsi="Arial"/>
          <w:sz w:val="13"/>
          <w:szCs w:val="13"/>
          <w:i w:val="1"/>
          <w:iCs w:val="1"/>
          <w:color w:val="auto"/>
        </w:rPr>
        <w:t xml:space="preserve"> </w:t>
      </w:r>
      <w:r>
        <w:rPr>
          <w:rFonts w:ascii="Arial" w:cs="Arial" w:eastAsia="Arial" w:hAnsi="Arial"/>
          <w:sz w:val="13"/>
          <w:szCs w:val="13"/>
          <w:color w:val="auto"/>
        </w:rPr>
        <w:t>Treasurer, and Secretary at NexusData Inc., a privately-held wireless data collection company, from 2000 to 2002. From 1997 to 2000, Mr. Wangerin held several positions at Hughes Training Inc., a subsidiary of Raytheon, including Vice President and Chief Financial Officer. Mr. Wangerin worked for Deloitte &amp; Touche LLP from 1989 to 1997. Mr. Wangerin holds a B.S. degree in Accounting and a Masters of Accounting degree from the University of Southern California.</w:t>
      </w:r>
    </w:p>
    <w:p>
      <w:pPr>
        <w:spacing w:after="0" w:line="14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Owning and Operating Satellites Involve Considerable Risks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 December 2009, we acquired WildBlue and, as a result of such acquisition, we now own and operate WildBlue’s Ka-band satellite (WildBlue-1) and hold an exclusive lifetime lease of Ka-band capacity on Telesat Canada’s Anik F2 satellite in the contiguous United States. We currently plan to launch ViaSat-1, our new high-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89" w:lineRule="auto"/>
        <w:rPr>
          <w:sz w:val="20"/>
          <w:szCs w:val="20"/>
          <w:color w:val="auto"/>
        </w:rPr>
      </w:pPr>
      <w:r>
        <w:rPr>
          <w:rFonts w:ascii="Arial" w:cs="Arial" w:eastAsia="Arial" w:hAnsi="Arial"/>
          <w:sz w:val="12"/>
          <w:szCs w:val="12"/>
          <w:color w:val="auto"/>
        </w:rPr>
        <w:t>capacity broadband satellite, in the summer of 2011 and introduce service on this satellite in the fall of 2011. We may acquire or use one or more additional satellites in the future. We also plan to develop next generation broadband ground infrastructure and terminals for use with these satellites. If we are unable to continue to operate WildBlue-1 or Anik F2, or are unable to manufacture and successfully launch a satellite in a timely manner or at all, as a result of any of the following risks or otherwise, we may be unable to realize the anticipated benefits from our satellite and associated services business, and our business, financial condition and results of operations could be materially adversely affected:</w:t>
      </w:r>
    </w:p>
    <w:p>
      <w:pPr>
        <w:spacing w:after="0" w:line="53" w:lineRule="exact"/>
        <w:rPr>
          <w:sz w:val="20"/>
          <w:szCs w:val="20"/>
          <w:color w:val="auto"/>
        </w:rPr>
      </w:pPr>
    </w:p>
    <w:p>
      <w:pPr>
        <w:ind w:left="1280" w:right="200" w:hanging="190"/>
        <w:spacing w:after="0" w:line="264"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Business Plan. </w:t>
      </w:r>
      <w:r>
        <w:rPr>
          <w:rFonts w:ascii="Arial" w:cs="Arial" w:eastAsia="Arial" w:hAnsi="Arial"/>
          <w:sz w:val="13"/>
          <w:szCs w:val="13"/>
          <w:color w:val="auto"/>
        </w:rPr>
        <w:t>We may be unsuccessful in implementing our business plan for the WildBlue business and our satellite services segment as a whole, or we may not be able to</w:t>
      </w:r>
      <w:r>
        <w:rPr>
          <w:rFonts w:ascii="Arial" w:cs="Arial" w:eastAsia="Arial" w:hAnsi="Arial"/>
          <w:sz w:val="13"/>
          <w:szCs w:val="13"/>
          <w:i w:val="1"/>
          <w:iCs w:val="1"/>
          <w:color w:val="auto"/>
        </w:rPr>
        <w:t xml:space="preserve"> </w:t>
      </w:r>
      <w:r>
        <w:rPr>
          <w:rFonts w:ascii="Arial" w:cs="Arial" w:eastAsia="Arial" w:hAnsi="Arial"/>
          <w:sz w:val="13"/>
          <w:szCs w:val="13"/>
          <w:color w:val="auto"/>
        </w:rPr>
        <w:t>achieve the revenue that we expect from our satellite services segment. A failure to attract a sufficient number of distributors or customers would result in lower revenues than anticipated.</w:t>
      </w:r>
    </w:p>
    <w:p>
      <w:pPr>
        <w:spacing w:after="0" w:line="57" w:lineRule="exact"/>
        <w:rPr>
          <w:rFonts w:ascii="Arial" w:cs="Arial" w:eastAsia="Arial" w:hAnsi="Arial"/>
          <w:sz w:val="13"/>
          <w:szCs w:val="13"/>
          <w:color w:val="auto"/>
        </w:rPr>
      </w:pPr>
    </w:p>
    <w:p>
      <w:pPr>
        <w:ind w:left="1280" w:hanging="190"/>
        <w:spacing w:after="0" w:line="278"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Satellite Failures and Degradations in Performance. </w:t>
      </w:r>
      <w:r>
        <w:rPr>
          <w:rFonts w:ascii="Arial" w:cs="Arial" w:eastAsia="Arial" w:hAnsi="Arial"/>
          <w:sz w:val="12"/>
          <w:szCs w:val="12"/>
          <w:color w:val="auto"/>
        </w:rPr>
        <w:t>The WildBlue-1 satellite and Telesat Canada’s Anik F2 satellite supporting our WildBlue business are, and ViaSat-1 and any</w:t>
      </w:r>
      <w:r>
        <w:rPr>
          <w:rFonts w:ascii="Arial" w:cs="Arial" w:eastAsia="Arial" w:hAnsi="Arial"/>
          <w:sz w:val="12"/>
          <w:szCs w:val="12"/>
          <w:i w:val="1"/>
          <w:iCs w:val="1"/>
          <w:color w:val="auto"/>
        </w:rPr>
        <w:t xml:space="preserve"> </w:t>
      </w:r>
      <w:r>
        <w:rPr>
          <w:rFonts w:ascii="Arial" w:cs="Arial" w:eastAsia="Arial" w:hAnsi="Arial"/>
          <w:sz w:val="12"/>
          <w:szCs w:val="12"/>
          <w:color w:val="auto"/>
        </w:rPr>
        <w:t>future satellite we acquire will be, subject to potential satellite failures or performance degradations. Satellites are subject to in-orbit risks including malfunctions, commonly referred to as anomalies, interference from electrostatic storms, and collisions with meteoroids, decommissioned spacecraft or other space debris. Anomalies occur as a result of various factors, such as satellite manufacturing errors, problems with the power systems or control systems of the satellites and general failures resulting from operating satellites in the harsh environment of space. If any of the foregoing were to occur on either WildBlue-1, Anik F2, ViaSat-1 or any other satellite we may acquire or use, this could have a material adverse effect on our operations, our ability to generate revenues in our satellite services segment, and our relationships with current customers and distributors, as well as our ability to attract new customers for our satellite broadband services. Anomalies may also reduce the expected useful life of a satellite, thereby creating additional expenses due to the need to provide replacement or backup capacity and potentially reduce revenues if service is interrupted on the satellites we utilize. We may not be able to obtain or finance backup transponder capacity or a replacement satellite on reasonable economic terms or at all. In addition, an increased frequency of anomalies could impact market acceptance of our services.</w:t>
      </w:r>
    </w:p>
    <w:p>
      <w:pPr>
        <w:spacing w:after="0" w:line="52" w:lineRule="exact"/>
        <w:rPr>
          <w:rFonts w:ascii="Arial" w:cs="Arial" w:eastAsia="Arial" w:hAnsi="Arial"/>
          <w:sz w:val="12"/>
          <w:szCs w:val="12"/>
          <w:color w:val="auto"/>
        </w:rPr>
      </w:pPr>
    </w:p>
    <w:p>
      <w:pPr>
        <w:ind w:left="1280" w:right="40" w:hanging="190"/>
        <w:spacing w:after="0" w:line="25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Cost and Schedule Risks. </w:t>
      </w:r>
      <w:r>
        <w:rPr>
          <w:rFonts w:ascii="Arial" w:cs="Arial" w:eastAsia="Arial" w:hAnsi="Arial"/>
          <w:sz w:val="13"/>
          <w:szCs w:val="13"/>
          <w:color w:val="auto"/>
        </w:rPr>
        <w:t>The cost of completing satellites and developing the associated next generation SurfBeam 2 ground infrastructure may be more than we anticipate and</w:t>
      </w:r>
      <w:r>
        <w:rPr>
          <w:rFonts w:ascii="Arial" w:cs="Arial" w:eastAsia="Arial" w:hAnsi="Arial"/>
          <w:sz w:val="13"/>
          <w:szCs w:val="13"/>
          <w:i w:val="1"/>
          <w:iCs w:val="1"/>
          <w:color w:val="auto"/>
        </w:rPr>
        <w:t xml:space="preserve"> </w:t>
      </w:r>
      <w:r>
        <w:rPr>
          <w:rFonts w:ascii="Arial" w:cs="Arial" w:eastAsia="Arial" w:hAnsi="Arial"/>
          <w:sz w:val="13"/>
          <w:szCs w:val="13"/>
          <w:color w:val="auto"/>
        </w:rPr>
        <w:t>there may be delays in completing satellites and SurfBeam 2 infrastructure within the expected timeframe. We may be required to spend in excess of our current forecast for the completion, launch and launch insurance of ViaSat-1, or for the development associated with the SurfBeam 2 equipment. The construction and launch of satellites are often subject to delays, including satellite and launch vehicle construction delays, cost overruns, periodic unavailability of reliable launch opportunities and delays in obtaining regulatory approvals. If the satellite construction schedule is not met, there may be even further delays because there can be no assurance that a launch opportunity will be available at the time the satellite is ready to be launched, and we may not be able to obtain or maintain regulatory authority or ITU priority necessary to implement the satellite as proposed.</w:t>
      </w:r>
    </w:p>
    <w:p>
      <w:pPr>
        <w:spacing w:after="0" w:line="63" w:lineRule="exact"/>
        <w:rPr>
          <w:rFonts w:ascii="Arial" w:cs="Arial" w:eastAsia="Arial" w:hAnsi="Arial"/>
          <w:sz w:val="13"/>
          <w:szCs w:val="13"/>
          <w:color w:val="auto"/>
        </w:rPr>
      </w:pPr>
    </w:p>
    <w:p>
      <w:pPr>
        <w:ind w:left="1280" w:right="60" w:hanging="190"/>
        <w:spacing w:after="0" w:line="285"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Launch Risks. </w:t>
      </w:r>
      <w:r>
        <w:rPr>
          <w:rFonts w:ascii="Arial" w:cs="Arial" w:eastAsia="Arial" w:hAnsi="Arial"/>
          <w:sz w:val="12"/>
          <w:szCs w:val="12"/>
          <w:color w:val="auto"/>
        </w:rPr>
        <w:t>There are risks associated with the launch of satellites, including launch failure, damage or destruction during launch and improper orbital placement. Launch</w:t>
      </w:r>
      <w:r>
        <w:rPr>
          <w:rFonts w:ascii="Arial" w:cs="Arial" w:eastAsia="Arial" w:hAnsi="Arial"/>
          <w:sz w:val="12"/>
          <w:szCs w:val="12"/>
          <w:i w:val="1"/>
          <w:iCs w:val="1"/>
          <w:color w:val="auto"/>
        </w:rPr>
        <w:t xml:space="preserve"> </w:t>
      </w:r>
      <w:r>
        <w:rPr>
          <w:rFonts w:ascii="Arial" w:cs="Arial" w:eastAsia="Arial" w:hAnsi="Arial"/>
          <w:sz w:val="12"/>
          <w:szCs w:val="12"/>
          <w:color w:val="auto"/>
        </w:rPr>
        <w:t>vehicles may underperform, in which case the satellite may still be placed into service by using its onboard propulsion systems to reach the desired orbital location, resulting in a reduction in its service life. Launch failures result in significant delays in the deployment of satellites because of the need both to construct replacement satellites, which can take up to 36 months, and obtain other launch opportunities. The overall historical loss rate in the satellite industry for all launches of commercial satellites in fixed orbits in the last five years is estimated by some industry participants to be approximately 10% but could at any time be higher.</w:t>
      </w:r>
    </w:p>
    <w:p>
      <w:pPr>
        <w:spacing w:after="0" w:line="45" w:lineRule="exact"/>
        <w:rPr>
          <w:rFonts w:ascii="Arial" w:cs="Arial" w:eastAsia="Arial" w:hAnsi="Arial"/>
          <w:sz w:val="12"/>
          <w:szCs w:val="12"/>
          <w:color w:val="auto"/>
        </w:rPr>
      </w:pPr>
    </w:p>
    <w:p>
      <w:pPr>
        <w:ind w:left="1280" w:right="100" w:hanging="190"/>
        <w:spacing w:after="0" w:line="260"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Satellite Life. </w:t>
      </w:r>
      <w:r>
        <w:rPr>
          <w:rFonts w:ascii="Arial" w:cs="Arial" w:eastAsia="Arial" w:hAnsi="Arial"/>
          <w:sz w:val="13"/>
          <w:szCs w:val="13"/>
          <w:color w:val="auto"/>
        </w:rPr>
        <w:t>Our ability to earn revenue depends on the usefulness of WildBlue-1, Anik F2, ViaSat-1 and any other satellite we may acquire in the future. Each satellite has a</w:t>
      </w:r>
      <w:r>
        <w:rPr>
          <w:rFonts w:ascii="Arial" w:cs="Arial" w:eastAsia="Arial" w:hAnsi="Arial"/>
          <w:sz w:val="13"/>
          <w:szCs w:val="13"/>
          <w:i w:val="1"/>
          <w:iCs w:val="1"/>
          <w:color w:val="auto"/>
        </w:rPr>
        <w:t xml:space="preserve"> </w:t>
      </w:r>
      <w:r>
        <w:rPr>
          <w:rFonts w:ascii="Arial" w:cs="Arial" w:eastAsia="Arial" w:hAnsi="Arial"/>
          <w:sz w:val="13"/>
          <w:szCs w:val="13"/>
          <w:color w:val="auto"/>
        </w:rPr>
        <w:t>limited useful life. The period of time during which a satellite is expected to function in accordance with its specifications is referred to as such satellite’s design life. The design life of ViaSat-1 is 15 years from launch. The design life of WildBlue-1 was 12 years from launch, ending in 2019, and the design life of Telesat Canada’s Anik F2 satellite was 15 years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60"/>
        <w:spacing w:after="0" w:line="285" w:lineRule="auto"/>
        <w:rPr>
          <w:sz w:val="20"/>
          <w:szCs w:val="20"/>
          <w:color w:val="auto"/>
        </w:rPr>
      </w:pPr>
      <w:r>
        <w:rPr>
          <w:rFonts w:ascii="Arial" w:cs="Arial" w:eastAsia="Arial" w:hAnsi="Arial"/>
          <w:sz w:val="12"/>
          <w:szCs w:val="12"/>
          <w:color w:val="auto"/>
        </w:rPr>
        <w:t>from launch, ending in 2019.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the remaining on-board fuel following orbit insertion, the occurrence of any anomaly or series of anomalies affecting the satellite, and the launch risks and in-orbit risks described above. There can be no assurance that the actual useful life of WildBlue-1, Anik F2, ViaSat-1or any other satellite that we may acquire will equal its design life. In addition, continued improvements in satellite technology may make obsolete ViaSat-1 or any other satellite we may acquire prior to the end of its life.</w:t>
      </w:r>
    </w:p>
    <w:p>
      <w:pPr>
        <w:spacing w:after="0" w:line="55" w:lineRule="exact"/>
        <w:rPr>
          <w:sz w:val="20"/>
          <w:szCs w:val="20"/>
          <w:color w:val="auto"/>
        </w:rPr>
      </w:pPr>
    </w:p>
    <w:p>
      <w:pPr>
        <w:ind w:left="1280" w:right="20" w:hanging="190"/>
        <w:spacing w:after="0" w:line="257"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Insurance Risks. </w:t>
      </w:r>
      <w:r>
        <w:rPr>
          <w:rFonts w:ascii="Arial" w:cs="Arial" w:eastAsia="Arial" w:hAnsi="Arial"/>
          <w:sz w:val="13"/>
          <w:szCs w:val="13"/>
          <w:color w:val="auto"/>
        </w:rPr>
        <w:t>We currently hold launch insurance for ViaSat-1, in-orbit insurance for WildBlue-1 and Anik F2, and the first year’s in-orbit insurance for ViaSat-1. We also</w:t>
      </w:r>
      <w:r>
        <w:rPr>
          <w:rFonts w:ascii="Arial" w:cs="Arial" w:eastAsia="Arial" w:hAnsi="Arial"/>
          <w:sz w:val="13"/>
          <w:szCs w:val="13"/>
          <w:i w:val="1"/>
          <w:iCs w:val="1"/>
          <w:color w:val="auto"/>
        </w:rPr>
        <w:t xml:space="preserve"> </w:t>
      </w:r>
      <w:r>
        <w:rPr>
          <w:rFonts w:ascii="Arial" w:cs="Arial" w:eastAsia="Arial" w:hAnsi="Arial"/>
          <w:sz w:val="13"/>
          <w:szCs w:val="13"/>
          <w:color w:val="auto"/>
        </w:rPr>
        <w:t>intend to seek in-orbit insurance for any satellite we may acquire. However, we may not be able to obtain insurance, or renew existing insurance, on reasonable economic terms or at all. If we are able to obtain or renew our insurance, it may contain customary exclusions and will not likely cover the full cost of constructing and launching or replacing the satellites, nor will it cover business interruptions or similar losses. In addition, the occurrence of any anomalies on other satellites, including other Ka-band satellites, or any failures of a satellite using similar components or failures of a similar launch vehicle to the launch vehicle we expect to use to launch ViaSat-1, may materially adversely affect our ability to insure the satellites at commercially reasonable premiums, if at all.</w:t>
      </w:r>
    </w:p>
    <w:p>
      <w:pPr>
        <w:spacing w:after="0" w:line="71" w:lineRule="exact"/>
        <w:rPr>
          <w:rFonts w:ascii="Arial" w:cs="Arial" w:eastAsia="Arial" w:hAnsi="Arial"/>
          <w:sz w:val="13"/>
          <w:szCs w:val="13"/>
          <w:color w:val="auto"/>
        </w:rPr>
      </w:pPr>
    </w:p>
    <w:p>
      <w:pPr>
        <w:ind w:left="1280" w:hanging="190"/>
        <w:spacing w:after="0" w:line="282"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 xml:space="preserve">Joint Venture Risks. </w:t>
      </w:r>
      <w:r>
        <w:rPr>
          <w:rFonts w:ascii="Arial" w:cs="Arial" w:eastAsia="Arial" w:hAnsi="Arial"/>
          <w:sz w:val="12"/>
          <w:szCs w:val="12"/>
          <w:color w:val="auto"/>
        </w:rPr>
        <w:t>We may own or operate future satellites through joint ventures that we do not control. If we were to enter into any such joint venture, we would be exposed to</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risks and uncertainties, including the risk of the joint venture or applicable entity failing to satisfy its obligations, which may result in certain liabilities to us for guarantees and other commitments, challenges in achieving strategic objectives and expected benefits of the business arrangement, the risk of conflicts arising between us and our partners and the difficulty of managing and resolving such conflicts, and the difficulty of managing or otherwise monitoring such business arrangements. In addition, our operating results would be affected by the performance of businesses over which we do not exercise unilateral control and, if any other members of such joint venture were to file for bankruptcy or otherwise fail to perform its obligations or to manage the joint venture effectively, this could cause us to lose our investment in any such joint venture entity.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Be Unable to Obtain or Maintain Required Authorizations or Contractual Arrangements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Governmental authorizations are required in connection with the products and services that we provide. In order to maintain these authorizations, compliance with specific conditions of those authorizations, certain laws and regulations, and the payment of annual regulatory fees may be required. Failure to comply with such requirements, or comply in a timely manner, could lead to the loss of such authorizations and could have a material adverse impact on our business, financial condition or results of operations. We currently hold authorizations to, among other things, operate various satellite earth stations, including but not limited to user terminals, “gateway” facilities, and network hubs. While we anticipate that these licenses will be renewed in the ordinary course, or replaced by licenses covering more advanced facilities, we can provide no assurance that this will be the case. The inability to timely obtain required authorizations for future operations could delay or preclude our provision of new products and services. Further, changes to the regulations under which we operate could adversely affect our ability to obtain or maintain authorizations. Either circumstance could have a material adverse impact on our business.</w:t>
      </w:r>
    </w:p>
    <w:p>
      <w:pPr>
        <w:spacing w:after="0" w:line="5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operations also rely upon authorizations held by other entities with which we have contractual arrangements. The failure of those entities to maintain their respective authorizations, or the termination or expiration of our contractual arrangements with those entities, could have a material adverse impact on our business. For example, in order to provide our WildBlue service, we use Ka-band capacity on the Anik F2 satellite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While the end of the useful life of Anik F2 is not expected to occur before 2019, there can be no assurance that will be the case. We also intend to use our ViaSat-1 satellite, which is expected to be launched in the summer of 2011, to provide WildBlue service. That satellite will operate under authority granted to</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ManSat Limited by the governments of the Isle of Man and the United Kingdom, and pursuant to contractual arrangements we have with ManSat Limited that extend past the expected useful life of ViaSat-1. The failure of Telesat Canada or ManSat Limited to maintain their respective authorizations, or the termination or expiration of our contractual arrangements with those entities (including as a result of the premature end of life of Anik F2), could require us to seek alternative satellite capacity for our customers, which may not be available, or which may require the costly and time-consuming process of repointing the antennas of our customers.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Operating Results Are Difficult to Predict</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operating results have varied significantly from quarter to quarter in the past and may continue to do so in the future. The factors that cause our quarter-to-quarter operating results to be unpredictable include:</w:t>
      </w:r>
    </w:p>
    <w:p>
      <w:pPr>
        <w:spacing w:after="0" w:line="59"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complex and lengthy procurement process for most of our customers or potential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the levels of research and development spending, including the effects of associated tax credits;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cost overruns on fixed-price development contracts;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difficulty in estimating costs over the life of a contract, which may require adjustment in future periods;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timing, quantity and mix of products and services sold;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price discounts given to some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market acceptance and the timing of availability of our new products and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timing of customer payments for significant contracts;</w:t>
      </w:r>
    </w:p>
    <w:p>
      <w:pPr>
        <w:spacing w:after="0" w:line="86" w:lineRule="exact"/>
        <w:rPr>
          <w:rFonts w:ascii="Arial" w:cs="Arial" w:eastAsia="Arial" w:hAnsi="Arial"/>
          <w:sz w:val="13"/>
          <w:szCs w:val="13"/>
          <w:color w:val="auto"/>
        </w:rPr>
      </w:pPr>
    </w:p>
    <w:p>
      <w:pPr>
        <w:ind w:left="1280" w:right="52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one-time charges to operating income arising from items such as acquisition expenses, impairment of assets and write-offs of assets related to customer non-payments or obsolescence;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failure to receive an expected order or a deferral of an order to a later period;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general economic and political conditions.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Any of the foregoing factors, or any other factors discussed elsewhere herein, could have a material adverse effect on our business, results of operations and financial condition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Reliance on U.S. Government Contracts Exposes Us to Significant Risks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government systems segment revenues were approximately 48% of our total revenues in fiscal year 2011, 56% of our total revenues in fiscal year 2010 and 62% of our total revenues in fiscal year 2009, and were derived from U.S. government applications. Therefore, any significant disruption or deterioration of our relationship with the U.S. government would significantly reduce our revenue. U.S. government business exposes us to various risks, including:</w:t>
      </w:r>
    </w:p>
    <w:p>
      <w:pPr>
        <w:spacing w:after="0" w:line="67"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governmental procurement legislation and regulations and other policies, which may reflect military and political developments;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unexpected contract or project terminations or suspensions;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unpredictable order placements, reductions or cancellations;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reductions or delays in government funds available for our projects due to government policy changes, budget cuts or delays and contract adjustments;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ability of competitors to protest contractual awards;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penalties arising from post-award contract audits;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reduction in the value of our contracts as a result of the routine audit and investigation of our costs by U.S. government agencies;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14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higher-than-expected final costs, particularly relating to software and hardware development, for work performed under contracts where we commit to specified deliveries for a fixed price;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limited profitability from cost-reimbursement contracts under which the amount of profit is limited to a specified amount;</w:t>
      </w:r>
    </w:p>
    <w:p>
      <w:pPr>
        <w:spacing w:after="0" w:line="8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unpredictable cash collections of unbilled receivables that may be subject to acceptance of contract deliverables by the customer and contract close-out procedures, including government approval of final indirect rates;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competition with programs managed by other government contractors for limited resources and for uncertain levels of funding;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significant changes in contract scheduling or program structure, which generally result in delays or reductions in deliveries;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intense competition for available U.S. government business necessitating increases in time and investment for design and development.</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under such contract or subcontract.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Be Adversely Affected by a Negative Audit by the U.S. Government</w:t>
      </w:r>
    </w:p>
    <w:p>
      <w:pPr>
        <w:spacing w:after="0" w:line="10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As a government contractor, we are subject to routine audits, investigations and reviews by U.S. government agencies such as the DCMA and DCAA. These agencies routinely audit and review a contractor’s performance under government contracts, cost structure, pricing practices and compliance with applicable laws, regulations and standards. They also review the adequacy of the contractor’s compliance with government standards for its accounting and management internal control systems and policies, including the contractor’s general control environment and accounting, purchasing, property, budgeting, billing, compensation, labor, management, and information technology systems. Both contractors and the U.S. government agencies conducting these audits, investigations and reviews have come under increased scrutiny. In particular, audits, investigations and reviews have become more rigorous and the standards to which we are held are being more strictly interpreted, increasing the likelihood of an audit or investigation resulting in an adverse outcome. Increases in congressional scrutiny and</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investigations into business practices and major programs supported by contractors may lead to increased legal costs and may harm our reputation and profitability if we are among the targeted companies.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color w:val="auto"/>
        </w:rPr>
        <w:t>Failure to comply with applicable contracting and procurement laws, regulations and standards could result in civil and criminal penalties and administrative sanctions being imposed on us, which may include termination of contracts, forfeiture of profits, triggering of price reduction clauses, suspension of payments, fines and suspension, or a prohibition on doing business with U.S. government agencies. In addition, if we fail to obtain an “adequate” determination of our various accounting and management internal control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If we incur a material penalty or administrative sanction or otherwise suffer harm to our reputation, our profitability, cash position and future prospects could be adversely affected. The audits of our incurred cost by the DCAA have not been completed for fiscal year 2003 and subsequent fiscal years, and if the outcome of such audit or future audits is adverse, we may be required to refund payments made under affected government contracts and we could be prohibited from bidding on future U.S. government contracts, which would have a material adverse affect on our business, financial condition and results of operations. Although we have recorded contract revenues subsequent to fiscal year 2002 based upon an estimate of costs that we believe will be approved upon final audit or review, we do not know the outcome of any ongoing or future audits or reviews and adjustments, and if future adjustments exceed our estimates, our profitability would be adversely affected. In the fourth quarter of fiscal year 2011, based on recent events, including communications with the DCMA, changes in the regulatory environment for federal government contractors and the status of current government audits, we recorded an additional $5.0 million in contract-related reserves for our estimate of potential refunds to customers for potential cost adjustments on several multi-year U.S. government cost reimbursable contracts, bringing our total reserve to $6.7 million as of April 1, 2011. These reserves are classified as either an element of accrued liabilities or as a reduction of unbilled accounts receivable based on status of the related contracts. There can be no assurance that the audits of our incurred costs and cost accounting systems for other fiscal years will not be subject to further audit, review or scrutiny by the DCAA or other government agencies.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Recent Global Business Environment Could Negatively Affect Our Business, Results of Operations and Financial Condition</w:t>
      </w:r>
    </w:p>
    <w:p>
      <w:pPr>
        <w:spacing w:after="0" w:line="10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Our business and operating results have been and will continue to be affected by worldwide economic conditions. The banking system and financial markets have been experiencing unprecedented levels of volatility and disruption. The possibility that certain financial institutions may go out of business has resulted in a tightening of the credit markets, lower levels of liquidity in many financial markets, and extreme volatility in fixed income, credit, currency and equity markets. This market turmoil and the recent disruptions in the credit markets have led to reduced levels of capital expenditures, an increase in commercial and consumer delinquencies, rising unemployment, declining consumer and business confidence, bankruptcies and a widespread reduction of business activity generally. These conditions, combined with continued concerns about the systemic impact of potential long-term and widespread economic recession, volatile energy costs, geopolitical issues, unstable housing and mortgage markets, labor and healthcare costs, and other macroeconomic factors affecting spending behavior have contributed to diminished expectations for the U.S. and global economy.</w:t>
      </w:r>
    </w:p>
    <w:p>
      <w:pPr>
        <w:spacing w:after="0" w:line="7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current economic environment may materially adversely affect our business and financial performance in a number of ways. As a result of slowing global economic growth, our customers or key suppliers may experience deterioration of their businesses, cash flow shortages, difficulty obtaining financing or insolvency. Existing or potential customers may reduce or postpone spending in response to tighter credit, negative financial news or declines in income or asset values, which could have a material negative effect on the demand for our products and services. If the global economic slowdown continues for a significant period or there is significant further deterioration in the U.S. or global economy, our results of operations, financial position and cash flows could be materially adversely affected.</w:t>
      </w:r>
    </w:p>
    <w:p>
      <w:pPr>
        <w:spacing w:after="0" w:line="71"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General economic conditions have significantly affected the ability of many companies to raise additional funding in the capital markets. For example, U.S. credit markets have experienced significant dislocations and liquidity disruptions which have caused the spreads on prospective debt financings to widen considerably.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circumstances have materially impacted liquidity in the debt markets, making financing terms for borrowers less attractive and resulting in the general unavailability of many forms of debt financing. Continued uncertainty in the credit markets may negatively impact our ability to access additional debt financing or to refinance existing indebtedness in the future on favorable terms or at all. These general economic conditions have also adversely affected the trading prices of equity securities of many U.S. companies, including ViaSat, and could significantly limit our ability to raise additional capital through the issuance of common stock, preferred stock or other equity securities. If we require additional capital to fund any activities we elect to pursue in addition to our current business expansion efforts and were unable to obtain such capital on terms that we found acceptable or at all, we would likely reduce our investments in such activities or re-direct capital otherwise available for our business expansion efforts. Any of these risks could impair our ability to fund our operations or limit our ability to expand our business, which could have a material adverse effect on our business, financial condition and results of operations.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Significant Portion of Our Revenues Is Derived from a Few of Our Contracts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 small number of our contracts account for a significant percentage of our revenues. Our five largest contracts generated approximately 21% of our total revenues in fiscal year 2011, 25% of our total revenues in fiscal year 2010 and 35% of our total revenues in fiscal year 2009. Our largest revenue producing contracts are related to our tactical data links products, including our MIDS terminals, which generated approximately 13% of our total revenues in fiscal year 2011, 19% of our total revenues in fiscal year 2010 and 21% of our total revenues in fiscal year 2009.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7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that provide satellite-based services (including Telesat, Intelsat, Thaicom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Development Contracts May Be Difficult for Us to Comply with and May Expose Us to Third-Party Claims for Damages</w:t>
      </w:r>
    </w:p>
    <w:p>
      <w:pPr>
        <w:spacing w:after="0" w:line="10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are often party to government and commercial contracts involving the development of new products. We derived approximately 26% of our total revenues in fiscal year 2011, 14% of our total revenues in fiscal year 2010 and 20% of our total revenues in fiscal year 2009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148" w:lineRule="exact"/>
        <w:rPr>
          <w:sz w:val="20"/>
          <w:szCs w:val="20"/>
          <w:color w:val="auto"/>
        </w:rPr>
      </w:pPr>
    </w:p>
    <w:p>
      <w:pPr>
        <w:ind w:left="680"/>
        <w:spacing w:after="0" w:line="283" w:lineRule="auto"/>
        <w:rPr>
          <w:sz w:val="20"/>
          <w:szCs w:val="20"/>
          <w:color w:val="auto"/>
        </w:rPr>
      </w:pPr>
      <w:r>
        <w:rPr>
          <w:rFonts w:ascii="Arial" w:cs="Arial" w:eastAsia="Arial" w:hAnsi="Arial"/>
          <w:sz w:val="13"/>
          <w:szCs w:val="13"/>
          <w:b w:val="1"/>
          <w:bCs w:val="1"/>
          <w:color w:val="auto"/>
        </w:rPr>
        <w:t>Our Success Depends on the Investment in and Development of New Satellite and Wireless Communications and Secure Networking Products and Our Ability to Gain Acceptance of these Products</w:t>
      </w:r>
    </w:p>
    <w:p>
      <w:pPr>
        <w:spacing w:after="0" w:line="54"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The wireless and satellite communications and secure networking markets are subject to rapid technological change, frequent new and enhanced product introductions, product obsolescence and changes in user requirements. Our ability to compete successfully in these markets depends on our success in applying our expertise and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technology to existing and emerging satellite and wireless communications and secure networking markets, as well as our ability to successfully develop, introduce and sell new products and enhancements on a timely and cost-effective basis that respond to ever-changing customer requirements, which depends on several factors, including:</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ability to enhance our offerings by adding innovative features that differentiate our offerings from those of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successful integration of various elements of our complex technologies and system architectures;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timely completion and introduction of new product designs;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achievement of acceptable product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timely and efficient implementation of our manufacturing and assembly processes and cost reduction efforts;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establishment of close working relationships with major customers for the design of their new communications and secure networking systems incorporating our products;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development of competitive products and technologies by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marketing and pricing strategies of our competitors with respect to competitive products;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market acceptance of our new products.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cannot assure you our product or technology development efforts for communications and networking products will be successful or any new products and technologies we develop will achieve sufficient market acceptance. We may experience difficulties that could delay or prevent us from successfully selecting, developing, manufacturing or marketing new products or enhancements, and these efforts could divert our attention and resources from other projects. We cannot be sure that such efforts and expenditures will ultimately lead to the timely development of new offerings and technologies. Any delays could result in increased costs of development or deflect resources from other projects. In addition, defects may be found in our products after we begin deliveries that could result in the delay or loss of market acceptance. If we are unable to design, manufacture, integrate and market profitable new products for existing or emerging communications and secure networking markets, it could materially harm our business, financial condition and results of operations, and impair the value of our common stock.</w:t>
      </w:r>
    </w:p>
    <w:p>
      <w:pPr>
        <w:spacing w:after="0" w:line="7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addition, we believe that significant investments in next generation broadband satellites and associated infrastructure will be required for satellite-based technologies to compete more effectively with terrestrial-based technologies in the consumer and enterprise markets. We are constantly evaluating the opportunities and investments related to the development of these next generation broadband systems. In the event we determine to make a significant investment in the development of such next generation systems, it may require us to undertake debt financing and/or the issuance of additional equity, which could expose us to increased risks and impair the value of our common stock. In addition, if we are unable to effectively or profitably design, manufacture, integrate and market such next generation technologies, it could materially harm our business, financial condition and results of operations, and impair the value of our common stock.</w:t>
      </w:r>
    </w:p>
    <w:p>
      <w:pPr>
        <w:spacing w:after="0" w:line="146" w:lineRule="exact"/>
        <w:rPr>
          <w:sz w:val="20"/>
          <w:szCs w:val="20"/>
          <w:color w:val="auto"/>
        </w:rPr>
      </w:pPr>
    </w:p>
    <w:p>
      <w:pPr>
        <w:ind w:left="680" w:right="120"/>
        <w:spacing w:after="0" w:line="283" w:lineRule="auto"/>
        <w:rPr>
          <w:sz w:val="20"/>
          <w:szCs w:val="20"/>
          <w:color w:val="auto"/>
        </w:rPr>
      </w:pPr>
      <w:r>
        <w:rPr>
          <w:rFonts w:ascii="Arial" w:cs="Arial" w:eastAsia="Arial" w:hAnsi="Arial"/>
          <w:sz w:val="13"/>
          <w:szCs w:val="13"/>
          <w:b w:val="1"/>
          <w:bCs w:val="1"/>
          <w:color w:val="auto"/>
        </w:rPr>
        <w:t>Because Our Products Are Complex and Are Deployed in Complex Environments, Our Products May Have Defects that We Discover Only After Full Deployment, which Could Seriously Harm Our Business</w:t>
      </w:r>
    </w:p>
    <w:p>
      <w:pPr>
        <w:spacing w:after="0" w:line="54"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 reduction in backlog and market share, increased service and warranty costs, diversion of development resources,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legal actions by our customers, product returns or recalls, issuance of credit to customers and increased insurance costs.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Reputation and Business Could Be Materially Harmed as a Result of Data Breaches, Data Theft, Unauthorized Access or Hacking</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success depends, in part, on the secure and uninterrupted performance of our information technology systems. An increasing number of companies have recently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confidential information (such as customer credit card numbers), cause interruption in our operations, damage our computers or those of our users,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adverse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Experience Losses from Our Fixed-Price Contracts</w:t>
      </w:r>
    </w:p>
    <w:p>
      <w:pPr>
        <w:spacing w:after="0" w:line="100"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Approximately 95% of our total revenues in fiscal year 2011, 91% of our total revenues in fiscal year 2010 and 86% of our total revenues in fiscal year 2009 were derived from government and commercial contracts with fixed prices.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Our Reliance on a Limited Number of Third Parties to Manufacture and Supply Our Products and the Components Contained therein Exposes Us to Various Risks</w:t>
      </w:r>
    </w:p>
    <w:p>
      <w:pPr>
        <w:spacing w:after="0" w:line="112"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Our internal manufacturing capacity is limited and we do not intend to expand our capability in the foreseeable future. We rely on a limited number of contract manufacturers to produce our products and expect to rely increasingly on these manufacturers in the future. In addition, some components, subassemblies and services necessary for the manufacture of our products are obtained from a sole source supplier or a limited group of suppliers.</w:t>
      </w:r>
    </w:p>
    <w:p>
      <w:pPr>
        <w:spacing w:after="0" w:line="67"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Markets We Serve Are Highly Competitive and Our Competitors May Have Greater Resources than Us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wireless and satellite communications and secure networking industries are highly competitive and competition is increasing. In addition, because the markets in which we operate are constantly evolving and characterized by rapid technological change, it is difficult for us to predict whether, when and who may introduce new competing technologies, products or services into our markets. Currently, we face substantial competition from domestic and international wireless, satellite and terrestrial-based communications service providers in the commercial and government industries, including BAE Systems, General Dynamics, Gilat, Harris, Hughes Communications, iDirect Technologies, L-3 Communications and Rockwell Collins. Many of our competitors and potential competitors have significant competitive advantages, including strong customer relationships, more experience with regulatory compliance, greater financial and management resources and access to technologies not available to us. In addition, our satellite services segment may face increasing competition as a result of recent industry consolidation and vertical integration, which many enable our competitors to provide competing services to broader customer segments or to offer bundled service offerings that we are not able to duplicate, or which may reduce demand for our wholesale broadband distribution services. In addition, some of our customers continuously evaluate whether to develop and manufacture their own products and could elect to compete with us at any time. Our ability to compete may be adversely affected by limits on our capital resources and our ability to invest in maintaining and expanding our market share.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Any Failure to Successfully Integrate Strategic Acquisitions Could Adversely Affect Our Business</w:t>
      </w:r>
    </w:p>
    <w:p>
      <w:pPr>
        <w:spacing w:after="0" w:line="100" w:lineRule="exact"/>
        <w:rPr>
          <w:sz w:val="20"/>
          <w:szCs w:val="20"/>
          <w:color w:val="auto"/>
        </w:rPr>
      </w:pPr>
    </w:p>
    <w:p>
      <w:pPr>
        <w:ind w:left="680" w:right="640" w:firstLine="399"/>
        <w:spacing w:after="0" w:line="276" w:lineRule="auto"/>
        <w:rPr>
          <w:sz w:val="20"/>
          <w:szCs w:val="20"/>
          <w:color w:val="auto"/>
        </w:rPr>
      </w:pPr>
      <w:r>
        <w:rPr>
          <w:rFonts w:ascii="Arial" w:cs="Arial" w:eastAsia="Arial" w:hAnsi="Arial"/>
          <w:sz w:val="13"/>
          <w:szCs w:val="13"/>
          <w:color w:val="auto"/>
        </w:rPr>
        <w:t>In order to position ourselves to take advantage of growth opportunities, we have made, and may continue to make, strategic acquisitions that involve significant risks and uncertainties. These risks and uncertainties include:</w:t>
      </w:r>
    </w:p>
    <w:p>
      <w:pPr>
        <w:spacing w:after="0" w:line="59"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difficulty in integrating newly acquired businesses and operations in an efficient and effective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challenges in achieving strategic objectives, cost savings and other benefits expected from acquisitions;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risk of diverting our resources and the attention of our senior management from the operations of our business;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additional demands on management related to the increase in the size and scope of our company following the acquisition;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risk that our markets do not evolve as anticipated and the technologies acquired do not prove to be those needed to be successful in those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in combining corporate cultures;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in the assimilation and retention of key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in maintaining relationships with present and potential customers, distributors and suppliers of the acquired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costs and expenses associated with any undisclosed or potential liabilities of the acquired business;</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delays, difficulties or unexpected costs in the integration, assimilation, implementation or modification of platforms, systems, functions, technologies and infrastructure to support the combined business, as well as maintaining uniform standards, controls (including internal accounting controls), procedures and policies;</w:t>
      </w:r>
    </w:p>
    <w:p>
      <w:pPr>
        <w:spacing w:after="0" w:line="25" w:lineRule="exact"/>
        <w:rPr>
          <w:rFonts w:ascii="Arial" w:cs="Arial" w:eastAsia="Arial" w:hAnsi="Arial"/>
          <w:sz w:val="12"/>
          <w:szCs w:val="12"/>
          <w:color w:val="auto"/>
        </w:rPr>
      </w:pPr>
    </w:p>
    <w:p>
      <w:pPr>
        <w:ind w:left="1280" w:right="16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risk that the returns on acquisitions will not support the expenditures or indebtedness incurred to acquire such businesses or the capital expenditures needed to develop such businesses;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risks of entering markets in which we have less experience;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risks of potential disputes concerning indemnities and other obligations that could result in substantial costs.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To complete future acquisitions we may issue equity securities, incur debt, assume contingent liabilities or have amortization expenses and write-downs of acquired assets, which could cause our earnings per share to decline. Mergers and acquisitions are inherently risky and subject to many factors outside of our control, and we cannot be certain that our previous or future acquisitions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30" w:lineRule="exact"/>
        <w:rPr>
          <w:sz w:val="20"/>
          <w:szCs w:val="20"/>
          <w:color w:val="auto"/>
        </w:rPr>
      </w:pPr>
    </w:p>
    <w:p>
      <w:pPr>
        <w:ind w:left="680" w:right="240"/>
        <w:spacing w:after="0" w:line="283" w:lineRule="auto"/>
        <w:rPr>
          <w:sz w:val="20"/>
          <w:szCs w:val="20"/>
          <w:color w:val="auto"/>
        </w:rPr>
      </w:pPr>
      <w:r>
        <w:rPr>
          <w:rFonts w:ascii="Arial" w:cs="Arial" w:eastAsia="Arial" w:hAnsi="Arial"/>
          <w:sz w:val="13"/>
          <w:szCs w:val="13"/>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54"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As of April 1, 2011, our total indebtedness was $352.4 million, which included $60.0 million in principal amount of outstanding borrowings under our Credit Facility, $14.3 million outstanding under standby letters of credit, $3.1 million of capital lease obligations and $275.0 million in principal amount outstanding of 8.875% Senior Notes due 2016 (the Notes).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level of indebtedness could have important consequences for you. For example, it could:</w:t>
      </w:r>
    </w:p>
    <w:p>
      <w:pPr>
        <w:spacing w:after="0" w:line="96"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make it more difficult for us to satisfy our debt obligations;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 our vulnerability to general adverse economic and industry conditions;</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impair our ability to obtain additional debt or equity financing in the future for working capital, capital expenditures, product development, satellite construction, acquisitions or general corporate or other purposes;</w:t>
      </w:r>
    </w:p>
    <w:p>
      <w:pPr>
        <w:spacing w:after="0" w:line="49" w:lineRule="exact"/>
        <w:rPr>
          <w:rFonts w:ascii="Arial" w:cs="Arial" w:eastAsia="Arial" w:hAnsi="Arial"/>
          <w:sz w:val="13"/>
          <w:szCs w:val="13"/>
          <w:color w:val="auto"/>
        </w:rPr>
      </w:pPr>
    </w:p>
    <w:p>
      <w:pPr>
        <w:ind w:left="1280" w:right="180" w:hanging="190"/>
        <w:spacing w:after="0" w:line="320" w:lineRule="auto"/>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 our flexibility in planning for, or reacting to, changes in our business and the industry in which we operate;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place us at a disadvantage compared to our competitors that have less indebtedness;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limit our ability to adjust to changing market conditions.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Incur Additional Indebtedness, which Could Further Increase the Risks Associated with Our Leverage</w:t>
      </w:r>
    </w:p>
    <w:p>
      <w:pPr>
        <w:spacing w:after="0" w:line="100"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color w:val="auto"/>
        </w:rPr>
        <w:t>We may incur additional indebtedness in the future, which may include financing relating to future satellites, other potential acquisitions, working capital, capital expenditures or general corporate purposes. 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new indebtedness is added to our current level of indebtedness, the related risks that we now face could intensify.</w:t>
      </w:r>
    </w:p>
    <w:p>
      <w:pPr>
        <w:spacing w:after="0" w:line="146" w:lineRule="exact"/>
        <w:rPr>
          <w:sz w:val="20"/>
          <w:szCs w:val="20"/>
          <w:color w:val="auto"/>
        </w:rPr>
      </w:pPr>
    </w:p>
    <w:p>
      <w:pPr>
        <w:ind w:left="680" w:right="360"/>
        <w:spacing w:after="0" w:line="283" w:lineRule="auto"/>
        <w:rPr>
          <w:sz w:val="20"/>
          <w:szCs w:val="20"/>
          <w:color w:val="auto"/>
        </w:rPr>
      </w:pPr>
      <w:r>
        <w:rPr>
          <w:rFonts w:ascii="Arial" w:cs="Arial" w:eastAsia="Arial" w:hAnsi="Arial"/>
          <w:sz w:val="13"/>
          <w:szCs w:val="13"/>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5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ability to make scheduled payments on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Facility, will be available to us in an amount sufficient to enable us to pay our indebtedness, or to fund our other liquidity needs. If our cash flows and capital resources are insufficient to fund our debt service obligations, we could face substantial liquidity problems and could be forced to reduce or delay investment and capital expenditures or to dispose of material assets or operations, seek additional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Facility and the indenture governing the Notes restrict our ability to dispose of assets and use the proceeds from the disposition. If we cannot make scheduled payments on our debt, we will be in default and, as a result, the lenders under our Credit Facility and the holders of the Notes could declare all outstanding principal and interest to be due and payable, the lenders under our Credit Facility could terminate their commitments to loan money and foreclose against the assets securing the borrowings under our Credit Facility, and we could be forced into bankruptcy or liquidation, which could result in you losing your investment in our company.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Be Unable to Refinance Our Indebtedness</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We may need to refinance all or a portion of our indebtedness before maturity, including indebtedness under the indenture governing the Notes and any indebtedness under our Credit Facility. There can be no assurance that we will be able to obtain sufficient funds to enable us to repay or refinance our debt obligations on commercially reasonable terms, or at all.</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in Our Debt Agreements Restrict Our Business and Could Limit Our Ability to Implement Our Business Plan</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Credit Facility and the indenture governing the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Facility, our ability to borrow under our Credit Facility may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 restricted. Our Credit Facility and the indenture governing the Notes include covenants restricting, among other things, our ability to do the following:</w:t>
      </w:r>
    </w:p>
    <w:p>
      <w:pPr>
        <w:spacing w:after="0" w:line="96"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incur, assume or guarantee additional indebtedness;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issue redeemable stock and preferred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grant or incur liens;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sell or otherwise dispose of assets, including capital stock of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make loans and investments;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pay dividends, make distributions, or redeem or repurchase capital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enter into transactions with affiliates;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reduce our satellite insurance;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consolidate or merge with or into, or sell substantially all of our assets to, another person.</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addition, our Credit Facility requires us to comply with certain financial covenants, including a maximum senior secured leverage ratio, a maximum leverage ratio and minimum interest coverage ratio. Our Credit Facility is secured by first-priority liens on substantially all the assets of the company, including the stock of our subsidiaries, and the assets of the subsidiary guarantors under the facility.</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If we default under our Credit Facility or the indenture governing the Notes because of a covenant breach or otherwise, all outstanding amounts thereunder could become immediately due and payable. In the past we have violated our Credit Facility covenants and received waivers for these violations. We cannot assure you that we will be able to comply with our financial or other covenants under our Credit Facility or the indenture governing the Notes or that any covenant violations will be waived in the future. Any violation that is not waived could result in an event of default, permitting our lenders to declare outstanding indebtedness and interest thereon due and payable, and permitting the lenders under our Credit Facility to suspend commitments to make any advance or to require any outstanding letters of credit to be collateralized by an interest bearing cash account, any or all of which could have a material adverse effect on our business, financial condition and results of operations. We cannot assure you that we would have sufficient funds to repay all the outstanding amounts under our Credit Facility or the indenture governing the Notes, and any acceleration of amounts due would have a material adverse effect on our liquidity and financial condition.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Depend on a Limited Number of Key Employees who Would Be Difficult to Replace</w:t>
      </w:r>
    </w:p>
    <w:p>
      <w:pPr>
        <w:spacing w:after="0" w:line="10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and Chief Executive Officer, Mark D.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1"/>
          <w:szCs w:val="11"/>
          <w:b w:val="1"/>
          <w:bCs w:val="1"/>
          <w:color w:val="auto"/>
        </w:rPr>
        <w:t>Because We Conduct Business Internationally, We Face Additional Risks Related to Global Political and Economic Conditions, Changes in Regulation and Currency Fluctuations</w:t>
      </w:r>
    </w:p>
    <w:p>
      <w:pPr>
        <w:spacing w:after="0" w:line="123"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Approximately 17% of our total revenues in fiscal year 2011, 19% of our total revenues in fiscal year 2010 and 16% of our total revenues in fiscal year 2009 were derived from international sales. We anticipate international sales will account for an increasing percentage of our total revenues over the next several years. Many of these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additional risks in conducting business internationally, including:</w:t>
      </w:r>
    </w:p>
    <w:p>
      <w:pPr>
        <w:spacing w:after="0" w:line="96"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unexpected changes in laws, policies and regulatory requirements, including but not limited to regulations related to import-export control;</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increased cost of localizing systems in foreign countries;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increased sales and marketing and research and development expenses;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availability of suitable export financing;</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timing and availability of export licenses;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imposition of taxes, tariffs, embargoes and other trade barriers;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political and economic instability;</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compliance with a variety of international laws and U.S. laws affecting the activities of U.S. companies abroad;</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challenges in staffing and managing foreign operations;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difficulties in managing distributors;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potentially adverse tax consequences;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potential difficulty in making adequate payment arrangements;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potential difficulty in collecting accounts receivable.</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Ability to Protect Our Proprietary Technology Is Limited</w:t>
      </w:r>
    </w:p>
    <w:p>
      <w:pPr>
        <w:spacing w:after="0" w:line="10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Our success depends significantly on our ability to protect our proprietary rights to the technologies we use in our products and services. We generally rely on a combination of copyrights, patents, trademarks and trade secret laws and contractual rights to protect our intellectual property rights. We also enter into confidentiality and assignment of intellectual property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If we are unsuccessful in such litigation,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it may have unlimited rights to use that technical data and information. There can be no assurance that the U.S. government will not authorize others to use that data and information to compete with us.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Involvement in Litigation Relating to Intellectual Property Claims May Have a Material Adverse Effect on Our Business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may be party to intellectual property infringement claims. Regardless of the merit of these claims, intellectual property litigation can be time consuming and result in costly litigation and diversion of the attention of technical and management personnel. An adverse result in any litigation could have a material adverse effect on our business, financial condition and results of operations. Litigation may be necessary to protect our intellectual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property rights and trade secrets, to determine the validity and scope of the proprietary rights of others or to defend against claims of infringement or invalidity. For example, in May 2009 we and certain other equipment manufacturers were sued by Applied Signal Technology in the U.S. District Court for the Northern District of California for alleged infringement of certain patents. We have developed and maintain a portfolio of patents in the same field of technology as the plaintiff’s patents, and although we intend to vigorously defend against this suit, there can be no assurance that any resolution will not be adverse to us. We may be subject to infringement, invalidity, right to use or ownership claims by third parties or claims for indemnification resulting from infringement claims in the future.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upon the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Rely on the Availability of Third-Party Licenses</w:t>
      </w:r>
    </w:p>
    <w:p>
      <w:pPr>
        <w:spacing w:after="0" w:line="100"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and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Adverse Resolution of Litigation May Harm Our Operating Results or Financial Condition</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142" w:lineRule="exact"/>
        <w:rPr>
          <w:sz w:val="20"/>
          <w:szCs w:val="20"/>
          <w:color w:val="auto"/>
        </w:rPr>
      </w:pPr>
    </w:p>
    <w:p>
      <w:pPr>
        <w:ind w:left="680" w:right="500"/>
        <w:spacing w:after="0" w:line="283" w:lineRule="auto"/>
        <w:rPr>
          <w:sz w:val="20"/>
          <w:szCs w:val="20"/>
          <w:color w:val="auto"/>
        </w:rPr>
      </w:pPr>
      <w:r>
        <w:rPr>
          <w:rFonts w:ascii="Arial" w:cs="Arial" w:eastAsia="Arial" w:hAnsi="Arial"/>
          <w:sz w:val="13"/>
          <w:szCs w:val="13"/>
          <w:b w:val="1"/>
          <w:bCs w:val="1"/>
          <w:color w:val="auto"/>
        </w:rPr>
        <w:t>Our International Sales and Operations Are Subject to Applicable Laws Relating to Trade, Export Controls and Foreign Corrupt Practices, the Violation of Which Could Adversely Affect Our Operations</w:t>
      </w:r>
    </w:p>
    <w:p>
      <w:pPr>
        <w:spacing w:after="0" w:line="54"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w:t>
      </w:r>
    </w:p>
    <w:p>
      <w:pPr>
        <w:ind w:left="680"/>
        <w:spacing w:after="0" w:line="280" w:lineRule="auto"/>
        <w:rPr>
          <w:sz w:val="20"/>
          <w:szCs w:val="20"/>
          <w:color w:val="auto"/>
        </w:rPr>
      </w:pPr>
      <w:r>
        <w:rPr>
          <w:rFonts w:ascii="Arial" w:cs="Arial" w:eastAsia="Arial" w:hAnsi="Arial"/>
          <w:sz w:val="12"/>
          <w:szCs w:val="12"/>
          <w:color w:val="auto"/>
        </w:rPr>
        <w:t>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the Regulatory Environment Could Have a Material Adverse Impact on Our Competitive Position, Growth and Financial Performance</w:t>
      </w:r>
    </w:p>
    <w:p>
      <w:pPr>
        <w:spacing w:after="0" w:line="10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provision of wireless and satellite communications and secure networking products and services is highly regulated. Our business is subject to the regulatory authority of the jurisdictions in which we operate, including the United States and other jurisdictions around the world. Those authorities regulate, among other things, the launch</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and operation of satellites, the use of radio spectrum, the licensing of earth stations and other radio transmitters, the provision of communications services, and the design, manufacture and marketing of communications systems and networking infrastructure. We cannot predict when or whether applicable laws or regulations may come into effect or change, or what the cost and time necessary to comply with such new or updated laws or regulations may be. Failure to comply with applicable laws or regulations could result in the imposition of financial penalties against us, the adverse modification or cancellation of required authorizations, or other material adverse actions.</w:t>
      </w:r>
    </w:p>
    <w:p>
      <w:pPr>
        <w:spacing w:after="0" w:line="70" w:lineRule="exact"/>
        <w:rPr>
          <w:sz w:val="20"/>
          <w:szCs w:val="20"/>
          <w:color w:val="auto"/>
        </w:rPr>
      </w:pPr>
    </w:p>
    <w:p>
      <w:pPr>
        <w:ind w:left="680" w:firstLine="399"/>
        <w:spacing w:after="0" w:line="274" w:lineRule="auto"/>
        <w:rPr>
          <w:sz w:val="20"/>
          <w:szCs w:val="20"/>
          <w:color w:val="auto"/>
        </w:rPr>
      </w:pPr>
      <w:r>
        <w:rPr>
          <w:rFonts w:ascii="Arial" w:cs="Arial" w:eastAsia="Arial" w:hAnsi="Arial"/>
          <w:sz w:val="12"/>
          <w:szCs w:val="12"/>
          <w:color w:val="auto"/>
        </w:rPr>
        <w:t>Laws and regulations affecting the wireless and satellite communications and secure networking industries are subject to change in response to industry developments, new technology, and political considerations. Legislators and regulatory authorities in various countries are considering, and may in the future adopt, new laws, policies and regulations, as well as changes to existing regulations, regarding a variety of matters that could, directly or indirectly, affect our operations or the operations of our distribution partners, and increase the cost of providing our products and services. For example, in early 2011, the FCC proposed modifications to the universal service support mechanisms that subsidize the provision of services to low-income consumers, high-cost areas, schools, libraries and rural health care providers. The proposals currently being considered by the FCC would transform the existing universal service support mechanisms through the creation of a Connect America Fund (CAF) that would be focused on funding the deployment of affordable broadband services to rural America. The framework proposes to exclude satellite broadband providers from direct participation in Phase I of the CAF and suggests the possibility of limiting satellite participation in Phase II of the CAF. If adopted, this disparate treatment would prevent ViaSat and other satellite broadband service providers from competing for funding on an equal basis with terrestrial and other broadband service providers. Changes to laws and regulations could materially harm our business by (1) affecting our ability to obtain or retain required governmental authorizations,</w:t>
      </w:r>
    </w:p>
    <w:p>
      <w:pPr>
        <w:spacing w:after="0" w:line="5" w:lineRule="exact"/>
        <w:rPr>
          <w:sz w:val="20"/>
          <w:szCs w:val="20"/>
          <w:color w:val="auto"/>
        </w:rPr>
      </w:pPr>
    </w:p>
    <w:p>
      <w:pPr>
        <w:ind w:left="680" w:right="40" w:firstLine="7"/>
        <w:spacing w:after="0" w:line="258" w:lineRule="auto"/>
        <w:tabs>
          <w:tab w:leader="none" w:pos="866"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Changes in, or our failure to comply with, applicable laws and regulations could materially harm our business and impair the value of our common stock.</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Future Sales of Our Common Stock Could Lower Our Stock Price and Dilute Existing Stockholders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67"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We may also issue additional shares of common stock to finance future acquisitions through the use of equity. For example, during the third quarter of fiscal year 2010 we issued approximately 4.29 million shares of our common stock to former WildBlue equity and debt holders in connection with our acquisition of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Expect Our Stock Price to Be Volatile, and You May Lose All or Some of Your Investment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market price of our common stock has been volatile in the past. For example, since April 2, 2001, the market price of our common stock has ranged from $3.91 to $46.00.</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Trading prices may continue to fluctuate in response to a number of events and factors, including the following:</w:t>
      </w:r>
    </w:p>
    <w:p>
      <w:pPr>
        <w:spacing w:after="0" w:line="89"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quarterly variations in operating results and announcements of innovations;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new products, services and strategic developments by us or our competitors;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developments in our relationships with our customers, distributors and suppliers;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regulatory developments;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our revenues, expense levels or profitability;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financial estimates and recommendations by securities analysts;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failure to meet the expectations of securities analysts;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the satellite and wireless communications and secure networking industries;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the economy.</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Our Executive Officers and Directors Own a Large Percentage of Our Common Stock and Exert Significant Influence over Matters Requiring Stockholder Approval</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As of May 20, 2011, our executive officers and directors and their affiliates beneficially owned an aggregate of approximately 12% of our common stock. Accordingly, these stockholders may be able to substantially influence all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Have Implemented Anti-Takeover Provisions that Could Prevent an Acquisition of Our Business at a Premium Price</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59"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permit the board of directors to increase its own size and fill the resulting vacancies;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provide for a board comprised of three classes of directors with each class serving a staggered three-year term;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in one or more series;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prohibit stockholder action by written consent.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Section 203 of the Delaware General Corporation Law imposes restrictions on mergers and other business combinations between us and any holder of 15% or more of our common stock.</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680" w:right="440" w:firstLine="399"/>
        <w:spacing w:after="0" w:line="305" w:lineRule="auto"/>
        <w:rPr>
          <w:sz w:val="20"/>
          <w:szCs w:val="20"/>
          <w:color w:val="auto"/>
        </w:rPr>
      </w:pPr>
      <w:r>
        <w:rPr>
          <w:rFonts w:ascii="Arial" w:cs="Arial" w:eastAsia="Arial" w:hAnsi="Arial"/>
          <w:sz w:val="11"/>
          <w:szCs w:val="11"/>
          <w:color w:val="auto"/>
        </w:rPr>
        <w:t>Our worldwide headquarters are located at our Carlsbad, California campus, consisting of approximately 425,000 square feet under various leases. In addition to our Carlsbad campus, we have facilities under various leases consisting of approximately (1) 20,000 square feet in San Diego, California, (2) 85,000 square feet in Englewood, Colorado,</w:t>
      </w:r>
    </w:p>
    <w:p>
      <w:pPr>
        <w:spacing w:after="0" w:line="1" w:lineRule="exact"/>
        <w:rPr>
          <w:sz w:val="20"/>
          <w:szCs w:val="20"/>
          <w:color w:val="auto"/>
        </w:rPr>
      </w:pPr>
    </w:p>
    <w:p>
      <w:pPr>
        <w:ind w:left="680" w:right="120" w:firstLine="7"/>
        <w:spacing w:after="0" w:line="290" w:lineRule="auto"/>
        <w:tabs>
          <w:tab w:leader="none" w:pos="866" w:val="left"/>
        </w:tabs>
        <w:numPr>
          <w:ilvl w:val="0"/>
          <w:numId w:val="29"/>
        </w:numPr>
        <w:rPr>
          <w:rFonts w:ascii="Arial" w:cs="Arial" w:eastAsia="Arial" w:hAnsi="Arial"/>
          <w:sz w:val="12"/>
          <w:szCs w:val="12"/>
          <w:color w:val="auto"/>
        </w:rPr>
      </w:pPr>
      <w:r>
        <w:rPr>
          <w:rFonts w:ascii="Arial" w:cs="Arial" w:eastAsia="Arial" w:hAnsi="Arial"/>
          <w:sz w:val="12"/>
          <w:szCs w:val="12"/>
          <w:color w:val="auto"/>
        </w:rPr>
        <w:t>146,000 square feet in Duluth, Georgia, (4) 48,000 square feet in Germantown, Maryland, (5) 44,000 square feet in Gilbert, Arizona, and (6) 34,000 square feet in Cleveland, Ohio. We also maintain offices or a sales presence in Arlington (Virginia), Boston (Massachusetts), Linthicum Heights (Maryland), Tampa (Florida), Australia, Canada, China, Italy, and Switzerland, and operate or are developing twenty-four gateway ground stations to support our WildBlue service across the United States and Canada. Although we believe that our</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existing facilities are suitable and adequate for our present purposes, we anticipate operating additional regional sales offices in fiscal year 2012 and beyond. Each of our segments uses each of these facilities.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right="66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Price Range of Common Stock</w:t>
      </w:r>
    </w:p>
    <w:p>
      <w:pPr>
        <w:spacing w:after="0" w:line="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Low</w:t>
            </w:r>
          </w:p>
        </w:tc>
      </w:tr>
      <w:tr>
        <w:trPr>
          <w:trHeight w:val="29"/>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2010</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$27.36</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$20.35</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28.88</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23.53</w:t>
            </w: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32.46</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28.12</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35.13</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26.04</w:t>
            </w:r>
          </w:p>
        </w:tc>
      </w:tr>
      <w:tr>
        <w:trPr>
          <w:trHeight w:val="157"/>
        </w:trPr>
        <w:tc>
          <w:tcPr>
            <w:tcW w:w="8320" w:type="dxa"/>
            <w:vAlign w:val="bottom"/>
          </w:tcPr>
          <w:p>
            <w:pPr>
              <w:spacing w:after="0"/>
              <w:rPr>
                <w:sz w:val="20"/>
                <w:szCs w:val="20"/>
                <w:color w:val="auto"/>
              </w:rPr>
            </w:pPr>
            <w:r>
              <w:rPr>
                <w:rFonts w:ascii="Arial" w:cs="Arial" w:eastAsia="Arial" w:hAnsi="Arial"/>
                <w:sz w:val="13"/>
                <w:szCs w:val="13"/>
                <w:b w:val="1"/>
                <w:bCs w:val="1"/>
                <w:color w:val="auto"/>
              </w:rPr>
              <w:t>Fiscal 2011</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$36.74</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$30.60</w:t>
            </w: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41.81</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31.00</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44.88</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38.40</w:t>
            </w:r>
          </w:p>
        </w:tc>
      </w:tr>
      <w:tr>
        <w:trPr>
          <w:trHeight w:val="165"/>
        </w:trPr>
        <w:tc>
          <w:tcPr>
            <w:tcW w:w="832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46.00</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37.50</w:t>
            </w:r>
          </w:p>
        </w:tc>
      </w:tr>
    </w:tbl>
    <w:p>
      <w:pPr>
        <w:spacing w:after="0" w:line="7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of May 20, 2011, there were approximately 1,288 holders of record of our common stock. A substantially greater number of holders of ViaSat common stock are “street name” or beneficial holders, whose shares are held of record by banks, brokers and other financial institutions.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subject to any applicable restrictions under our debt and credit agreements, and will be dependent upon our financial condition, results of operations, capital requirements, general business condition and such other factors as the Board of Directors may deem relevant.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following table provides our selected financial information for each of the fiscal years in the five-year period ended April 1, 2011. The data as of and for each of the fiscal years in the five-year period ended April 1, 2011 have been derived from our audited consolidated financial statements.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1,</w:t>
            </w:r>
          </w:p>
        </w:tc>
        <w:tc>
          <w:tcPr>
            <w:tcW w:w="140" w:type="dxa"/>
            <w:vAlign w:val="bottom"/>
          </w:tcPr>
          <w:p>
            <w:pPr>
              <w:spacing w:after="0"/>
              <w:rPr>
                <w:sz w:val="7"/>
                <w:szCs w:val="7"/>
                <w:color w:val="auto"/>
              </w:rPr>
            </w:pPr>
          </w:p>
        </w:tc>
        <w:tc>
          <w:tcPr>
            <w:tcW w:w="720" w:type="dxa"/>
            <w:vAlign w:val="bottom"/>
            <w:gridSpan w:val="2"/>
          </w:tcPr>
          <w:p>
            <w:pPr>
              <w:jc w:val="right"/>
              <w:ind w:right="280"/>
              <w:spacing w:after="0" w:line="81" w:lineRule="exact"/>
              <w:rPr>
                <w:sz w:val="20"/>
                <w:szCs w:val="20"/>
                <w:color w:val="auto"/>
              </w:rPr>
            </w:pPr>
            <w:r>
              <w:rPr>
                <w:rFonts w:ascii="Arial" w:cs="Arial" w:eastAsia="Arial" w:hAnsi="Arial"/>
                <w:sz w:val="9"/>
                <w:szCs w:val="9"/>
                <w:b w:val="1"/>
                <w:bCs w:val="1"/>
                <w:color w:val="auto"/>
              </w:rPr>
              <w:t>April 2,</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9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2011</w:t>
            </w: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7"/>
          </w:tcPr>
          <w:p>
            <w:pPr>
              <w:jc w:val="right"/>
              <w:spacing w:after="0"/>
              <w:rPr>
                <w:sz w:val="20"/>
                <w:szCs w:val="20"/>
                <w:color w:val="auto"/>
              </w:rPr>
            </w:pPr>
            <w:r>
              <w:rPr>
                <w:rFonts w:ascii="Arial" w:cs="Arial" w:eastAsia="Arial" w:hAnsi="Arial"/>
                <w:sz w:val="10"/>
                <w:szCs w:val="10"/>
                <w:b w:val="1"/>
                <w:bCs w:val="1"/>
                <w:color w:val="auto"/>
              </w:rPr>
              <w:t>(In thousands, except per share data)</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 of Income Data:</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Total revenues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802,206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688,080</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628,179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574,650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516,566</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expenses:</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280"/>
              <w:spacing w:after="0"/>
              <w:rPr>
                <w:sz w:val="20"/>
                <w:szCs w:val="20"/>
                <w:color w:val="auto"/>
              </w:rPr>
            </w:pPr>
            <w:r>
              <w:rPr>
                <w:rFonts w:ascii="Arial" w:cs="Arial" w:eastAsia="Arial" w:hAnsi="Arial"/>
                <w:sz w:val="13"/>
                <w:szCs w:val="13"/>
                <w:color w:val="auto"/>
              </w:rPr>
              <w:t>Cost of revenues</w:t>
            </w: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550,568</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475,356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446,824</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413,520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380,092</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164,265</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132,895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98,624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76,365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69,896</w:t>
            </w:r>
          </w:p>
        </w:tc>
        <w:tc>
          <w:tcPr>
            <w:tcW w:w="0" w:type="dxa"/>
            <w:vAlign w:val="bottom"/>
          </w:tcPr>
          <w:p>
            <w:pPr>
              <w:spacing w:after="0"/>
              <w:rPr>
                <w:sz w:val="1"/>
                <w:szCs w:val="1"/>
                <w:color w:val="auto"/>
              </w:rPr>
            </w:pPr>
          </w:p>
        </w:tc>
      </w:tr>
      <w:tr>
        <w:trPr>
          <w:trHeight w:val="157"/>
        </w:trPr>
        <w:tc>
          <w:tcPr>
            <w:tcW w:w="5000" w:type="dxa"/>
            <w:vAlign w:val="bottom"/>
          </w:tcPr>
          <w:p>
            <w:pPr>
              <w:ind w:left="280"/>
              <w:spacing w:after="0"/>
              <w:rPr>
                <w:sz w:val="20"/>
                <w:szCs w:val="20"/>
                <w:color w:val="auto"/>
              </w:rPr>
            </w:pPr>
            <w:r>
              <w:rPr>
                <w:rFonts w:ascii="Arial" w:cs="Arial" w:eastAsia="Arial" w:hAnsi="Arial"/>
                <w:sz w:val="13"/>
                <w:szCs w:val="13"/>
                <w:color w:val="auto"/>
              </w:rPr>
              <w:t>Independent research and development</w:t>
            </w: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28,711</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27,325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29,622</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32,273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21,631</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 of acquired intangible assets</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19,409</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9,494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8,822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9,562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9,502</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3"/>
                <w:szCs w:val="13"/>
                <w:color w:val="auto"/>
              </w:rPr>
              <w:t>Income from operations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39,253</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43,010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44,287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42,930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35,445</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 net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(2,831)</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(6,733)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954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5,155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1,741</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36,422</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36,277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45,241</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48,085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37,186</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 from) provision for income taxes</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5,438</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6,794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13,521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6,755</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36,424</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30,839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38,447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34,564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30,431</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Net income (loss) attributable to noncontrolling interest, net of tax</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309</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3"/>
                <w:szCs w:val="13"/>
                <w:color w:val="auto"/>
              </w:rPr>
              <w:t>Net income attributable to ViaSat, Inc.</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36,115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31,136</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38,331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33,513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30,166</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net income per share attributable to ViaSat, Inc. common stockholders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0.88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0.94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9"/>
        </w:trPr>
        <w:tc>
          <w:tcPr>
            <w:tcW w:w="5000" w:type="dxa"/>
            <w:vAlign w:val="bottom"/>
            <w:vMerge w:val="restart"/>
          </w:tcPr>
          <w:p>
            <w:pPr>
              <w:ind w:left="140"/>
              <w:spacing w:after="0"/>
              <w:rPr>
                <w:sz w:val="20"/>
                <w:szCs w:val="20"/>
                <w:color w:val="auto"/>
              </w:rPr>
            </w:pPr>
            <w:r>
              <w:rPr>
                <w:rFonts w:ascii="Arial" w:cs="Arial" w:eastAsia="Arial" w:hAnsi="Arial"/>
                <w:sz w:val="13"/>
                <w:szCs w:val="13"/>
                <w:color w:val="auto"/>
              </w:rPr>
              <w:t>Diluted net income per share attributable to ViaSat, Inc. common stockholders</w:t>
            </w: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0.84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0.89</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1.20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0.98</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used in computing basic net income per share</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40,858</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33,020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30,772</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30,232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28,589</w:t>
            </w:r>
          </w:p>
        </w:tc>
        <w:tc>
          <w:tcPr>
            <w:tcW w:w="0" w:type="dxa"/>
            <w:vAlign w:val="bottom"/>
          </w:tcPr>
          <w:p>
            <w:pPr>
              <w:spacing w:after="0"/>
              <w:rPr>
                <w:sz w:val="1"/>
                <w:szCs w:val="1"/>
                <w:color w:val="auto"/>
              </w:rPr>
            </w:pPr>
          </w:p>
        </w:tc>
      </w:tr>
      <w:tr>
        <w:trPr>
          <w:trHeight w:val="29"/>
        </w:trPr>
        <w:tc>
          <w:tcPr>
            <w:tcW w:w="5000" w:type="dxa"/>
            <w:vAlign w:val="bottom"/>
            <w:vMerge w:val="restart"/>
          </w:tcPr>
          <w:p>
            <w:pPr>
              <w:ind w:left="140"/>
              <w:spacing w:after="0"/>
              <w:rPr>
                <w:sz w:val="20"/>
                <w:szCs w:val="20"/>
                <w:color w:val="auto"/>
              </w:rPr>
            </w:pPr>
            <w:r>
              <w:rPr>
                <w:rFonts w:ascii="Arial" w:cs="Arial" w:eastAsia="Arial" w:hAnsi="Arial"/>
                <w:sz w:val="13"/>
                <w:szCs w:val="13"/>
                <w:color w:val="auto"/>
              </w:rPr>
              <w:t>Shares used in computing diluted net income per share</w:t>
            </w: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43,059</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34,839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31,884</w:t>
            </w:r>
          </w:p>
        </w:tc>
        <w:tc>
          <w:tcPr>
            <w:tcW w:w="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32,224</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30,893</w:t>
            </w:r>
          </w:p>
        </w:tc>
        <w:tc>
          <w:tcPr>
            <w:tcW w:w="0" w:type="dxa"/>
            <w:vAlign w:val="bottom"/>
          </w:tcPr>
          <w:p>
            <w:pPr>
              <w:spacing w:after="0"/>
              <w:rPr>
                <w:sz w:val="1"/>
                <w:szCs w:val="1"/>
                <w:color w:val="auto"/>
              </w:rPr>
            </w:pPr>
          </w:p>
        </w:tc>
      </w:tr>
      <w:tr>
        <w:trPr>
          <w:trHeight w:val="165"/>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Cash, cash equivalents and short-term investments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40,490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89,631</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63,491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125,219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103,392</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Working capital</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167,457</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214,541</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203,390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248,251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187,406</w:t>
            </w: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Total assets</w:t>
            </w: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1,405,748</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1,293,552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622,942</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551,094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483,939</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long-term debt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61,946</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60,000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Senior Notes due 2016, net</w:t>
            </w: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272,296</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271,801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23,842</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24,395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24,718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17,290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13,273</w:t>
            </w:r>
          </w:p>
        </w:tc>
        <w:tc>
          <w:tcPr>
            <w:tcW w:w="0" w:type="dxa"/>
            <w:vAlign w:val="bottom"/>
          </w:tcPr>
          <w:p>
            <w:pPr>
              <w:spacing w:after="0"/>
              <w:rPr>
                <w:sz w:val="1"/>
                <w:szCs w:val="1"/>
                <w:color w:val="auto"/>
              </w:rPr>
            </w:pP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Total ViaSat, Inc. stockholders’ equity</w:t>
            </w:r>
          </w:p>
        </w:tc>
        <w:tc>
          <w:tcPr>
            <w:tcW w:w="16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840,125</w:t>
            </w: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753,005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458,748</w:t>
            </w:r>
          </w:p>
        </w:tc>
        <w:tc>
          <w:tcPr>
            <w:tcW w:w="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404,140</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348,795</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consolidated financial statements include the operating results of WildBlue from the date of acquisition during December 2009. In fiscal years 2011 and 2010, we recorded approximately $220.8 million and $63.4 million,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5" w:lineRule="auto"/>
        <w:rPr>
          <w:sz w:val="20"/>
          <w:szCs w:val="20"/>
          <w:color w:val="auto"/>
        </w:rPr>
      </w:pPr>
      <w:r>
        <w:rPr>
          <w:rFonts w:ascii="Arial" w:cs="Arial" w:eastAsia="Arial" w:hAnsi="Arial"/>
          <w:sz w:val="12"/>
          <w:szCs w:val="12"/>
          <w:color w:val="auto"/>
        </w:rPr>
        <w:t>respectively, in revenue and $17.4 million and $0.4 million, respectively, of net income with respect to the WildBlue business in the consolidated statements of operations. Net income for fiscal years 2011 and 2010 included $0.9 million and $8.7 million, respectively, in transaction-related expenses related to the acquisition of Stonewood Group Limited (Stonewood) in fiscal year 2011 and WildBlue in fiscal year 2010. In addition, net income for fiscal years 2011 and 2010 included $0.5 million and $2.7 million, respectively, in certain post-acquisition charges recorded for restructuring costs for terminated employees related to the acquisition of WildBlue. These transaction-related expenses and certain post-acquisition charges were recorded in accordance with the authoritative guidance for business combinations (ASC 805) adopted on April 4, 2009.</w:t>
      </w:r>
    </w:p>
    <w:p>
      <w:pPr>
        <w:spacing w:after="0" w:line="13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Overview</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 In addition, following our acquisition of WildBlue, we are a leading provider of satellite broadband internet services in the United States.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ViaSat operates in three segments: government systems, commercial networks and satellite services.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Systems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government systems segment develops and produces network-centric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tactical armed forces, public safety first-responders and remote government employees.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products and services of our government systems segment include:</w:t>
      </w:r>
    </w:p>
    <w:p>
      <w:pPr>
        <w:spacing w:after="0" w:line="96" w:lineRule="exact"/>
        <w:rPr>
          <w:sz w:val="20"/>
          <w:szCs w:val="20"/>
          <w:color w:val="auto"/>
        </w:rPr>
      </w:pPr>
    </w:p>
    <w:p>
      <w:pPr>
        <w:ind w:left="1280" w:right="80" w:hanging="190"/>
        <w:spacing w:after="0" w:line="264"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Government satellite communication systems, including an array of portable and fixed broadband modems, terminals, network access control systems and antenna systems using a range of satellite frequency bands for line-of-sight and beyond-line-of-sight ISR and C2 missions, satellite networking services, as well as products designed for manpacks, aircraft, UAVs, seagoing vessels, ground mobile vehicles and fixed applications.</w:t>
      </w:r>
    </w:p>
    <w:p>
      <w:pPr>
        <w:spacing w:after="0" w:line="57"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Information assurance products that enable military and government users to communicate information securely over networks, and that secure data stored on computers and storage devices.</w:t>
      </w:r>
    </w:p>
    <w:p>
      <w:pPr>
        <w:spacing w:after="0" w:line="4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Tactical data links, including MIDS terminals for military fighter jets and their successor, MIDS-JTRS terminals, “disposable” weapon data links and portable small tactical terminals.</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On July 8, 2010, we completed the acquisition of all outstanding shares of the parent company of Stonewood Group Limited (Stonewood), a privately held company registered in England and Wales (see Note 9 to our consolidated financial statements). Stonewood is a leader in the design, manufacture and delivery of data at rest encryption products and services. In connection with the acquisition, we paid approximately $14.2 million in cash and issued approximately 144,962 shares of ViaSat common stock to former Stonewood stockholders. The acquisition was accounted for as a purchase and accordingly, the consolidated financial statements include the operating results of Stonewood from the date of acquisition in our government systems segment.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Commercial Networks</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Our commercial networks segment develops and produces a variety of advanced end-to-end satellite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satellite communication systems and ground networking equipment and products cater to a wide range of domestic and international commercial customers and include:</w:t>
      </w:r>
    </w:p>
    <w:p>
      <w:pPr>
        <w:spacing w:after="0" w:line="108"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Consumer broadband, including next-generation satellite network infrastructure and ground terminals to access high capacity satellites.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Antenna systems for terrestrial and satellite applications, specializing in geospatial imagery, mobile satellite communication, Ka-band gateways, and other multi-band antennas.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Mobile broadband satellite communication systems, designed for use in aircraft, seagoing vessels and high-speed trains.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Enterprise VSAT networks and products, designed to provide enterprises with broadband access to the internet or private networks.</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Satellite networking development programs, including specialized design and technology services covering all aspects of satellite communication system architecture and technology.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Satellite Services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satellite services segment complements our government systems and commercial networks segments by providing wholesale and retail satellite-based broadband internet services in the United States via our distribution and capacity agreements, as well as managed network services for the satellite communication systems of our consumer, enterprise and mobile broadband customers.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services offered by our satellite services segment comprise:</w:t>
      </w:r>
    </w:p>
    <w:p>
      <w:pPr>
        <w:spacing w:after="0" w:line="96" w:lineRule="exact"/>
        <w:rPr>
          <w:sz w:val="20"/>
          <w:szCs w:val="20"/>
          <w:color w:val="auto"/>
        </w:rPr>
      </w:pPr>
    </w:p>
    <w:p>
      <w:pPr>
        <w:ind w:left="1280" w:right="2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Wholesale and retail broadband services, comprised of WildBlue service, which provides two-way satellite-based broadband internet access to consumers and small businesses in the United States.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Yonder worldwide mobile broadband services, comprised of global network management services for customers who use our ArcLight-based mobile satellite systems.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December 15, 2009, we acquired WildBlue, a leading Ka-band satellite broadband internet service provider. In connection with the acquisition, we paid approximately</w:t>
      </w:r>
    </w:p>
    <w:p>
      <w:pPr>
        <w:spacing w:after="0" w:line="27"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$442.7 million in cash and issued approximately 4.29 million shares of ViaSat common stock to WildBlue equity and debt holders (see Note 9 to our consolidated financial statements). The acquisition was accounted for as a purchase and accordingly, the consolidated financial statements include the operating results of WildBlue from the date of acquisition in our satellite services segment.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Revenues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With respect to our government systems and commercial networks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67"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95% of our total revenues for fiscal year 2011, 91% of our total revenues for fiscal year 2010 and 86% of our total revenues for fiscal year 2009. The remainder of our revenue in these segments for such periods was derived from cost-reimbursement contracts (under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Historically, a significant portion of our revenues has been derived from customer contracts that include the research and development of products. The research and development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efforts are conducted in direct response to the customer’s specific requirements and, accordingly, expenditures related to such efforts are included in cost of sales when incurred and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related funding (which includes a profit component) is included in revenues. Revenues for our funded research and development from our customer contracts were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$210.6 million or 26% of our total revenues during fiscal year 2011, $92.9 million or 14% of our total revenues during fiscal year 2010, and $126.7 million or 20% of our total revenues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during fiscal year 2009.</w:t>
      </w:r>
    </w:p>
    <w:p>
      <w:pPr>
        <w:spacing w:after="0" w:line="8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also incur IR&amp;D expenses, which are not directly funded by a third party. IR&amp;D expenses consist primarily of salaries and other personnel-related expenses, supplies, prototype materials, testing and certification related to research and development programs. IR&amp;D expenses were approximately 4% of total revenues during fiscal years 2011 and 2010 and 5% of total revenues during fiscal year 2009. As a government contractor, we are able to recover a portion of our IR&amp;D expenses pursuant to our government contracts.</w:t>
      </w:r>
    </w:p>
    <w:p>
      <w:pPr>
        <w:spacing w:after="0" w:line="5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Our satellite services segment revenues are primarily derived from our WildBlue business (which provides wholesale and retail satellite-based broadband internet services in the United States) and our managed network services which complement both our government systems and commercial networks segments by supporting the satellite communication systems of our consumer enterprise and mobile broadband customers. Our WildBlue retail satellite-based broadband internet services (which have been included in our results of operations since our acquisition of WildBlue in December 2009) were approximately 16% of total revenues during fiscal year 2011 and immaterial for fiscal year 2010.</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Management’s Discussion and Analysis of Financial Condition and Results of Operations discusses our consolidated financial statements, which have been prepared in accordance with accounting principles generally accepted in the United States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fiscal years 2011, 2010 and 2009, we recorded losses of approximately $12.1 million, $9.3 million and $5.4 million, respectively, related to loss contracts.</w:t>
      </w:r>
    </w:p>
    <w:p>
      <w:pPr>
        <w:spacing w:after="0" w:line="70" w:lineRule="exact"/>
        <w:rPr>
          <w:sz w:val="20"/>
          <w:szCs w:val="20"/>
          <w:color w:val="auto"/>
        </w:rPr>
      </w:pPr>
    </w:p>
    <w:p>
      <w:pPr>
        <w:ind w:left="680" w:right="60" w:firstLine="399"/>
        <w:spacing w:after="0" w:line="308" w:lineRule="auto"/>
        <w:rPr>
          <w:sz w:val="20"/>
          <w:szCs w:val="20"/>
          <w:color w:val="auto"/>
        </w:rPr>
      </w:pPr>
      <w:r>
        <w:rPr>
          <w:rFonts w:ascii="Arial" w:cs="Arial" w:eastAsia="Arial" w:hAnsi="Arial"/>
          <w:sz w:val="11"/>
          <w:szCs w:val="11"/>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April 1, 2011 would change our income before income taxes by approximately $0.5 million.</w:t>
      </w:r>
    </w:p>
    <w:p>
      <w:pPr>
        <w:spacing w:after="0" w:line="4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fixed and determinable, collectability is reasonably assured and the goods or services have been delivered.</w:t>
      </w:r>
    </w:p>
    <w:p>
      <w:pPr>
        <w:spacing w:after="0" w:line="67" w:lineRule="exact"/>
        <w:rPr>
          <w:sz w:val="20"/>
          <w:szCs w:val="20"/>
          <w:color w:val="auto"/>
        </w:rPr>
      </w:pPr>
    </w:p>
    <w:p>
      <w:pPr>
        <w:ind w:left="680" w:right="120" w:firstLine="399"/>
        <w:spacing w:after="0" w:line="303" w:lineRule="auto"/>
        <w:rPr>
          <w:sz w:val="20"/>
          <w:szCs w:val="20"/>
          <w:color w:val="auto"/>
        </w:rPr>
      </w:pPr>
      <w:r>
        <w:rPr>
          <w:rFonts w:ascii="Arial" w:cs="Arial" w:eastAsia="Arial" w:hAnsi="Arial"/>
          <w:sz w:val="11"/>
          <w:szCs w:val="11"/>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which often involve complex provisions and significant judgments. In accordance with the authoritative guidance for leases, we classify the transactions as sales type or operating leases based on (1) review for transfers of ownership of the property to the lessee by the end of the lease term,</w:t>
      </w:r>
    </w:p>
    <w:p>
      <w:pPr>
        <w:ind w:left="680" w:firstLine="7"/>
        <w:spacing w:after="0" w:line="254" w:lineRule="auto"/>
        <w:tabs>
          <w:tab w:leader="none" w:pos="866"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review of the lease terms to determine if it contains an option to purchase the leased property for a price which is sufficiently lower than the expected fair value of the property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75"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When a sale involves multiple elements, such as sales of products that include services, the entire fee from the arrangement is allocated to each respective element based on its relative fair value in accordance with the authoritative guidance for accounting for multiple element revenue arrangements (ASC 605-25), and recognized when the applicable revenue recognition criteria for each element have been met. The amount of product and service revenue recognized is impacted by our judgments as to whether an arrangement includes multiple elements and, if so, whether sufficient objective and reliable evidence of fair value exists for those elements. Changes to the elements in an arrangement and our ability to establish evidence for those elements could affect the timing of revenue recognition.</w:t>
      </w:r>
    </w:p>
    <w:p>
      <w:pPr>
        <w:spacing w:after="0" w:line="71" w:lineRule="exact"/>
        <w:rPr>
          <w:sz w:val="20"/>
          <w:szCs w:val="20"/>
          <w:color w:val="auto"/>
        </w:rPr>
      </w:pPr>
    </w:p>
    <w:p>
      <w:pPr>
        <w:ind w:left="680" w:right="500" w:firstLine="399"/>
        <w:spacing w:after="0" w:line="320" w:lineRule="auto"/>
        <w:rPr>
          <w:sz w:val="20"/>
          <w:szCs w:val="20"/>
          <w:color w:val="auto"/>
        </w:rPr>
      </w:pPr>
      <w:r>
        <w:rPr>
          <w:rFonts w:ascii="Arial" w:cs="Arial" w:eastAsia="Arial" w:hAnsi="Arial"/>
          <w:sz w:val="12"/>
          <w:szCs w:val="12"/>
          <w:color w:val="auto"/>
        </w:rPr>
        <w:t>Collections in excess of revenues and deferred revenues represent cash collected from customers in advance of revenue recognition and are recorded in accrued liabilities for obligations within the next twelve months. Deferred revenues extending beyond the twelve months are recorded within other liabilities in the consolidated financial statements.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480" w:firstLine="399"/>
        <w:spacing w:after="0" w:line="280" w:lineRule="auto"/>
        <w:rPr>
          <w:sz w:val="20"/>
          <w:szCs w:val="20"/>
          <w:color w:val="auto"/>
        </w:rPr>
      </w:pPr>
      <w:r>
        <w:rPr>
          <w:rFonts w:ascii="Arial" w:cs="Arial" w:eastAsia="Arial" w:hAnsi="Arial"/>
          <w:sz w:val="12"/>
          <w:szCs w:val="12"/>
          <w:color w:val="auto"/>
        </w:rPr>
        <w:t>We make estimates of the collectability of our accounts receivable based on historical bad debts, customer creditworthiness and current economic trends when evaluating the adequacy of the allowance for doubtful accounts. Historically, our bad debt allowances have been minimal primarily because a significant portion of our sales has been to the</w:t>
      </w:r>
    </w:p>
    <w:p>
      <w:pPr>
        <w:jc w:val="both"/>
        <w:ind w:left="680" w:right="180"/>
        <w:spacing w:after="0" w:line="356" w:lineRule="auto"/>
        <w:rPr>
          <w:sz w:val="20"/>
          <w:szCs w:val="20"/>
          <w:color w:val="auto"/>
        </w:rPr>
      </w:pPr>
      <w:r>
        <w:rPr>
          <w:rFonts w:ascii="Arial" w:cs="Arial" w:eastAsia="Arial" w:hAnsi="Arial"/>
          <w:sz w:val="11"/>
          <w:szCs w:val="11"/>
          <w:color w:val="auto"/>
        </w:rPr>
        <w:t>U.S. government or is related to our satellite service commercial business, which we bill and collect in advance. Our accounts receivable balance was $191.9 million, net of allowance for doubtful accounts of $0.5 million, as of April 1, 2011, and our accounts receivable balance was $176.4 million, net of allowance for doubtful accounts of $0.5 million, as of April 2, 2010.</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Warranty reserves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account for our goodwill under the authoritative guidance for goodwill and other intangible assets (ASC 350). The authoritative guidance for the goodwill impairment model is a two-step process. First, it requires a comparison of the book value of net assets to the fair value of the reporting units that have goodwill assigned to them. Reporting units within our government systems, commercial networks and satellite services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estimate the fair values of the reporting units using discounted cash flows and other indicators of fair value such as market comparable transactions.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authoritative guidance related to the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equipment and satellites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Equipment, computers and software, furniture and fixtures, and our ViaSat-1 satellite and related gateway and networking equipment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Also, we are constructing gateway facilities, network operations systems and other assets to support the satellite under construction and these construction costs are capitalized as incurred. Interest expense is capitalized on the carrying value of the satellite and related gateway and networking equipment during the construction period. Satellite construction and launch services costs are capitalized to reflect progress toward completion, which typically coincides with contract milestone payment schedules. Insurance premiums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related to the satellite launch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As a result of the acquisition of WildBlue on December 15, 2009, we acquired the WildBlue-1 satellite (which had been placed into service in March 2007) and an exclusive prepaid lifetime capital lease of Ka-band capacity on Telesat Canada’s Anik F2 satellite (which had been placed into service in April 2005) and related gateway and networking equipment on both satellites. The acquired assets also included the indoor and outdoor customer premise equipment (CPE) units leased to subscribers under WildBlue’s retail leasing program.</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Occasionally, we may enter into capital lease arrangements for various machinery, equipment, computer-related equipment, software, furniture or fixtures. As of April 1, 2011, assets under capital lease totaled approximately $3.1 million. We had no material capital lease arrangements as of April 2, 2010. We record amortization of assets leased under capital lease arrangements within depreciation expense.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 (property, equipment and satellites, and other assets)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2011, 2010 and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 and valuation allowance on deferred tax assets</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decreased from $13.1 million at April 2, 2010 to $12.7 million at April 1, 2011. The valuation allowance primarily relates to state net operating loss carryforwards and research credit carryforwards available to reduce state income taxes.</w:t>
      </w:r>
    </w:p>
    <w:p>
      <w:pPr>
        <w:spacing w:after="0" w:line="53"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as a percentage of total revenues, income statement data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00" w:type="dxa"/>
            <w:vAlign w:val="bottom"/>
            <w:vMerge w:val="restart"/>
          </w:tcPr>
          <w:p>
            <w:pPr>
              <w:spacing w:after="0"/>
              <w:rPr>
                <w:sz w:val="20"/>
                <w:szCs w:val="20"/>
                <w:color w:val="auto"/>
              </w:rPr>
            </w:pPr>
            <w:r>
              <w:rPr>
                <w:rFonts w:ascii="Arial" w:cs="Arial" w:eastAsia="Arial" w:hAnsi="Arial"/>
                <w:sz w:val="10"/>
                <w:szCs w:val="10"/>
                <w:b w:val="1"/>
                <w:bCs w:val="1"/>
                <w:color w:val="auto"/>
              </w:rPr>
              <w:t>Fiscal Years Ended</w:t>
            </w:r>
          </w:p>
        </w:tc>
        <w:tc>
          <w:tcPr>
            <w:tcW w:w="180" w:type="dxa"/>
            <w:vAlign w:val="bottom"/>
          </w:tcPr>
          <w:p>
            <w:pPr>
              <w:spacing w:after="0"/>
              <w:rPr>
                <w:sz w:val="10"/>
                <w:szCs w:val="10"/>
                <w:color w:val="auto"/>
              </w:rPr>
            </w:pPr>
          </w:p>
        </w:tc>
        <w:tc>
          <w:tcPr>
            <w:tcW w:w="6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April 1,</w:t>
            </w:r>
          </w:p>
        </w:tc>
        <w:tc>
          <w:tcPr>
            <w:tcW w:w="280" w:type="dxa"/>
            <w:vAlign w:val="bottom"/>
          </w:tcPr>
          <w:p>
            <w:pPr>
              <w:spacing w:after="0"/>
              <w:rPr>
                <w:sz w:val="10"/>
                <w:szCs w:val="10"/>
                <w:color w:val="auto"/>
              </w:rPr>
            </w:pPr>
          </w:p>
        </w:tc>
        <w:tc>
          <w:tcPr>
            <w:tcW w:w="6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April 2,</w:t>
            </w:r>
          </w:p>
        </w:tc>
        <w:tc>
          <w:tcPr>
            <w:tcW w:w="280" w:type="dxa"/>
            <w:vAlign w:val="bottom"/>
          </w:tcPr>
          <w:p>
            <w:pPr>
              <w:spacing w:after="0"/>
              <w:rPr>
                <w:sz w:val="10"/>
                <w:szCs w:val="10"/>
                <w:color w:val="auto"/>
              </w:rPr>
            </w:pPr>
          </w:p>
        </w:tc>
        <w:tc>
          <w:tcPr>
            <w:tcW w:w="6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7200" w:type="dxa"/>
            <w:vAlign w:val="bottom"/>
            <w:vMerge w:val="continue"/>
          </w:tcPr>
          <w:p>
            <w:pPr>
              <w:spacing w:after="0"/>
              <w:rPr>
                <w:sz w:val="10"/>
                <w:szCs w:val="10"/>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Product revenues</w:t>
            </w:r>
          </w:p>
        </w:tc>
        <w:tc>
          <w:tcPr>
            <w:tcW w:w="860" w:type="dxa"/>
            <w:vAlign w:val="bottom"/>
            <w:gridSpan w:val="4"/>
          </w:tcPr>
          <w:p>
            <w:pPr>
              <w:jc w:val="right"/>
              <w:ind w:right="200"/>
              <w:spacing w:after="0"/>
              <w:rPr>
                <w:sz w:val="20"/>
                <w:szCs w:val="20"/>
                <w:color w:val="auto"/>
              </w:rPr>
            </w:pPr>
            <w:r>
              <w:rPr>
                <w:rFonts w:ascii="Arial" w:cs="Arial" w:eastAsia="Arial" w:hAnsi="Arial"/>
                <w:sz w:val="13"/>
                <w:szCs w:val="13"/>
                <w:color w:val="auto"/>
              </w:rPr>
              <w:t>65.3</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84.9</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revenues</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34.7</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15.1</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Operating expenses: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product revenues</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48.6</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59.3</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Cost of service revenues</w:t>
            </w:r>
          </w:p>
        </w:tc>
        <w:tc>
          <w:tcPr>
            <w:tcW w:w="860" w:type="dxa"/>
            <w:vAlign w:val="bottom"/>
            <w:gridSpan w:val="4"/>
          </w:tcPr>
          <w:p>
            <w:pPr>
              <w:jc w:val="right"/>
              <w:ind w:right="200"/>
              <w:spacing w:after="0"/>
              <w:rPr>
                <w:sz w:val="20"/>
                <w:szCs w:val="20"/>
                <w:color w:val="auto"/>
              </w:rPr>
            </w:pPr>
            <w:r>
              <w:rPr>
                <w:rFonts w:ascii="Arial" w:cs="Arial" w:eastAsia="Arial" w:hAnsi="Arial"/>
                <w:sz w:val="13"/>
                <w:szCs w:val="13"/>
                <w:color w:val="auto"/>
              </w:rPr>
              <w:t>20.0</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9.7</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20.5</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19.3</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Independent research and development</w:t>
            </w:r>
          </w:p>
        </w:tc>
        <w:tc>
          <w:tcPr>
            <w:tcW w:w="860" w:type="dxa"/>
            <w:vAlign w:val="bottom"/>
            <w:gridSpan w:val="4"/>
          </w:tcPr>
          <w:p>
            <w:pPr>
              <w:jc w:val="right"/>
              <w:ind w:right="200"/>
              <w:spacing w:after="0"/>
              <w:rPr>
                <w:sz w:val="20"/>
                <w:szCs w:val="20"/>
                <w:color w:val="auto"/>
              </w:rPr>
            </w:pPr>
            <w:r>
              <w:rPr>
                <w:rFonts w:ascii="Arial" w:cs="Arial" w:eastAsia="Arial" w:hAnsi="Arial"/>
                <w:sz w:val="13"/>
                <w:szCs w:val="13"/>
                <w:color w:val="auto"/>
              </w:rPr>
              <w:t>3.6</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4.0</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acquired intangible assets</w:t>
            </w:r>
          </w:p>
        </w:tc>
        <w:tc>
          <w:tcPr>
            <w:tcW w:w="360" w:type="dxa"/>
            <w:vAlign w:val="bottom"/>
            <w:gridSpan w:val="2"/>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1.4</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3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vMerge w:val="continue"/>
          </w:tcPr>
          <w:p>
            <w:pPr>
              <w:spacing w:after="0"/>
              <w:rPr>
                <w:sz w:val="13"/>
                <w:szCs w:val="13"/>
                <w:color w:val="auto"/>
              </w:rPr>
            </w:pPr>
          </w:p>
        </w:tc>
        <w:tc>
          <w:tcPr>
            <w:tcW w:w="360" w:type="dxa"/>
            <w:vAlign w:val="bottom"/>
            <w:gridSpan w:val="2"/>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4.9</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6.3</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4.5</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5.3</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60" w:type="dxa"/>
            <w:vAlign w:val="bottom"/>
            <w:gridSpan w:val="4"/>
          </w:tcPr>
          <w:p>
            <w:pPr>
              <w:jc w:val="right"/>
              <w:ind w:right="200"/>
              <w:spacing w:after="0"/>
              <w:rPr>
                <w:sz w:val="20"/>
                <w:szCs w:val="20"/>
                <w:color w:val="auto"/>
              </w:rPr>
            </w:pPr>
            <w:r>
              <w:rPr>
                <w:rFonts w:ascii="Arial" w:cs="Arial" w:eastAsia="Arial" w:hAnsi="Arial"/>
                <w:sz w:val="13"/>
                <w:szCs w:val="13"/>
                <w:color w:val="auto"/>
              </w:rPr>
              <w:t>0.0</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0.8</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4.5</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4.5</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5"/>
        </w:trPr>
        <w:tc>
          <w:tcPr>
            <w:tcW w:w="7200" w:type="dxa"/>
            <w:vAlign w:val="bottom"/>
          </w:tcPr>
          <w:p>
            <w:pPr>
              <w:spacing w:after="0"/>
              <w:rPr>
                <w:sz w:val="20"/>
                <w:szCs w:val="20"/>
                <w:color w:val="auto"/>
              </w:rPr>
            </w:pPr>
            <w:r>
              <w:rPr>
                <w:rFonts w:ascii="Arial" w:cs="Arial" w:eastAsia="Arial" w:hAnsi="Arial"/>
                <w:sz w:val="13"/>
                <w:szCs w:val="13"/>
                <w:color w:val="auto"/>
              </w:rPr>
              <w:t>Net income attributable to ViaSat, Inc.</w:t>
            </w:r>
          </w:p>
        </w:tc>
        <w:tc>
          <w:tcPr>
            <w:tcW w:w="860" w:type="dxa"/>
            <w:vAlign w:val="bottom"/>
            <w:gridSpan w:val="4"/>
          </w:tcPr>
          <w:p>
            <w:pPr>
              <w:jc w:val="right"/>
              <w:ind w:right="200"/>
              <w:spacing w:after="0"/>
              <w:rPr>
                <w:sz w:val="20"/>
                <w:szCs w:val="20"/>
                <w:color w:val="auto"/>
              </w:rPr>
            </w:pPr>
            <w:r>
              <w:rPr>
                <w:rFonts w:ascii="Arial" w:cs="Arial" w:eastAsia="Arial" w:hAnsi="Arial"/>
                <w:sz w:val="13"/>
                <w:szCs w:val="13"/>
                <w:color w:val="auto"/>
              </w:rPr>
              <w:t>4.5</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4.5</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2011 Compared to Fiscal Year 2010</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80" w:type="dxa"/>
            <w:vAlign w:val="bottom"/>
          </w:tcPr>
          <w:p>
            <w:pPr>
              <w:spacing w:after="0"/>
              <w:rPr>
                <w:sz w:val="10"/>
                <w:szCs w:val="10"/>
                <w:color w:val="auto"/>
              </w:rPr>
            </w:pPr>
          </w:p>
        </w:tc>
        <w:tc>
          <w:tcPr>
            <w:tcW w:w="162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080" w:type="dxa"/>
            <w:vAlign w:val="bottom"/>
          </w:tcPr>
          <w:p>
            <w:pPr>
              <w:spacing w:after="0"/>
              <w:rPr>
                <w:sz w:val="7"/>
                <w:szCs w:val="7"/>
                <w:color w:val="auto"/>
              </w:rPr>
            </w:pPr>
          </w:p>
        </w:tc>
        <w:tc>
          <w:tcPr>
            <w:tcW w:w="66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80" w:type="dxa"/>
            <w:vAlign w:val="bottom"/>
          </w:tcPr>
          <w:p>
            <w:pPr>
              <w:jc w:val="right"/>
              <w:ind w:right="10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080" w:type="dxa"/>
            <w:vAlign w:val="bottom"/>
          </w:tcPr>
          <w:p>
            <w:pPr>
              <w:spacing w:after="0"/>
              <w:rPr>
                <w:sz w:val="10"/>
                <w:szCs w:val="10"/>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3"/>
          </w:tcPr>
          <w:p>
            <w:pPr>
              <w:ind w:left="280"/>
              <w:spacing w:after="0"/>
              <w:rPr>
                <w:sz w:val="20"/>
                <w:szCs w:val="20"/>
                <w:color w:val="auto"/>
              </w:rPr>
            </w:pPr>
            <w:r>
              <w:rPr>
                <w:rFonts w:ascii="Arial" w:cs="Arial" w:eastAsia="Arial" w:hAnsi="Arial"/>
                <w:sz w:val="10"/>
                <w:szCs w:val="10"/>
                <w:b w:val="1"/>
                <w:bCs w:val="1"/>
                <w:color w:val="auto"/>
                <w:w w:val="98"/>
              </w:rPr>
              <w:t>(In millions, except percentages)</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1"/>
        </w:trPr>
        <w:tc>
          <w:tcPr>
            <w:tcW w:w="6080" w:type="dxa"/>
            <w:vAlign w:val="bottom"/>
          </w:tcPr>
          <w:p>
            <w:pPr>
              <w:spacing w:after="0"/>
              <w:rPr>
                <w:sz w:val="20"/>
                <w:szCs w:val="20"/>
                <w:color w:val="auto"/>
              </w:rPr>
            </w:pPr>
            <w:r>
              <w:rPr>
                <w:rFonts w:ascii="Arial" w:cs="Arial" w:eastAsia="Arial" w:hAnsi="Arial"/>
                <w:sz w:val="13"/>
                <w:szCs w:val="13"/>
                <w:color w:val="auto"/>
              </w:rPr>
              <w:t>Product revenues</w:t>
            </w:r>
          </w:p>
        </w:tc>
        <w:tc>
          <w:tcPr>
            <w:tcW w:w="660" w:type="dxa"/>
            <w:vAlign w:val="bottom"/>
          </w:tcPr>
          <w:p>
            <w:pPr>
              <w:jc w:val="right"/>
              <w:ind w:right="123"/>
              <w:spacing w:after="0"/>
              <w:rPr>
                <w:sz w:val="20"/>
                <w:szCs w:val="20"/>
                <w:color w:val="auto"/>
              </w:rPr>
            </w:pPr>
            <w:r>
              <w:rPr>
                <w:rFonts w:ascii="Arial" w:cs="Arial" w:eastAsia="Arial" w:hAnsi="Arial"/>
                <w:sz w:val="13"/>
                <w:szCs w:val="13"/>
                <w:color w:val="auto"/>
              </w:rPr>
              <w:t>$523.9</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$584.1</w:t>
            </w:r>
          </w:p>
        </w:tc>
        <w:tc>
          <w:tcPr>
            <w:tcW w:w="1140" w:type="dxa"/>
            <w:vAlign w:val="bottom"/>
            <w:gridSpan w:val="2"/>
          </w:tcPr>
          <w:p>
            <w:pPr>
              <w:jc w:val="center"/>
              <w:ind w:left="194"/>
              <w:spacing w:after="0"/>
              <w:rPr>
                <w:sz w:val="20"/>
                <w:szCs w:val="20"/>
                <w:color w:val="auto"/>
              </w:rPr>
            </w:pPr>
            <w:r>
              <w:rPr>
                <w:rFonts w:ascii="Arial" w:cs="Arial" w:eastAsia="Arial" w:hAnsi="Arial"/>
                <w:sz w:val="13"/>
                <w:szCs w:val="13"/>
                <w:color w:val="auto"/>
                <w:w w:val="97"/>
              </w:rPr>
              <w:t>$(60.1)</w:t>
            </w:r>
          </w:p>
        </w:tc>
        <w:tc>
          <w:tcPr>
            <w:tcW w:w="1140" w:type="dxa"/>
            <w:vAlign w:val="bottom"/>
            <w:gridSpan w:val="2"/>
          </w:tcPr>
          <w:p>
            <w:pPr>
              <w:jc w:val="right"/>
              <w:ind w:right="89"/>
              <w:spacing w:after="0"/>
              <w:rPr>
                <w:sz w:val="20"/>
                <w:szCs w:val="20"/>
                <w:color w:val="auto"/>
              </w:rPr>
            </w:pPr>
            <w:r>
              <w:rPr>
                <w:rFonts w:ascii="Arial" w:cs="Arial" w:eastAsia="Arial" w:hAnsi="Arial"/>
                <w:sz w:val="13"/>
                <w:szCs w:val="13"/>
                <w:color w:val="auto"/>
              </w:rPr>
              <w:t>(10.3)%</w:t>
            </w:r>
          </w:p>
        </w:tc>
      </w:tr>
      <w:tr>
        <w:trPr>
          <w:trHeight w:val="165"/>
        </w:trPr>
        <w:tc>
          <w:tcPr>
            <w:tcW w:w="6080" w:type="dxa"/>
            <w:vAlign w:val="bottom"/>
          </w:tcPr>
          <w:p>
            <w:pPr>
              <w:spacing w:after="0"/>
              <w:rPr>
                <w:sz w:val="20"/>
                <w:szCs w:val="20"/>
                <w:color w:val="auto"/>
              </w:rPr>
            </w:pPr>
            <w:r>
              <w:rPr>
                <w:rFonts w:ascii="Arial" w:cs="Arial" w:eastAsia="Arial" w:hAnsi="Arial"/>
                <w:sz w:val="13"/>
                <w:szCs w:val="13"/>
                <w:color w:val="auto"/>
              </w:rPr>
              <w:t>Percentage of total revenues</w:t>
            </w:r>
          </w:p>
        </w:tc>
        <w:tc>
          <w:tcPr>
            <w:tcW w:w="660" w:type="dxa"/>
            <w:vAlign w:val="bottom"/>
          </w:tcPr>
          <w:p>
            <w:pPr>
              <w:jc w:val="right"/>
              <w:ind w:right="23"/>
              <w:spacing w:after="0"/>
              <w:rPr>
                <w:sz w:val="20"/>
                <w:szCs w:val="20"/>
                <w:color w:val="auto"/>
              </w:rPr>
            </w:pPr>
            <w:r>
              <w:rPr>
                <w:rFonts w:ascii="Arial" w:cs="Arial" w:eastAsia="Arial" w:hAnsi="Arial"/>
                <w:sz w:val="13"/>
                <w:szCs w:val="13"/>
                <w:color w:val="auto"/>
              </w:rPr>
              <w:t>65.3%</w:t>
            </w:r>
          </w:p>
        </w:tc>
        <w:tc>
          <w:tcPr>
            <w:tcW w:w="960" w:type="dxa"/>
            <w:vAlign w:val="bottom"/>
            <w:gridSpan w:val="2"/>
          </w:tcPr>
          <w:p>
            <w:pPr>
              <w:jc w:val="right"/>
              <w:ind w:right="29"/>
              <w:spacing w:after="0"/>
              <w:rPr>
                <w:sz w:val="20"/>
                <w:szCs w:val="20"/>
                <w:color w:val="auto"/>
              </w:rPr>
            </w:pPr>
            <w:r>
              <w:rPr>
                <w:rFonts w:ascii="Arial" w:cs="Arial" w:eastAsia="Arial" w:hAnsi="Arial"/>
                <w:sz w:val="13"/>
                <w:szCs w:val="13"/>
                <w:color w:val="auto"/>
              </w:rPr>
              <w:t>84.9%</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81"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Product revenues decreased from $584.1 million to $523.9 million during fiscal year 2011 when compared to fiscal year 2010. The product revenue decline was primarily due to lower product sales in our commercial networks segment related to enterprise VSAT networks and products of $29.0 million and consumer broadband products of $29.0 million. Our government systems segment also experienced product revenue reductions as tactical data link products revenues decreased by $23.2 million and information assurance products revenues decreased by $7.0 million. These decreases were offset by higher product sales of $15.5 million in antenna systems products, $10.7 million in government satellite communication systems and $6.1 million in next-generation broadband equipment development programs.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fourth quarter of fiscal year 2011, based on recent events, including communications with the DCMA, changes in the regulatory environment for federal government contractors and the status of current government audits, we recorded an additional $5.0 million in contract-related reserves for our estimate of potential refunds to customers for potential cost adjustments on several multi-year U.S. government cost reimbursable contracts, which resulted in a decrease to revenues and earnings. For additional information, see “Risk Factors — Our Business Could Be Adversely Affected by a Negative Audit by the U.S. Government” in Part I, Item 1A of this report.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60" w:type="dxa"/>
            <w:vAlign w:val="bottom"/>
          </w:tcPr>
          <w:p>
            <w:pPr>
              <w:spacing w:after="0"/>
              <w:rPr>
                <w:sz w:val="10"/>
                <w:szCs w:val="10"/>
                <w:color w:val="auto"/>
              </w:rPr>
            </w:pPr>
          </w:p>
        </w:tc>
        <w:tc>
          <w:tcPr>
            <w:tcW w:w="164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0"/>
                <w:szCs w:val="10"/>
                <w:b w:val="1"/>
                <w:bCs w:val="1"/>
                <w:color w:val="auto"/>
              </w:rPr>
              <w:t>Fiscal Years Ended</w:t>
            </w:r>
          </w:p>
        </w:tc>
        <w:tc>
          <w:tcPr>
            <w:tcW w:w="2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8"/>
              </w:rPr>
              <w:t>Dollar</w:t>
            </w:r>
          </w:p>
        </w:tc>
        <w:tc>
          <w:tcPr>
            <w:tcW w:w="2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060" w:type="dxa"/>
            <w:vAlign w:val="bottom"/>
          </w:tcPr>
          <w:p>
            <w:pPr>
              <w:spacing w:after="0"/>
              <w:rPr>
                <w:sz w:val="7"/>
                <w:szCs w:val="7"/>
                <w:color w:val="auto"/>
              </w:rPr>
            </w:pPr>
          </w:p>
        </w:tc>
        <w:tc>
          <w:tcPr>
            <w:tcW w:w="68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80" w:type="dxa"/>
            <w:vAlign w:val="bottom"/>
          </w:tcPr>
          <w:p>
            <w:pPr>
              <w:jc w:val="right"/>
              <w:ind w:right="129"/>
              <w:spacing w:after="0" w:line="81" w:lineRule="exact"/>
              <w:rPr>
                <w:sz w:val="20"/>
                <w:szCs w:val="20"/>
                <w:color w:val="auto"/>
              </w:rPr>
            </w:pPr>
            <w:r>
              <w:rPr>
                <w:rFonts w:ascii="Arial" w:cs="Arial" w:eastAsia="Arial" w:hAnsi="Arial"/>
                <w:sz w:val="9"/>
                <w:szCs w:val="9"/>
                <w:b w:val="1"/>
                <w:bCs w:val="1"/>
                <w:color w:val="auto"/>
              </w:rPr>
              <w:t>April 2,</w:t>
            </w:r>
          </w:p>
        </w:tc>
        <w:tc>
          <w:tcPr>
            <w:tcW w:w="260" w:type="dxa"/>
            <w:vAlign w:val="bottom"/>
          </w:tcPr>
          <w:p>
            <w:pPr>
              <w:spacing w:after="0"/>
              <w:rPr>
                <w:sz w:val="7"/>
                <w:szCs w:val="7"/>
                <w:color w:val="auto"/>
              </w:rPr>
            </w:pP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60" w:type="dxa"/>
            <w:vAlign w:val="bottom"/>
          </w:tcPr>
          <w:p>
            <w:pPr>
              <w:spacing w:after="0"/>
              <w:rPr>
                <w:sz w:val="7"/>
                <w:szCs w:val="7"/>
                <w:color w:val="auto"/>
              </w:rPr>
            </w:pP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060" w:type="dxa"/>
            <w:vAlign w:val="bottom"/>
          </w:tcPr>
          <w:p>
            <w:pPr>
              <w:spacing w:after="0"/>
              <w:rPr>
                <w:sz w:val="10"/>
                <w:szCs w:val="10"/>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6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3"/>
          </w:tcPr>
          <w:p>
            <w:pPr>
              <w:jc w:val="right"/>
              <w:ind w:right="49"/>
              <w:spacing w:after="0"/>
              <w:rPr>
                <w:sz w:val="20"/>
                <w:szCs w:val="20"/>
                <w:color w:val="auto"/>
              </w:rPr>
            </w:pPr>
            <w:r>
              <w:rPr>
                <w:rFonts w:ascii="Arial" w:cs="Arial" w:eastAsia="Arial" w:hAnsi="Arial"/>
                <w:sz w:val="10"/>
                <w:szCs w:val="10"/>
                <w:b w:val="1"/>
                <w:bCs w:val="1"/>
                <w:color w:val="auto"/>
              </w:rPr>
              <w:t>(In millions, except percentages)</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1"/>
        </w:trPr>
        <w:tc>
          <w:tcPr>
            <w:tcW w:w="6060" w:type="dxa"/>
            <w:vAlign w:val="bottom"/>
          </w:tcPr>
          <w:p>
            <w:pPr>
              <w:spacing w:after="0"/>
              <w:rPr>
                <w:sz w:val="20"/>
                <w:szCs w:val="20"/>
                <w:color w:val="auto"/>
              </w:rPr>
            </w:pPr>
            <w:r>
              <w:rPr>
                <w:rFonts w:ascii="Arial" w:cs="Arial" w:eastAsia="Arial" w:hAnsi="Arial"/>
                <w:sz w:val="13"/>
                <w:szCs w:val="13"/>
                <w:color w:val="auto"/>
              </w:rPr>
              <w:t>Service revenues</w:t>
            </w:r>
          </w:p>
        </w:tc>
        <w:tc>
          <w:tcPr>
            <w:tcW w:w="680" w:type="dxa"/>
            <w:vAlign w:val="bottom"/>
          </w:tcPr>
          <w:p>
            <w:pPr>
              <w:jc w:val="right"/>
              <w:ind w:right="143"/>
              <w:spacing w:after="0"/>
              <w:rPr>
                <w:sz w:val="20"/>
                <w:szCs w:val="20"/>
                <w:color w:val="auto"/>
              </w:rPr>
            </w:pPr>
            <w:r>
              <w:rPr>
                <w:rFonts w:ascii="Arial" w:cs="Arial" w:eastAsia="Arial" w:hAnsi="Arial"/>
                <w:sz w:val="13"/>
                <w:szCs w:val="13"/>
                <w:color w:val="auto"/>
              </w:rPr>
              <w:t>$278.3</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$104.0</w:t>
            </w:r>
          </w:p>
        </w:tc>
        <w:tc>
          <w:tcPr>
            <w:tcW w:w="1140" w:type="dxa"/>
            <w:vAlign w:val="bottom"/>
            <w:gridSpan w:val="2"/>
          </w:tcPr>
          <w:p>
            <w:pPr>
              <w:jc w:val="right"/>
              <w:ind w:right="249"/>
              <w:spacing w:after="0"/>
              <w:rPr>
                <w:sz w:val="20"/>
                <w:szCs w:val="20"/>
                <w:color w:val="auto"/>
              </w:rPr>
            </w:pPr>
            <w:r>
              <w:rPr>
                <w:rFonts w:ascii="Arial" w:cs="Arial" w:eastAsia="Arial" w:hAnsi="Arial"/>
                <w:sz w:val="13"/>
                <w:szCs w:val="13"/>
                <w:color w:val="auto"/>
              </w:rPr>
              <w:t>$174.3</w:t>
            </w:r>
          </w:p>
        </w:tc>
        <w:tc>
          <w:tcPr>
            <w:tcW w:w="1140" w:type="dxa"/>
            <w:vAlign w:val="bottom"/>
            <w:gridSpan w:val="2"/>
          </w:tcPr>
          <w:p>
            <w:pPr>
              <w:jc w:val="right"/>
              <w:ind w:right="129"/>
              <w:spacing w:after="0"/>
              <w:rPr>
                <w:sz w:val="20"/>
                <w:szCs w:val="20"/>
                <w:color w:val="auto"/>
              </w:rPr>
            </w:pPr>
            <w:r>
              <w:rPr>
                <w:rFonts w:ascii="Arial" w:cs="Arial" w:eastAsia="Arial" w:hAnsi="Arial"/>
                <w:sz w:val="13"/>
                <w:szCs w:val="13"/>
                <w:color w:val="auto"/>
              </w:rPr>
              <w:t>167.6%</w:t>
            </w:r>
          </w:p>
        </w:tc>
      </w:tr>
      <w:tr>
        <w:trPr>
          <w:trHeight w:val="165"/>
        </w:trPr>
        <w:tc>
          <w:tcPr>
            <w:tcW w:w="6060" w:type="dxa"/>
            <w:vAlign w:val="bottom"/>
          </w:tcPr>
          <w:p>
            <w:pPr>
              <w:spacing w:after="0"/>
              <w:rPr>
                <w:sz w:val="20"/>
                <w:szCs w:val="20"/>
                <w:color w:val="auto"/>
              </w:rPr>
            </w:pPr>
            <w:r>
              <w:rPr>
                <w:rFonts w:ascii="Arial" w:cs="Arial" w:eastAsia="Arial" w:hAnsi="Arial"/>
                <w:sz w:val="13"/>
                <w:szCs w:val="13"/>
                <w:color w:val="auto"/>
              </w:rPr>
              <w:t>Percentage of total revenues</w:t>
            </w:r>
          </w:p>
        </w:tc>
        <w:tc>
          <w:tcPr>
            <w:tcW w:w="680" w:type="dxa"/>
            <w:vAlign w:val="bottom"/>
          </w:tcPr>
          <w:p>
            <w:pPr>
              <w:jc w:val="right"/>
              <w:ind w:right="23"/>
              <w:spacing w:after="0"/>
              <w:rPr>
                <w:sz w:val="20"/>
                <w:szCs w:val="20"/>
                <w:color w:val="auto"/>
              </w:rPr>
            </w:pPr>
            <w:r>
              <w:rPr>
                <w:rFonts w:ascii="Arial" w:cs="Arial" w:eastAsia="Arial" w:hAnsi="Arial"/>
                <w:sz w:val="13"/>
                <w:szCs w:val="13"/>
                <w:color w:val="auto"/>
              </w:rPr>
              <w:t>34.7%</w:t>
            </w:r>
          </w:p>
        </w:tc>
        <w:tc>
          <w:tcPr>
            <w:tcW w:w="960" w:type="dxa"/>
            <w:vAlign w:val="bottom"/>
            <w:gridSpan w:val="2"/>
          </w:tcPr>
          <w:p>
            <w:pPr>
              <w:jc w:val="right"/>
              <w:ind w:right="49"/>
              <w:spacing w:after="0"/>
              <w:rPr>
                <w:sz w:val="20"/>
                <w:szCs w:val="20"/>
                <w:color w:val="auto"/>
              </w:rPr>
            </w:pPr>
            <w:r>
              <w:rPr>
                <w:rFonts w:ascii="Arial" w:cs="Arial" w:eastAsia="Arial" w:hAnsi="Arial"/>
                <w:sz w:val="13"/>
                <w:szCs w:val="13"/>
                <w:color w:val="auto"/>
              </w:rPr>
              <w:t>15.1%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81"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Service revenues increased from $104.0 million to $278.3 million during fiscal year 2011 when compared to fiscal year 2010 primarily due to our acquisition of WildBlue in December 2009, which contributed an increase in service revenues of $152.8 million in fiscal year 2011 when compared to fiscal year 2010. The remaining service revenue increases were primarily driven by growth in government satellite communication systems and mobile broadband services of $16.0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product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40" w:type="dxa"/>
            <w:vAlign w:val="bottom"/>
          </w:tcPr>
          <w:p>
            <w:pPr>
              <w:spacing w:after="0"/>
              <w:rPr>
                <w:sz w:val="10"/>
                <w:szCs w:val="10"/>
                <w:color w:val="auto"/>
              </w:rPr>
            </w:pPr>
          </w:p>
        </w:tc>
        <w:tc>
          <w:tcPr>
            <w:tcW w:w="162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140" w:type="dxa"/>
            <w:vAlign w:val="bottom"/>
          </w:tcPr>
          <w:p>
            <w:pPr>
              <w:spacing w:after="0"/>
              <w:rPr>
                <w:sz w:val="7"/>
                <w:szCs w:val="7"/>
                <w:color w:val="auto"/>
              </w:rPr>
            </w:pPr>
          </w:p>
        </w:tc>
        <w:tc>
          <w:tcPr>
            <w:tcW w:w="66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80" w:type="dxa"/>
            <w:vAlign w:val="bottom"/>
          </w:tcPr>
          <w:p>
            <w:pPr>
              <w:jc w:val="right"/>
              <w:ind w:right="10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40" w:type="dxa"/>
            <w:vAlign w:val="bottom"/>
          </w:tcPr>
          <w:p>
            <w:pPr>
              <w:spacing w:after="0"/>
              <w:rPr>
                <w:sz w:val="10"/>
                <w:szCs w:val="10"/>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3"/>
          </w:tcPr>
          <w:p>
            <w:pPr>
              <w:ind w:left="260"/>
              <w:spacing w:after="0"/>
              <w:rPr>
                <w:sz w:val="20"/>
                <w:szCs w:val="20"/>
                <w:color w:val="auto"/>
              </w:rPr>
            </w:pPr>
            <w:r>
              <w:rPr>
                <w:rFonts w:ascii="Arial" w:cs="Arial" w:eastAsia="Arial" w:hAnsi="Arial"/>
                <w:sz w:val="10"/>
                <w:szCs w:val="10"/>
                <w:b w:val="1"/>
                <w:bCs w:val="1"/>
                <w:color w:val="auto"/>
                <w:w w:val="99"/>
              </w:rPr>
              <w:t>(In millions, except percentages)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1"/>
        </w:trPr>
        <w:tc>
          <w:tcPr>
            <w:tcW w:w="6140" w:type="dxa"/>
            <w:vAlign w:val="bottom"/>
          </w:tcPr>
          <w:p>
            <w:pPr>
              <w:spacing w:after="0"/>
              <w:rPr>
                <w:sz w:val="20"/>
                <w:szCs w:val="20"/>
                <w:color w:val="auto"/>
              </w:rPr>
            </w:pPr>
            <w:r>
              <w:rPr>
                <w:rFonts w:ascii="Arial" w:cs="Arial" w:eastAsia="Arial" w:hAnsi="Arial"/>
                <w:sz w:val="13"/>
                <w:szCs w:val="13"/>
                <w:color w:val="auto"/>
              </w:rPr>
              <w:t>Cost of product revenues</w:t>
            </w:r>
          </w:p>
        </w:tc>
        <w:tc>
          <w:tcPr>
            <w:tcW w:w="660" w:type="dxa"/>
            <w:vAlign w:val="bottom"/>
          </w:tcPr>
          <w:p>
            <w:pPr>
              <w:jc w:val="right"/>
              <w:ind w:right="123"/>
              <w:spacing w:after="0"/>
              <w:rPr>
                <w:sz w:val="20"/>
                <w:szCs w:val="20"/>
                <w:color w:val="auto"/>
              </w:rPr>
            </w:pPr>
            <w:r>
              <w:rPr>
                <w:rFonts w:ascii="Arial" w:cs="Arial" w:eastAsia="Arial" w:hAnsi="Arial"/>
                <w:sz w:val="13"/>
                <w:szCs w:val="13"/>
                <w:color w:val="auto"/>
              </w:rPr>
              <w:t>$389.9</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$408.5</w:t>
            </w:r>
          </w:p>
        </w:tc>
        <w:tc>
          <w:tcPr>
            <w:tcW w:w="1140" w:type="dxa"/>
            <w:vAlign w:val="bottom"/>
            <w:gridSpan w:val="2"/>
          </w:tcPr>
          <w:p>
            <w:pPr>
              <w:jc w:val="center"/>
              <w:ind w:left="194"/>
              <w:spacing w:after="0"/>
              <w:rPr>
                <w:sz w:val="20"/>
                <w:szCs w:val="20"/>
                <w:color w:val="auto"/>
              </w:rPr>
            </w:pPr>
            <w:r>
              <w:rPr>
                <w:rFonts w:ascii="Arial" w:cs="Arial" w:eastAsia="Arial" w:hAnsi="Arial"/>
                <w:sz w:val="13"/>
                <w:szCs w:val="13"/>
                <w:color w:val="auto"/>
                <w:w w:val="97"/>
              </w:rPr>
              <w:t>$(18.6)</w:t>
            </w:r>
          </w:p>
        </w:tc>
        <w:tc>
          <w:tcPr>
            <w:tcW w:w="1080" w:type="dxa"/>
            <w:vAlign w:val="bottom"/>
            <w:gridSpan w:val="2"/>
          </w:tcPr>
          <w:p>
            <w:pPr>
              <w:jc w:val="right"/>
              <w:ind w:right="89"/>
              <w:spacing w:after="0"/>
              <w:rPr>
                <w:sz w:val="20"/>
                <w:szCs w:val="20"/>
                <w:color w:val="auto"/>
              </w:rPr>
            </w:pPr>
            <w:r>
              <w:rPr>
                <w:rFonts w:ascii="Arial" w:cs="Arial" w:eastAsia="Arial" w:hAnsi="Arial"/>
                <w:sz w:val="13"/>
                <w:szCs w:val="13"/>
                <w:color w:val="auto"/>
              </w:rPr>
              <w:t>(4.5)%</w:t>
            </w: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Percentage of product revenues</w:t>
            </w:r>
          </w:p>
        </w:tc>
        <w:tc>
          <w:tcPr>
            <w:tcW w:w="660" w:type="dxa"/>
            <w:vAlign w:val="bottom"/>
          </w:tcPr>
          <w:p>
            <w:pPr>
              <w:jc w:val="right"/>
              <w:ind w:right="23"/>
              <w:spacing w:after="0"/>
              <w:rPr>
                <w:sz w:val="20"/>
                <w:szCs w:val="20"/>
                <w:color w:val="auto"/>
              </w:rPr>
            </w:pPr>
            <w:r>
              <w:rPr>
                <w:rFonts w:ascii="Arial" w:cs="Arial" w:eastAsia="Arial" w:hAnsi="Arial"/>
                <w:sz w:val="13"/>
                <w:szCs w:val="13"/>
                <w:color w:val="auto"/>
              </w:rPr>
              <w:t>74.4%</w:t>
            </w:r>
          </w:p>
        </w:tc>
        <w:tc>
          <w:tcPr>
            <w:tcW w:w="960" w:type="dxa"/>
            <w:vAlign w:val="bottom"/>
            <w:gridSpan w:val="2"/>
          </w:tcPr>
          <w:p>
            <w:pPr>
              <w:jc w:val="right"/>
              <w:ind w:right="29"/>
              <w:spacing w:after="0"/>
              <w:rPr>
                <w:sz w:val="20"/>
                <w:szCs w:val="20"/>
                <w:color w:val="auto"/>
              </w:rPr>
            </w:pPr>
            <w:r>
              <w:rPr>
                <w:rFonts w:ascii="Arial" w:cs="Arial" w:eastAsia="Arial" w:hAnsi="Arial"/>
                <w:sz w:val="13"/>
                <w:szCs w:val="13"/>
                <w:color w:val="auto"/>
              </w:rPr>
              <w:t>69.9%</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81" w:lineRule="exact"/>
        <w:rPr>
          <w:sz w:val="20"/>
          <w:szCs w:val="20"/>
          <w:color w:val="auto"/>
        </w:rPr>
      </w:pPr>
    </w:p>
    <w:p>
      <w:pPr>
        <w:ind w:left="680" w:right="220" w:firstLine="399"/>
        <w:spacing w:after="0" w:line="257" w:lineRule="auto"/>
        <w:rPr>
          <w:sz w:val="20"/>
          <w:szCs w:val="20"/>
          <w:color w:val="auto"/>
        </w:rPr>
      </w:pPr>
      <w:r>
        <w:rPr>
          <w:rFonts w:ascii="Arial" w:cs="Arial" w:eastAsia="Arial" w:hAnsi="Arial"/>
          <w:sz w:val="13"/>
          <w:szCs w:val="13"/>
          <w:color w:val="auto"/>
        </w:rPr>
        <w:t>Cost of product revenues decreased from $408.5 million to $389.9 million during fiscal year 2011 when compared to fiscal year 2010. On a constant margin basis the decreased revenues caused a $38.6 million reduction in cost of product revenues. This decrease was offset by an increase in cost of product revenues of $8.5 million due to an additional program forward loss in our government systems segment for a government satellite communication program recorded in the first quarter of fiscal year 2011, as discussed below, and an additional increase in cost of product revenues of $11.5 million mainly as a result of product cost increases from lower margin development programs in our consumer broadband, information assurance and next-generation tactical datalink product areas. Cost of product revenues may fluctuate in future periods depending on the mix of products sold, competition, new product introduction costs and other factors.</w:t>
      </w:r>
    </w:p>
    <w:p>
      <w:pPr>
        <w:spacing w:after="0" w:line="72"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ongoing and our efforts and the end results must be satisfactory to the customer. We believe that our estimate of costs to complete the program is appropriate based on known information, however, additional future losses could be required.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service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40" w:type="dxa"/>
            <w:vAlign w:val="bottom"/>
          </w:tcPr>
          <w:p>
            <w:pPr>
              <w:spacing w:after="0"/>
              <w:rPr>
                <w:sz w:val="10"/>
                <w:szCs w:val="10"/>
                <w:color w:val="auto"/>
              </w:rPr>
            </w:pPr>
          </w:p>
        </w:tc>
        <w:tc>
          <w:tcPr>
            <w:tcW w:w="158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140" w:type="dxa"/>
            <w:vAlign w:val="bottom"/>
          </w:tcPr>
          <w:p>
            <w:pPr>
              <w:spacing w:after="0"/>
              <w:rPr>
                <w:sz w:val="7"/>
                <w:szCs w:val="7"/>
                <w:color w:val="auto"/>
              </w:rPr>
            </w:pPr>
          </w:p>
        </w:tc>
        <w:tc>
          <w:tcPr>
            <w:tcW w:w="68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20" w:type="dxa"/>
            <w:vAlign w:val="bottom"/>
          </w:tcPr>
          <w:p>
            <w:pPr>
              <w:jc w:val="right"/>
              <w:ind w:right="8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40" w:type="dxa"/>
            <w:vAlign w:val="bottom"/>
          </w:tcPr>
          <w:p>
            <w:pPr>
              <w:spacing w:after="0"/>
              <w:rPr>
                <w:sz w:val="10"/>
                <w:szCs w:val="10"/>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 except percentages)</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1"/>
        </w:trPr>
        <w:tc>
          <w:tcPr>
            <w:tcW w:w="6140" w:type="dxa"/>
            <w:vAlign w:val="bottom"/>
          </w:tcPr>
          <w:p>
            <w:pPr>
              <w:spacing w:after="0"/>
              <w:rPr>
                <w:sz w:val="20"/>
                <w:szCs w:val="20"/>
                <w:color w:val="auto"/>
              </w:rPr>
            </w:pPr>
            <w:r>
              <w:rPr>
                <w:rFonts w:ascii="Arial" w:cs="Arial" w:eastAsia="Arial" w:hAnsi="Arial"/>
                <w:sz w:val="13"/>
                <w:szCs w:val="13"/>
                <w:color w:val="auto"/>
              </w:rPr>
              <w:t>Cost of service revenues</w:t>
            </w:r>
          </w:p>
        </w:tc>
        <w:tc>
          <w:tcPr>
            <w:tcW w:w="680" w:type="dxa"/>
            <w:vAlign w:val="bottom"/>
          </w:tcPr>
          <w:p>
            <w:pPr>
              <w:jc w:val="right"/>
              <w:ind w:right="123"/>
              <w:spacing w:after="0"/>
              <w:rPr>
                <w:sz w:val="20"/>
                <w:szCs w:val="20"/>
                <w:color w:val="auto"/>
              </w:rPr>
            </w:pPr>
            <w:r>
              <w:rPr>
                <w:rFonts w:ascii="Arial" w:cs="Arial" w:eastAsia="Arial" w:hAnsi="Arial"/>
                <w:sz w:val="13"/>
                <w:szCs w:val="13"/>
                <w:color w:val="auto"/>
              </w:rPr>
              <w:t>$160.6</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$66.8</w:t>
            </w:r>
          </w:p>
        </w:tc>
        <w:tc>
          <w:tcPr>
            <w:tcW w:w="1100" w:type="dxa"/>
            <w:vAlign w:val="bottom"/>
            <w:gridSpan w:val="2"/>
          </w:tcPr>
          <w:p>
            <w:pPr>
              <w:jc w:val="right"/>
              <w:ind w:right="229"/>
              <w:spacing w:after="0"/>
              <w:rPr>
                <w:sz w:val="20"/>
                <w:szCs w:val="20"/>
                <w:color w:val="auto"/>
              </w:rPr>
            </w:pPr>
            <w:r>
              <w:rPr>
                <w:rFonts w:ascii="Arial" w:cs="Arial" w:eastAsia="Arial" w:hAnsi="Arial"/>
                <w:sz w:val="13"/>
                <w:szCs w:val="13"/>
                <w:color w:val="auto"/>
              </w:rPr>
              <w:t>$93.8</w:t>
            </w:r>
          </w:p>
        </w:tc>
        <w:tc>
          <w:tcPr>
            <w:tcW w:w="1160" w:type="dxa"/>
            <w:vAlign w:val="bottom"/>
            <w:gridSpan w:val="2"/>
          </w:tcPr>
          <w:p>
            <w:pPr>
              <w:jc w:val="right"/>
              <w:ind w:right="129"/>
              <w:spacing w:after="0"/>
              <w:rPr>
                <w:sz w:val="20"/>
                <w:szCs w:val="20"/>
                <w:color w:val="auto"/>
              </w:rPr>
            </w:pPr>
            <w:r>
              <w:rPr>
                <w:rFonts w:ascii="Arial" w:cs="Arial" w:eastAsia="Arial" w:hAnsi="Arial"/>
                <w:sz w:val="13"/>
                <w:szCs w:val="13"/>
                <w:color w:val="auto"/>
              </w:rPr>
              <w:t>140.3%</w:t>
            </w: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Percentage of service revenues</w:t>
            </w:r>
          </w:p>
        </w:tc>
        <w:tc>
          <w:tcPr>
            <w:tcW w:w="680" w:type="dxa"/>
            <w:vAlign w:val="bottom"/>
          </w:tcPr>
          <w:p>
            <w:pPr>
              <w:jc w:val="right"/>
              <w:ind w:right="23"/>
              <w:spacing w:after="0"/>
              <w:rPr>
                <w:sz w:val="20"/>
                <w:szCs w:val="20"/>
                <w:color w:val="auto"/>
              </w:rPr>
            </w:pPr>
            <w:r>
              <w:rPr>
                <w:rFonts w:ascii="Arial" w:cs="Arial" w:eastAsia="Arial" w:hAnsi="Arial"/>
                <w:sz w:val="13"/>
                <w:szCs w:val="13"/>
                <w:color w:val="auto"/>
              </w:rPr>
              <w:t>57.7%</w:t>
            </w:r>
          </w:p>
        </w:tc>
        <w:tc>
          <w:tcPr>
            <w:tcW w:w="900" w:type="dxa"/>
            <w:vAlign w:val="bottom"/>
            <w:gridSpan w:val="2"/>
          </w:tcPr>
          <w:p>
            <w:pPr>
              <w:jc w:val="right"/>
              <w:ind w:right="29"/>
              <w:spacing w:after="0"/>
              <w:rPr>
                <w:sz w:val="20"/>
                <w:szCs w:val="20"/>
                <w:color w:val="auto"/>
              </w:rPr>
            </w:pPr>
            <w:r>
              <w:rPr>
                <w:rFonts w:ascii="Arial" w:cs="Arial" w:eastAsia="Arial" w:hAnsi="Arial"/>
                <w:sz w:val="13"/>
                <w:szCs w:val="13"/>
                <w:color w:val="auto"/>
              </w:rPr>
              <w:t>64.3%</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81" w:lineRule="exact"/>
        <w:rPr>
          <w:sz w:val="20"/>
          <w:szCs w:val="20"/>
          <w:color w:val="auto"/>
        </w:rPr>
      </w:pPr>
    </w:p>
    <w:p>
      <w:pPr>
        <w:jc w:val="both"/>
        <w:ind w:left="680" w:right="180" w:firstLine="399"/>
        <w:spacing w:after="0" w:line="320" w:lineRule="auto"/>
        <w:rPr>
          <w:sz w:val="20"/>
          <w:szCs w:val="20"/>
          <w:color w:val="auto"/>
        </w:rPr>
      </w:pPr>
      <w:r>
        <w:rPr>
          <w:rFonts w:ascii="Arial" w:cs="Arial" w:eastAsia="Arial" w:hAnsi="Arial"/>
          <w:sz w:val="12"/>
          <w:szCs w:val="12"/>
          <w:color w:val="auto"/>
        </w:rPr>
        <w:t>Cost of service revenues increased from $66.8 million to $160.6 million during fiscal year 2011 when compared to fiscal year 2010 primarily due to our acquisition of WildBlue in December 2009, which contributed to an increase of approximately $83.9 million. The remainder of the cost of service revenues growth was due to an $11.5 million increase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320" w:lineRule="auto"/>
        <w:rPr>
          <w:sz w:val="20"/>
          <w:szCs w:val="20"/>
          <w:color w:val="auto"/>
        </w:rPr>
      </w:pPr>
      <w:r>
        <w:rPr>
          <w:rFonts w:ascii="Arial" w:cs="Arial" w:eastAsia="Arial" w:hAnsi="Arial"/>
          <w:sz w:val="12"/>
          <w:szCs w:val="12"/>
          <w:color w:val="auto"/>
        </w:rPr>
        <w:t>from our government satellite communication systems and mobile broadband services driven by service revenues increases. During the fourth quarter of fiscal year 2011, we also recorded a benefit to cost of service revenues of $5.2 million related to a WildBlue satellite capacity contract liability acquired and release of future payment liabilities related thereto.</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Cost of service revenues may fluctuate in future periods depending on the mix of services provided, competition, new service introduction costs and other factors.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 expenses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40" w:type="dxa"/>
            <w:vAlign w:val="bottom"/>
          </w:tcPr>
          <w:p>
            <w:pPr>
              <w:spacing w:after="0"/>
              <w:rPr>
                <w:sz w:val="10"/>
                <w:szCs w:val="10"/>
                <w:color w:val="auto"/>
              </w:rPr>
            </w:pPr>
          </w:p>
        </w:tc>
        <w:tc>
          <w:tcPr>
            <w:tcW w:w="164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140" w:type="dxa"/>
            <w:vAlign w:val="bottom"/>
          </w:tcPr>
          <w:p>
            <w:pPr>
              <w:spacing w:after="0"/>
              <w:rPr>
                <w:sz w:val="7"/>
                <w:szCs w:val="7"/>
                <w:color w:val="auto"/>
              </w:rPr>
            </w:pPr>
          </w:p>
        </w:tc>
        <w:tc>
          <w:tcPr>
            <w:tcW w:w="68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80" w:type="dxa"/>
            <w:vAlign w:val="bottom"/>
          </w:tcPr>
          <w:p>
            <w:pPr>
              <w:jc w:val="right"/>
              <w:ind w:right="10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40" w:type="dxa"/>
            <w:vAlign w:val="bottom"/>
          </w:tcPr>
          <w:p>
            <w:pPr>
              <w:spacing w:after="0"/>
              <w:rPr>
                <w:sz w:val="10"/>
                <w:szCs w:val="10"/>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80" w:type="dxa"/>
            <w:vAlign w:val="bottom"/>
            <w:gridSpan w:val="3"/>
          </w:tcPr>
          <w:p>
            <w:pPr>
              <w:jc w:val="right"/>
              <w:ind w:right="49"/>
              <w:spacing w:after="0"/>
              <w:rPr>
                <w:sz w:val="20"/>
                <w:szCs w:val="20"/>
                <w:color w:val="auto"/>
              </w:rPr>
            </w:pPr>
            <w:r>
              <w:rPr>
                <w:rFonts w:ascii="Arial" w:cs="Arial" w:eastAsia="Arial" w:hAnsi="Arial"/>
                <w:sz w:val="10"/>
                <w:szCs w:val="10"/>
                <w:b w:val="1"/>
                <w:bCs w:val="1"/>
                <w:color w:val="auto"/>
              </w:rPr>
              <w:t>(In millions, except percentages)</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61"/>
        </w:trPr>
        <w:tc>
          <w:tcPr>
            <w:tcW w:w="614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680" w:type="dxa"/>
            <w:vAlign w:val="bottom"/>
          </w:tcPr>
          <w:p>
            <w:pPr>
              <w:jc w:val="right"/>
              <w:ind w:right="123"/>
              <w:spacing w:after="0"/>
              <w:rPr>
                <w:sz w:val="20"/>
                <w:szCs w:val="20"/>
                <w:color w:val="auto"/>
              </w:rPr>
            </w:pPr>
            <w:r>
              <w:rPr>
                <w:rFonts w:ascii="Arial" w:cs="Arial" w:eastAsia="Arial" w:hAnsi="Arial"/>
                <w:sz w:val="13"/>
                <w:szCs w:val="13"/>
                <w:color w:val="auto"/>
              </w:rPr>
              <w:t>$164.3</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$132.9</w:t>
            </w:r>
          </w:p>
        </w:tc>
        <w:tc>
          <w:tcPr>
            <w:tcW w:w="1100" w:type="dxa"/>
            <w:vAlign w:val="bottom"/>
            <w:gridSpan w:val="2"/>
          </w:tcPr>
          <w:p>
            <w:pPr>
              <w:jc w:val="right"/>
              <w:ind w:right="249"/>
              <w:spacing w:after="0"/>
              <w:rPr>
                <w:sz w:val="20"/>
                <w:szCs w:val="20"/>
                <w:color w:val="auto"/>
              </w:rPr>
            </w:pPr>
            <w:r>
              <w:rPr>
                <w:rFonts w:ascii="Arial" w:cs="Arial" w:eastAsia="Arial" w:hAnsi="Arial"/>
                <w:sz w:val="13"/>
                <w:szCs w:val="13"/>
                <w:color w:val="auto"/>
              </w:rPr>
              <w:t>$31.4</w:t>
            </w:r>
          </w:p>
        </w:tc>
        <w:tc>
          <w:tcPr>
            <w:tcW w:w="1100" w:type="dxa"/>
            <w:vAlign w:val="bottom"/>
            <w:gridSpan w:val="2"/>
          </w:tcPr>
          <w:p>
            <w:pPr>
              <w:jc w:val="right"/>
              <w:ind w:right="129"/>
              <w:spacing w:after="0"/>
              <w:rPr>
                <w:sz w:val="20"/>
                <w:szCs w:val="20"/>
                <w:color w:val="auto"/>
              </w:rPr>
            </w:pPr>
            <w:r>
              <w:rPr>
                <w:rFonts w:ascii="Arial" w:cs="Arial" w:eastAsia="Arial" w:hAnsi="Arial"/>
                <w:sz w:val="13"/>
                <w:szCs w:val="13"/>
                <w:color w:val="auto"/>
              </w:rPr>
              <w:t>23.6%</w:t>
            </w: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Percentage of total revenues</w:t>
            </w:r>
          </w:p>
        </w:tc>
        <w:tc>
          <w:tcPr>
            <w:tcW w:w="680" w:type="dxa"/>
            <w:vAlign w:val="bottom"/>
          </w:tcPr>
          <w:p>
            <w:pPr>
              <w:jc w:val="right"/>
              <w:ind w:right="23"/>
              <w:spacing w:after="0"/>
              <w:rPr>
                <w:sz w:val="20"/>
                <w:szCs w:val="20"/>
                <w:color w:val="auto"/>
              </w:rPr>
            </w:pPr>
            <w:r>
              <w:rPr>
                <w:rFonts w:ascii="Arial" w:cs="Arial" w:eastAsia="Arial" w:hAnsi="Arial"/>
                <w:sz w:val="13"/>
                <w:szCs w:val="13"/>
                <w:color w:val="auto"/>
              </w:rPr>
              <w:t>20.5%</w:t>
            </w:r>
          </w:p>
        </w:tc>
        <w:tc>
          <w:tcPr>
            <w:tcW w:w="960" w:type="dxa"/>
            <w:vAlign w:val="bottom"/>
            <w:gridSpan w:val="2"/>
          </w:tcPr>
          <w:p>
            <w:pPr>
              <w:jc w:val="right"/>
              <w:ind w:right="29"/>
              <w:spacing w:after="0"/>
              <w:rPr>
                <w:sz w:val="20"/>
                <w:szCs w:val="20"/>
                <w:color w:val="auto"/>
              </w:rPr>
            </w:pPr>
            <w:r>
              <w:rPr>
                <w:rFonts w:ascii="Arial" w:cs="Arial" w:eastAsia="Arial" w:hAnsi="Arial"/>
                <w:sz w:val="13"/>
                <w:szCs w:val="13"/>
                <w:color w:val="auto"/>
              </w:rPr>
              <w:t>19.3%</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81"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color w:val="auto"/>
        </w:rPr>
        <w:t>The increase in selling, general and administrative (SG&amp;A) expenses of $31.4 million during fiscal year 2011 compared to fiscal prior year 2010 was primarily due to our acquisition of WildBlue, which contributed an additional $30.0 million in SG&amp;A expenses, including $8.7 million in transaction-related expenses incurred in connection with the acquisition. Our other SG&amp;A expenses increased $10.7 million primarily due to additional support costs resulting from growth in our business. SG&amp;A expenses consist primarily of personnel costs and expenses for business development, marketing and sales, bid and proposal, facilities, finance, contract administration and general management.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Independent research and development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360" w:type="dxa"/>
            <w:vAlign w:val="bottom"/>
          </w:tcPr>
          <w:p>
            <w:pPr>
              <w:spacing w:after="0"/>
              <w:rPr>
                <w:sz w:val="10"/>
                <w:szCs w:val="10"/>
                <w:color w:val="auto"/>
              </w:rPr>
            </w:pPr>
          </w:p>
        </w:tc>
        <w:tc>
          <w:tcPr>
            <w:tcW w:w="154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8"/>
              </w:rPr>
              <w:t>Dollar</w:t>
            </w:r>
          </w:p>
        </w:tc>
        <w:tc>
          <w:tcPr>
            <w:tcW w:w="28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360" w:type="dxa"/>
            <w:vAlign w:val="bottom"/>
          </w:tcPr>
          <w:p>
            <w:pPr>
              <w:spacing w:after="0"/>
              <w:rPr>
                <w:sz w:val="7"/>
                <w:szCs w:val="7"/>
                <w:color w:val="auto"/>
              </w:rPr>
            </w:pPr>
          </w:p>
        </w:tc>
        <w:tc>
          <w:tcPr>
            <w:tcW w:w="620" w:type="dxa"/>
            <w:vAlign w:val="bottom"/>
          </w:tcPr>
          <w:p>
            <w:pPr>
              <w:jc w:val="right"/>
              <w:ind w:right="83"/>
              <w:spacing w:after="0" w:line="81" w:lineRule="exact"/>
              <w:rPr>
                <w:sz w:val="20"/>
                <w:szCs w:val="20"/>
                <w:color w:val="auto"/>
              </w:rPr>
            </w:pPr>
            <w:r>
              <w:rPr>
                <w:rFonts w:ascii="Arial" w:cs="Arial" w:eastAsia="Arial" w:hAnsi="Arial"/>
                <w:sz w:val="9"/>
                <w:szCs w:val="9"/>
                <w:b w:val="1"/>
                <w:bCs w:val="1"/>
                <w:color w:val="auto"/>
              </w:rPr>
              <w:t>April 1,</w:t>
            </w:r>
          </w:p>
        </w:tc>
        <w:tc>
          <w:tcPr>
            <w:tcW w:w="300" w:type="dxa"/>
            <w:vAlign w:val="bottom"/>
          </w:tcPr>
          <w:p>
            <w:pPr>
              <w:spacing w:after="0"/>
              <w:rPr>
                <w:sz w:val="7"/>
                <w:szCs w:val="7"/>
                <w:color w:val="auto"/>
              </w:rPr>
            </w:pPr>
          </w:p>
        </w:tc>
        <w:tc>
          <w:tcPr>
            <w:tcW w:w="620" w:type="dxa"/>
            <w:vAlign w:val="bottom"/>
          </w:tcPr>
          <w:p>
            <w:pPr>
              <w:jc w:val="right"/>
              <w:ind w:right="8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360" w:type="dxa"/>
            <w:vAlign w:val="bottom"/>
          </w:tcPr>
          <w:p>
            <w:pPr>
              <w:spacing w:after="0"/>
              <w:rPr>
                <w:sz w:val="10"/>
                <w:szCs w:val="10"/>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2011</w:t>
            </w:r>
          </w:p>
        </w:tc>
        <w:tc>
          <w:tcPr>
            <w:tcW w:w="300" w:type="dxa"/>
            <w:vAlign w:val="bottom"/>
          </w:tcPr>
          <w:p>
            <w:pPr>
              <w:spacing w:after="0"/>
              <w:rPr>
                <w:sz w:val="10"/>
                <w:szCs w:val="10"/>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 millions,</w:t>
            </w:r>
          </w:p>
        </w:tc>
        <w:tc>
          <w:tcPr>
            <w:tcW w:w="1040" w:type="dxa"/>
            <w:vAlign w:val="bottom"/>
            <w:gridSpan w:val="2"/>
          </w:tcPr>
          <w:p>
            <w:pPr>
              <w:jc w:val="right"/>
              <w:spacing w:after="0"/>
              <w:rPr>
                <w:sz w:val="20"/>
                <w:szCs w:val="20"/>
                <w:color w:val="auto"/>
              </w:rPr>
            </w:pPr>
            <w:r>
              <w:rPr>
                <w:rFonts w:ascii="Arial" w:cs="Arial" w:eastAsia="Arial" w:hAnsi="Arial"/>
                <w:sz w:val="10"/>
                <w:szCs w:val="10"/>
                <w:b w:val="1"/>
                <w:bCs w:val="1"/>
                <w:color w:val="auto"/>
              </w:rPr>
              <w:t>except percentages)</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61"/>
        </w:trPr>
        <w:tc>
          <w:tcPr>
            <w:tcW w:w="6360" w:type="dxa"/>
            <w:vAlign w:val="bottom"/>
          </w:tcPr>
          <w:p>
            <w:pPr>
              <w:spacing w:after="0"/>
              <w:rPr>
                <w:sz w:val="20"/>
                <w:szCs w:val="20"/>
                <w:color w:val="auto"/>
              </w:rPr>
            </w:pPr>
            <w:r>
              <w:rPr>
                <w:rFonts w:ascii="Arial" w:cs="Arial" w:eastAsia="Arial" w:hAnsi="Arial"/>
                <w:sz w:val="13"/>
                <w:szCs w:val="13"/>
                <w:color w:val="auto"/>
              </w:rPr>
              <w:t>Independent research and development</w:t>
            </w:r>
          </w:p>
        </w:tc>
        <w:tc>
          <w:tcPr>
            <w:tcW w:w="620" w:type="dxa"/>
            <w:vAlign w:val="bottom"/>
          </w:tcPr>
          <w:p>
            <w:pPr>
              <w:jc w:val="right"/>
              <w:ind w:right="123"/>
              <w:spacing w:after="0"/>
              <w:rPr>
                <w:sz w:val="20"/>
                <w:szCs w:val="20"/>
                <w:color w:val="auto"/>
              </w:rPr>
            </w:pPr>
            <w:r>
              <w:rPr>
                <w:rFonts w:ascii="Arial" w:cs="Arial" w:eastAsia="Arial" w:hAnsi="Arial"/>
                <w:sz w:val="13"/>
                <w:szCs w:val="13"/>
                <w:color w:val="auto"/>
              </w:rPr>
              <w:t>$28.7</w:t>
            </w:r>
          </w:p>
        </w:tc>
        <w:tc>
          <w:tcPr>
            <w:tcW w:w="920" w:type="dxa"/>
            <w:vAlign w:val="bottom"/>
            <w:gridSpan w:val="2"/>
          </w:tcPr>
          <w:p>
            <w:pPr>
              <w:jc w:val="right"/>
              <w:ind w:right="149"/>
              <w:spacing w:after="0"/>
              <w:rPr>
                <w:sz w:val="20"/>
                <w:szCs w:val="20"/>
                <w:color w:val="auto"/>
              </w:rPr>
            </w:pPr>
            <w:r>
              <w:rPr>
                <w:rFonts w:ascii="Arial" w:cs="Arial" w:eastAsia="Arial" w:hAnsi="Arial"/>
                <w:sz w:val="13"/>
                <w:szCs w:val="13"/>
                <w:color w:val="auto"/>
              </w:rPr>
              <w:t>$27.3</w:t>
            </w:r>
          </w:p>
        </w:tc>
        <w:tc>
          <w:tcPr>
            <w:tcW w:w="1040" w:type="dxa"/>
            <w:vAlign w:val="bottom"/>
            <w:gridSpan w:val="2"/>
          </w:tcPr>
          <w:p>
            <w:pPr>
              <w:jc w:val="right"/>
              <w:ind w:right="249"/>
              <w:spacing w:after="0"/>
              <w:rPr>
                <w:sz w:val="20"/>
                <w:szCs w:val="20"/>
                <w:color w:val="auto"/>
              </w:rPr>
            </w:pPr>
            <w:r>
              <w:rPr>
                <w:rFonts w:ascii="Arial" w:cs="Arial" w:eastAsia="Arial" w:hAnsi="Arial"/>
                <w:sz w:val="13"/>
                <w:szCs w:val="13"/>
                <w:color w:val="auto"/>
              </w:rPr>
              <w:t>$1.4</w:t>
            </w:r>
          </w:p>
        </w:tc>
        <w:tc>
          <w:tcPr>
            <w:tcW w:w="1040" w:type="dxa"/>
            <w:vAlign w:val="bottom"/>
            <w:gridSpan w:val="2"/>
          </w:tcPr>
          <w:p>
            <w:pPr>
              <w:jc w:val="right"/>
              <w:ind w:right="129"/>
              <w:spacing w:after="0"/>
              <w:rPr>
                <w:sz w:val="20"/>
                <w:szCs w:val="20"/>
                <w:color w:val="auto"/>
              </w:rPr>
            </w:pPr>
            <w:r>
              <w:rPr>
                <w:rFonts w:ascii="Arial" w:cs="Arial" w:eastAsia="Arial" w:hAnsi="Arial"/>
                <w:sz w:val="13"/>
                <w:szCs w:val="13"/>
                <w:color w:val="auto"/>
              </w:rPr>
              <w:t>5.1%</w:t>
            </w:r>
          </w:p>
        </w:tc>
      </w:tr>
      <w:tr>
        <w:trPr>
          <w:trHeight w:val="165"/>
        </w:trPr>
        <w:tc>
          <w:tcPr>
            <w:tcW w:w="6360" w:type="dxa"/>
            <w:vAlign w:val="bottom"/>
          </w:tcPr>
          <w:p>
            <w:pPr>
              <w:spacing w:after="0"/>
              <w:rPr>
                <w:sz w:val="20"/>
                <w:szCs w:val="20"/>
                <w:color w:val="auto"/>
              </w:rPr>
            </w:pPr>
            <w:r>
              <w:rPr>
                <w:rFonts w:ascii="Arial" w:cs="Arial" w:eastAsia="Arial" w:hAnsi="Arial"/>
                <w:sz w:val="13"/>
                <w:szCs w:val="13"/>
                <w:color w:val="auto"/>
              </w:rPr>
              <w:t>Percentage of total revenues</w:t>
            </w:r>
          </w:p>
        </w:tc>
        <w:tc>
          <w:tcPr>
            <w:tcW w:w="620" w:type="dxa"/>
            <w:vAlign w:val="bottom"/>
          </w:tcPr>
          <w:p>
            <w:pPr>
              <w:jc w:val="right"/>
              <w:ind w:right="23"/>
              <w:spacing w:after="0"/>
              <w:rPr>
                <w:sz w:val="20"/>
                <w:szCs w:val="20"/>
                <w:color w:val="auto"/>
              </w:rPr>
            </w:pPr>
            <w:r>
              <w:rPr>
                <w:rFonts w:ascii="Arial" w:cs="Arial" w:eastAsia="Arial" w:hAnsi="Arial"/>
                <w:sz w:val="13"/>
                <w:szCs w:val="13"/>
                <w:color w:val="auto"/>
              </w:rPr>
              <w:t>3.6%</w:t>
            </w:r>
          </w:p>
        </w:tc>
        <w:tc>
          <w:tcPr>
            <w:tcW w:w="920" w:type="dxa"/>
            <w:vAlign w:val="bottom"/>
            <w:gridSpan w:val="2"/>
          </w:tcPr>
          <w:p>
            <w:pPr>
              <w:jc w:val="right"/>
              <w:ind w:right="29"/>
              <w:spacing w:after="0"/>
              <w:rPr>
                <w:sz w:val="20"/>
                <w:szCs w:val="20"/>
                <w:color w:val="auto"/>
              </w:rPr>
            </w:pPr>
            <w:r>
              <w:rPr>
                <w:rFonts w:ascii="Arial" w:cs="Arial" w:eastAsia="Arial" w:hAnsi="Arial"/>
                <w:sz w:val="13"/>
                <w:szCs w:val="13"/>
                <w:color w:val="auto"/>
              </w:rPr>
              <w:t>4.0%</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81"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The increase in IR&amp;D expenses of approximately $1.4 million reflects a year-over-year increase in our commercial networks segment of $2.7 million principally related to next-generation satellite communication systems, offset by a decrease in our government systems segment of approximately $1.6 million primarily due to next-generation military satellite communication systems development programs.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acquired 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amortize our acquired intangible assets from prior acquisitions over their estimated useful lives ranging from eight months to ten years. The increase in amortization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approximately $9.9 million in fiscal year 2011 when compared to last fiscal year was the result of our acquisition of WildBlue in December 2009, which contributed an increase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$9.2 million, and our acquisition of Stonewood in July 2010, which contributed an increase of $1.6 million. These increases were slightly offset by a decrease in amortization as certain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acquired technology and other intangibles in our commercial networks and government systems segments became fully amortized during</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year 2011. Current and expected amortization expense for acquired intangible assets for each of the following periods is as follows:</w:t>
      </w:r>
    </w:p>
    <w:p>
      <w:pPr>
        <w:spacing w:after="0" w:line="98" w:lineRule="exact"/>
        <w:rPr>
          <w:sz w:val="20"/>
          <w:szCs w:val="20"/>
          <w:color w:val="auto"/>
        </w:rPr>
      </w:pPr>
    </w:p>
    <w:p>
      <w:pPr>
        <w:ind w:left="9780"/>
        <w:spacing w:after="0"/>
        <w:rPr>
          <w:sz w:val="20"/>
          <w:szCs w:val="20"/>
          <w:color w:val="auto"/>
        </w:rPr>
      </w:pPr>
      <w:r>
        <w:rPr>
          <w:rFonts w:ascii="Arial" w:cs="Arial" w:eastAsia="Arial" w:hAnsi="Arial"/>
          <w:sz w:val="10"/>
          <w:szCs w:val="10"/>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6078220</wp:posOffset>
            </wp:positionH>
            <wp:positionV relativeFrom="paragraph">
              <wp:posOffset>6350</wp:posOffset>
            </wp:positionV>
            <wp:extent cx="63055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jc w:val="right"/>
        <w:ind w:right="260"/>
        <w:spacing w:after="0"/>
        <w:rPr>
          <w:sz w:val="20"/>
          <w:szCs w:val="20"/>
          <w:color w:val="auto"/>
        </w:rPr>
      </w:pPr>
      <w:r>
        <w:rPr>
          <w:rFonts w:ascii="Arial" w:cs="Arial" w:eastAsia="Arial" w:hAnsi="Arial"/>
          <w:sz w:val="10"/>
          <w:szCs w:val="10"/>
          <w:b w:val="1"/>
          <w:bCs w:val="1"/>
          <w:color w:val="auto"/>
        </w:rPr>
        <w:t>(In thousands)</w:t>
      </w:r>
    </w:p>
    <w:p>
      <w:pPr>
        <w:sectPr>
          <w:pgSz w:w="11900" w:h="16838" w:orient="portrait"/>
          <w:cols w:equalWidth="0" w:num="1">
            <w:col w:w="10660"/>
          </w:cols>
          <w:pgMar w:left="220" w:top="343" w:right="101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for fiscal year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-81280</wp:posOffset>
            </wp:positionV>
            <wp:extent cx="6335395" cy="99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for fiscal year 2013</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for fiscal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2"/>
          <w:szCs w:val="12"/>
          <w:color w:val="auto"/>
        </w:rPr>
        <w:t>Expected for fiscal year 2015</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for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18415</wp:posOffset>
            </wp:positionV>
            <wp:extent cx="6335395" cy="996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36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626" w:hanging="626"/>
        <w:spacing w:after="0"/>
        <w:tabs>
          <w:tab w:leader="none" w:pos="626" w:val="left"/>
        </w:tabs>
        <w:numPr>
          <w:ilvl w:val="0"/>
          <w:numId w:val="34"/>
        </w:numPr>
        <w:rPr>
          <w:rFonts w:ascii="Arial" w:cs="Arial" w:eastAsia="Arial" w:hAnsi="Arial"/>
          <w:sz w:val="11"/>
          <w:szCs w:val="11"/>
          <w:color w:val="auto"/>
        </w:rPr>
      </w:pPr>
      <w:r>
        <w:rPr>
          <w:rFonts w:ascii="Arial" w:cs="Arial" w:eastAsia="Arial" w:hAnsi="Arial"/>
          <w:sz w:val="11"/>
          <w:szCs w:val="11"/>
          <w:color w:val="auto"/>
        </w:rPr>
        <w:t>18,735</w:t>
      </w:r>
    </w:p>
    <w:p>
      <w:pPr>
        <w:spacing w:after="0" w:line="38" w:lineRule="exact"/>
        <w:rPr>
          <w:rFonts w:ascii="Arial" w:cs="Arial" w:eastAsia="Arial" w:hAnsi="Arial"/>
          <w:sz w:val="11"/>
          <w:szCs w:val="11"/>
          <w:color w:val="auto"/>
        </w:rPr>
      </w:pPr>
    </w:p>
    <w:p>
      <w:pPr>
        <w:ind w:left="626"/>
        <w:spacing w:after="0"/>
        <w:rPr>
          <w:rFonts w:ascii="Arial" w:cs="Arial" w:eastAsia="Arial" w:hAnsi="Arial"/>
          <w:sz w:val="11"/>
          <w:szCs w:val="11"/>
          <w:color w:val="auto"/>
        </w:rPr>
      </w:pPr>
      <w:r>
        <w:rPr>
          <w:rFonts w:ascii="Arial" w:cs="Arial" w:eastAsia="Arial" w:hAnsi="Arial"/>
          <w:sz w:val="11"/>
          <w:szCs w:val="11"/>
          <w:color w:val="auto"/>
        </w:rPr>
        <w:t>15,623</w:t>
      </w:r>
    </w:p>
    <w:p>
      <w:pPr>
        <w:spacing w:after="0" w:line="30" w:lineRule="exact"/>
        <w:rPr>
          <w:rFonts w:ascii="Arial" w:cs="Arial" w:eastAsia="Arial" w:hAnsi="Arial"/>
          <w:sz w:val="11"/>
          <w:szCs w:val="11"/>
          <w:color w:val="auto"/>
        </w:rPr>
      </w:pPr>
    </w:p>
    <w:p>
      <w:pPr>
        <w:ind w:left="626"/>
        <w:spacing w:after="0"/>
        <w:rPr>
          <w:rFonts w:ascii="Arial" w:cs="Arial" w:eastAsia="Arial" w:hAnsi="Arial"/>
          <w:sz w:val="11"/>
          <w:szCs w:val="11"/>
          <w:color w:val="auto"/>
        </w:rPr>
      </w:pPr>
      <w:r>
        <w:rPr>
          <w:rFonts w:ascii="Arial" w:cs="Arial" w:eastAsia="Arial" w:hAnsi="Arial"/>
          <w:sz w:val="11"/>
          <w:szCs w:val="11"/>
          <w:color w:val="auto"/>
        </w:rPr>
        <w:t>13,879</w:t>
      </w:r>
    </w:p>
    <w:p>
      <w:pPr>
        <w:spacing w:after="0" w:line="30" w:lineRule="exact"/>
        <w:rPr>
          <w:rFonts w:ascii="Arial" w:cs="Arial" w:eastAsia="Arial" w:hAnsi="Arial"/>
          <w:sz w:val="11"/>
          <w:szCs w:val="11"/>
          <w:color w:val="auto"/>
        </w:rPr>
      </w:pPr>
    </w:p>
    <w:p>
      <w:pPr>
        <w:ind w:left="626"/>
        <w:spacing w:after="0"/>
        <w:rPr>
          <w:rFonts w:ascii="Arial" w:cs="Arial" w:eastAsia="Arial" w:hAnsi="Arial"/>
          <w:sz w:val="11"/>
          <w:szCs w:val="11"/>
          <w:color w:val="auto"/>
        </w:rPr>
      </w:pPr>
      <w:r>
        <w:rPr>
          <w:rFonts w:ascii="Arial" w:cs="Arial" w:eastAsia="Arial" w:hAnsi="Arial"/>
          <w:sz w:val="11"/>
          <w:szCs w:val="11"/>
          <w:color w:val="auto"/>
        </w:rPr>
        <w:t>13,803</w:t>
      </w:r>
    </w:p>
    <w:p>
      <w:pPr>
        <w:spacing w:after="0" w:line="30" w:lineRule="exact"/>
        <w:rPr>
          <w:rFonts w:ascii="Arial" w:cs="Arial" w:eastAsia="Arial" w:hAnsi="Arial"/>
          <w:sz w:val="11"/>
          <w:szCs w:val="11"/>
          <w:color w:val="auto"/>
        </w:rPr>
      </w:pPr>
    </w:p>
    <w:p>
      <w:pPr>
        <w:ind w:left="626"/>
        <w:spacing w:after="0"/>
        <w:rPr>
          <w:rFonts w:ascii="Arial" w:cs="Arial" w:eastAsia="Arial" w:hAnsi="Arial"/>
          <w:sz w:val="11"/>
          <w:szCs w:val="11"/>
          <w:color w:val="auto"/>
        </w:rPr>
      </w:pPr>
      <w:r>
        <w:rPr>
          <w:rFonts w:ascii="Arial" w:cs="Arial" w:eastAsia="Arial" w:hAnsi="Arial"/>
          <w:sz w:val="11"/>
          <w:szCs w:val="11"/>
          <w:color w:val="auto"/>
        </w:rPr>
        <w:t>10,203</w:t>
      </w:r>
    </w:p>
    <w:p>
      <w:pPr>
        <w:spacing w:after="0" w:line="30"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9,646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3055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23" w:lineRule="exact"/>
        <w:rPr>
          <w:sz w:val="20"/>
          <w:szCs w:val="20"/>
          <w:color w:val="auto"/>
        </w:rPr>
      </w:pPr>
    </w:p>
    <w:p>
      <w:pPr>
        <w:ind w:left="626" w:hanging="626"/>
        <w:spacing w:after="0"/>
        <w:tabs>
          <w:tab w:leader="none" w:pos="626" w:val="left"/>
        </w:tabs>
        <w:numPr>
          <w:ilvl w:val="0"/>
          <w:numId w:val="35"/>
        </w:numPr>
        <w:rPr>
          <w:rFonts w:ascii="Arial" w:cs="Arial" w:eastAsia="Arial" w:hAnsi="Arial"/>
          <w:sz w:val="11"/>
          <w:szCs w:val="11"/>
          <w:color w:val="auto"/>
        </w:rPr>
      </w:pPr>
      <w:r>
        <w:rPr>
          <w:rFonts w:ascii="Arial" w:cs="Arial" w:eastAsia="Arial" w:hAnsi="Arial"/>
          <w:sz w:val="11"/>
          <w:szCs w:val="11"/>
          <w:color w:val="auto"/>
        </w:rPr>
        <w:t>81,889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3055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63055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482" w:lineRule="exact"/>
        <w:rPr>
          <w:sz w:val="20"/>
          <w:szCs w:val="20"/>
          <w:color w:val="auto"/>
        </w:rPr>
      </w:pPr>
    </w:p>
    <w:p>
      <w:pPr>
        <w:sectPr>
          <w:pgSz w:w="11900" w:h="16838" w:orient="portrait"/>
          <w:cols w:equalWidth="0" w:num="2">
            <w:col w:w="8854" w:space="720"/>
            <w:col w:w="1086"/>
          </w:cols>
          <w:pgMar w:left="220" w:top="343" w:right="1019" w:bottom="1440" w:gutter="0" w:footer="0" w:header="0"/>
          <w:type w:val="continuous"/>
        </w:sectPr>
      </w:pPr>
    </w:p>
    <w:p>
      <w:pPr>
        <w:ind w:left="680" w:right="220" w:firstLine="399"/>
        <w:spacing w:after="0" w:line="276" w:lineRule="auto"/>
        <w:rPr>
          <w:sz w:val="20"/>
          <w:szCs w:val="20"/>
          <w:color w:val="auto"/>
        </w:rPr>
      </w:pPr>
      <w:r>
        <w:rPr>
          <w:rFonts w:ascii="Arial" w:cs="Arial" w:eastAsia="Arial" w:hAnsi="Arial"/>
          <w:sz w:val="13"/>
          <w:szCs w:val="13"/>
          <w:color w:val="auto"/>
        </w:rPr>
        <w:t>The decrease in interest income of $0.3 million year-over-year was primarily due to lower interest rates on our investments and lower average invested cash balances during fiscal year 2011 when compared to fiscal year 2010.</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The decrease in interest expense of $4.2 million year-over-year was primarily due to higher capitalized interest associated with our ViaSat-1 satellite, related gateway and networking equipment, and other assets under construction. For fiscal years 2011 and 2010, we capitalized interest expense of approximately $28.3 million and $8.8 million, respectively. Interest expense incurred during fiscal years 2011 and 2010 relates to the Notes, which were issued during the third quarter of fiscal year 2010, and the Credit Facility.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(Benefit from) provision for income taxes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decrease in the effective income tax rate from 15.0% in fiscal year 2010 compared to zero in fiscal year 2011 was primarily due to increased federal tax credits in fiscal year 2011, as the federal research credit in fiscal year 2011 included fifteen months of the credit compared to only nine months in fiscal year 2010 as a result of the December 2010 reinstatement of the credit retroactively from January 1, 2010.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Segment Results Fiscal Year 2011 Compared to Fiscal Year 2010</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Government systems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62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200" w:type="dxa"/>
            <w:vAlign w:val="bottom"/>
          </w:tcPr>
          <w:p>
            <w:pPr>
              <w:spacing w:after="0"/>
              <w:rPr>
                <w:sz w:val="7"/>
                <w:szCs w:val="7"/>
                <w:color w:val="auto"/>
              </w:rPr>
            </w:pPr>
          </w:p>
        </w:tc>
        <w:tc>
          <w:tcPr>
            <w:tcW w:w="6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80" w:type="dxa"/>
            <w:vAlign w:val="bottom"/>
          </w:tcPr>
          <w:p>
            <w:pPr>
              <w:ind w:left="160"/>
              <w:spacing w:after="0" w:line="81" w:lineRule="exact"/>
              <w:rPr>
                <w:sz w:val="20"/>
                <w:szCs w:val="20"/>
                <w:color w:val="auto"/>
              </w:rPr>
            </w:pPr>
            <w:r>
              <w:rPr>
                <w:rFonts w:ascii="Arial" w:cs="Arial" w:eastAsia="Arial" w:hAnsi="Arial"/>
                <w:sz w:val="9"/>
                <w:szCs w:val="9"/>
                <w:b w:val="1"/>
                <w:bCs w:val="1"/>
                <w:color w:val="auto"/>
              </w:rPr>
              <w:t>April 2,</w:t>
            </w:r>
          </w:p>
        </w:tc>
        <w:tc>
          <w:tcPr>
            <w:tcW w:w="26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00" w:type="dxa"/>
            <w:vAlign w:val="bottom"/>
          </w:tcPr>
          <w:p>
            <w:pPr>
              <w:spacing w:after="0"/>
              <w:rPr>
                <w:sz w:val="10"/>
                <w:szCs w:val="10"/>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3"/>
          </w:tcPr>
          <w:p>
            <w:pPr>
              <w:ind w:left="240"/>
              <w:spacing w:after="0"/>
              <w:rPr>
                <w:sz w:val="20"/>
                <w:szCs w:val="20"/>
                <w:color w:val="auto"/>
              </w:rPr>
            </w:pPr>
            <w:r>
              <w:rPr>
                <w:rFonts w:ascii="Arial" w:cs="Arial" w:eastAsia="Arial" w:hAnsi="Arial"/>
                <w:sz w:val="10"/>
                <w:szCs w:val="10"/>
                <w:b w:val="1"/>
                <w:bCs w:val="1"/>
                <w:color w:val="auto"/>
                <w:w w:val="96"/>
              </w:rPr>
              <w:t>(In millions, except percentages)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8"/>
        </w:trPr>
        <w:tc>
          <w:tcPr>
            <w:tcW w:w="6200" w:type="dxa"/>
            <w:vAlign w:val="bottom"/>
          </w:tcPr>
          <w:p>
            <w:pPr>
              <w:spacing w:after="0"/>
              <w:rPr>
                <w:sz w:val="20"/>
                <w:szCs w:val="20"/>
                <w:color w:val="auto"/>
              </w:rPr>
            </w:pPr>
            <w:r>
              <w:rPr>
                <w:rFonts w:ascii="Arial" w:cs="Arial" w:eastAsia="Arial" w:hAnsi="Arial"/>
                <w:sz w:val="13"/>
                <w:szCs w:val="13"/>
                <w:color w:val="auto"/>
              </w:rPr>
              <w:t>Revenues</w:t>
            </w:r>
          </w:p>
        </w:tc>
        <w:tc>
          <w:tcPr>
            <w:tcW w:w="660" w:type="dxa"/>
            <w:vAlign w:val="bottom"/>
          </w:tcPr>
          <w:p>
            <w:pPr>
              <w:jc w:val="right"/>
              <w:ind w:right="126"/>
              <w:spacing w:after="0"/>
              <w:rPr>
                <w:sz w:val="20"/>
                <w:szCs w:val="20"/>
                <w:color w:val="auto"/>
              </w:rPr>
            </w:pPr>
            <w:r>
              <w:rPr>
                <w:rFonts w:ascii="Arial" w:cs="Arial" w:eastAsia="Arial" w:hAnsi="Arial"/>
                <w:sz w:val="13"/>
                <w:szCs w:val="13"/>
                <w:color w:val="auto"/>
              </w:rPr>
              <w:t>$384.1</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$385.2</w:t>
            </w:r>
          </w:p>
        </w:tc>
        <w:tc>
          <w:tcPr>
            <w:tcW w:w="1080" w:type="dxa"/>
            <w:vAlign w:val="bottom"/>
            <w:gridSpan w:val="2"/>
          </w:tcPr>
          <w:p>
            <w:pPr>
              <w:jc w:val="center"/>
              <w:ind w:left="174"/>
              <w:spacing w:after="0"/>
              <w:rPr>
                <w:sz w:val="20"/>
                <w:szCs w:val="20"/>
                <w:color w:val="auto"/>
              </w:rPr>
            </w:pPr>
            <w:r>
              <w:rPr>
                <w:rFonts w:ascii="Arial" w:cs="Arial" w:eastAsia="Arial" w:hAnsi="Arial"/>
                <w:sz w:val="13"/>
                <w:szCs w:val="13"/>
                <w:color w:val="auto"/>
                <w:w w:val="94"/>
              </w:rPr>
              <w:t>$(1.0)</w:t>
            </w:r>
          </w:p>
        </w:tc>
        <w:tc>
          <w:tcPr>
            <w:tcW w:w="1080" w:type="dxa"/>
            <w:vAlign w:val="bottom"/>
            <w:gridSpan w:val="2"/>
          </w:tcPr>
          <w:p>
            <w:pPr>
              <w:jc w:val="right"/>
              <w:ind w:right="89"/>
              <w:spacing w:after="0"/>
              <w:rPr>
                <w:sz w:val="20"/>
                <w:szCs w:val="20"/>
                <w:color w:val="auto"/>
              </w:rPr>
            </w:pPr>
            <w:r>
              <w:rPr>
                <w:rFonts w:ascii="Arial" w:cs="Arial" w:eastAsia="Arial" w:hAnsi="Arial"/>
                <w:sz w:val="13"/>
                <w:szCs w:val="13"/>
                <w:color w:val="auto"/>
              </w:rPr>
              <w:t>(0.3)%</w:t>
            </w:r>
          </w:p>
        </w:tc>
      </w:tr>
    </w:tbl>
    <w:p>
      <w:pPr>
        <w:spacing w:after="0" w:line="81" w:lineRule="exact"/>
        <w:rPr>
          <w:sz w:val="20"/>
          <w:szCs w:val="20"/>
          <w:color w:val="auto"/>
        </w:rPr>
      </w:pPr>
    </w:p>
    <w:p>
      <w:pPr>
        <w:jc w:val="both"/>
        <w:ind w:left="680" w:right="20" w:firstLine="399"/>
        <w:spacing w:after="0" w:line="320" w:lineRule="auto"/>
        <w:rPr>
          <w:sz w:val="20"/>
          <w:szCs w:val="20"/>
          <w:color w:val="auto"/>
        </w:rPr>
      </w:pPr>
      <w:r>
        <w:rPr>
          <w:rFonts w:ascii="Arial" w:cs="Arial" w:eastAsia="Arial" w:hAnsi="Arial"/>
          <w:sz w:val="12"/>
          <w:szCs w:val="12"/>
          <w:color w:val="auto"/>
        </w:rPr>
        <w:t>Our government systems segment experienced a slight revenue decrease in fiscal year 2011 compared to fiscal year 2010 primarily attributable to tactical data link revenue reductions of $20.2 million and information assurance products of $6.1 million, offset by continued growth in our government satellite communication systems revenues of $23.2 million.</w:t>
      </w:r>
    </w:p>
    <w:p>
      <w:pPr>
        <w:spacing w:after="0" w:line="3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fourth quarter of fiscal year 2011, based on recent events, including communications with the DCMA, changes in the regulatory environment for federal government contractors and the status of current government audits, we recorded an additional $5.0 million in contract-related reserves for our estimate of potential refunds to customers for potential cost adjustments on several multi-year U.S. government cost reimbursable contracts, which resulted in a decrease to revenues and earnings. For additional information, see “Risk Factors — Our Business Could Be Adversely Affected by a Negative Audit by the U.S. Government” in Part I, Item 1A of this report.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profit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80" w:type="dxa"/>
            <w:vAlign w:val="bottom"/>
          </w:tcPr>
          <w:p>
            <w:pPr>
              <w:spacing w:after="0"/>
              <w:rPr>
                <w:sz w:val="10"/>
                <w:szCs w:val="10"/>
                <w:color w:val="auto"/>
              </w:rPr>
            </w:pPr>
          </w:p>
        </w:tc>
        <w:tc>
          <w:tcPr>
            <w:tcW w:w="152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180" w:type="dxa"/>
            <w:vAlign w:val="bottom"/>
          </w:tcPr>
          <w:p>
            <w:pPr>
              <w:spacing w:after="0"/>
              <w:rPr>
                <w:sz w:val="7"/>
                <w:szCs w:val="7"/>
                <w:color w:val="auto"/>
              </w:rPr>
            </w:pPr>
          </w:p>
        </w:tc>
        <w:tc>
          <w:tcPr>
            <w:tcW w:w="620" w:type="dxa"/>
            <w:vAlign w:val="bottom"/>
          </w:tcPr>
          <w:p>
            <w:pPr>
              <w:jc w:val="right"/>
              <w:ind w:right="63"/>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20" w:type="dxa"/>
            <w:vAlign w:val="bottom"/>
          </w:tcPr>
          <w:p>
            <w:pPr>
              <w:jc w:val="right"/>
              <w:ind w:right="8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80" w:type="dxa"/>
            <w:vAlign w:val="bottom"/>
          </w:tcPr>
          <w:p>
            <w:pPr>
              <w:spacing w:after="0"/>
              <w:rPr>
                <w:sz w:val="10"/>
                <w:szCs w:val="10"/>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3"/>
          </w:tcPr>
          <w:p>
            <w:pPr>
              <w:ind w:left="280"/>
              <w:spacing w:after="0"/>
              <w:rPr>
                <w:sz w:val="20"/>
                <w:szCs w:val="20"/>
                <w:color w:val="auto"/>
              </w:rPr>
            </w:pPr>
            <w:r>
              <w:rPr>
                <w:rFonts w:ascii="Arial" w:cs="Arial" w:eastAsia="Arial" w:hAnsi="Arial"/>
                <w:sz w:val="10"/>
                <w:szCs w:val="10"/>
                <w:b w:val="1"/>
                <w:bCs w:val="1"/>
                <w:color w:val="auto"/>
                <w:w w:val="94"/>
              </w:rPr>
              <w:t>(In millions, except percentages)</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1"/>
        </w:trPr>
        <w:tc>
          <w:tcPr>
            <w:tcW w:w="6180" w:type="dxa"/>
            <w:vAlign w:val="bottom"/>
          </w:tcPr>
          <w:p>
            <w:pPr>
              <w:spacing w:after="0"/>
              <w:rPr>
                <w:sz w:val="20"/>
                <w:szCs w:val="20"/>
                <w:color w:val="auto"/>
              </w:rPr>
            </w:pPr>
            <w:r>
              <w:rPr>
                <w:rFonts w:ascii="Arial" w:cs="Arial" w:eastAsia="Arial" w:hAnsi="Arial"/>
                <w:sz w:val="13"/>
                <w:szCs w:val="13"/>
                <w:color w:val="auto"/>
              </w:rPr>
              <w:t>Segment operating profit</w:t>
            </w:r>
          </w:p>
        </w:tc>
        <w:tc>
          <w:tcPr>
            <w:tcW w:w="620" w:type="dxa"/>
            <w:vAlign w:val="bottom"/>
          </w:tcPr>
          <w:p>
            <w:pPr>
              <w:jc w:val="right"/>
              <w:ind w:right="123"/>
              <w:spacing w:after="0"/>
              <w:rPr>
                <w:sz w:val="20"/>
                <w:szCs w:val="20"/>
                <w:color w:val="auto"/>
              </w:rPr>
            </w:pPr>
            <w:r>
              <w:rPr>
                <w:rFonts w:ascii="Arial" w:cs="Arial" w:eastAsia="Arial" w:hAnsi="Arial"/>
                <w:sz w:val="13"/>
                <w:szCs w:val="13"/>
                <w:color w:val="auto"/>
              </w:rPr>
              <w:t>$29.9</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$55.7</w:t>
            </w:r>
          </w:p>
        </w:tc>
        <w:tc>
          <w:tcPr>
            <w:tcW w:w="1140" w:type="dxa"/>
            <w:vAlign w:val="bottom"/>
            <w:gridSpan w:val="2"/>
          </w:tcPr>
          <w:p>
            <w:pPr>
              <w:jc w:val="center"/>
              <w:ind w:left="194"/>
              <w:spacing w:after="0"/>
              <w:rPr>
                <w:sz w:val="20"/>
                <w:szCs w:val="20"/>
                <w:color w:val="auto"/>
              </w:rPr>
            </w:pPr>
            <w:r>
              <w:rPr>
                <w:rFonts w:ascii="Arial" w:cs="Arial" w:eastAsia="Arial" w:hAnsi="Arial"/>
                <w:sz w:val="13"/>
                <w:szCs w:val="13"/>
                <w:color w:val="auto"/>
                <w:w w:val="97"/>
              </w:rPr>
              <w:t>$(25.8)</w:t>
            </w:r>
          </w:p>
        </w:tc>
        <w:tc>
          <w:tcPr>
            <w:tcW w:w="1140" w:type="dxa"/>
            <w:vAlign w:val="bottom"/>
            <w:gridSpan w:val="2"/>
          </w:tcPr>
          <w:p>
            <w:pPr>
              <w:jc w:val="right"/>
              <w:ind w:right="89"/>
              <w:spacing w:after="0"/>
              <w:rPr>
                <w:sz w:val="20"/>
                <w:szCs w:val="20"/>
                <w:color w:val="auto"/>
              </w:rPr>
            </w:pPr>
            <w:r>
              <w:rPr>
                <w:rFonts w:ascii="Arial" w:cs="Arial" w:eastAsia="Arial" w:hAnsi="Arial"/>
                <w:sz w:val="13"/>
                <w:szCs w:val="13"/>
                <w:color w:val="auto"/>
              </w:rPr>
              <w:t>(46.4)%</w:t>
            </w:r>
          </w:p>
        </w:tc>
      </w:tr>
      <w:tr>
        <w:trPr>
          <w:trHeight w:val="165"/>
        </w:trPr>
        <w:tc>
          <w:tcPr>
            <w:tcW w:w="6180" w:type="dxa"/>
            <w:vAlign w:val="bottom"/>
          </w:tcPr>
          <w:p>
            <w:pPr>
              <w:spacing w:after="0"/>
              <w:rPr>
                <w:sz w:val="20"/>
                <w:szCs w:val="20"/>
                <w:color w:val="auto"/>
              </w:rPr>
            </w:pPr>
            <w:r>
              <w:rPr>
                <w:rFonts w:ascii="Arial" w:cs="Arial" w:eastAsia="Arial" w:hAnsi="Arial"/>
                <w:sz w:val="13"/>
                <w:szCs w:val="13"/>
                <w:color w:val="auto"/>
              </w:rPr>
              <w:t>Percentage of segment revenues</w:t>
            </w:r>
          </w:p>
        </w:tc>
        <w:tc>
          <w:tcPr>
            <w:tcW w:w="620" w:type="dxa"/>
            <w:vAlign w:val="bottom"/>
          </w:tcPr>
          <w:p>
            <w:pPr>
              <w:jc w:val="right"/>
              <w:ind w:right="23"/>
              <w:spacing w:after="0"/>
              <w:rPr>
                <w:sz w:val="20"/>
                <w:szCs w:val="20"/>
                <w:color w:val="auto"/>
              </w:rPr>
            </w:pPr>
            <w:r>
              <w:rPr>
                <w:rFonts w:ascii="Arial" w:cs="Arial" w:eastAsia="Arial" w:hAnsi="Arial"/>
                <w:sz w:val="13"/>
                <w:szCs w:val="13"/>
                <w:color w:val="auto"/>
              </w:rPr>
              <w:t>7.8%</w:t>
            </w:r>
          </w:p>
        </w:tc>
        <w:tc>
          <w:tcPr>
            <w:tcW w:w="900" w:type="dxa"/>
            <w:vAlign w:val="bottom"/>
            <w:gridSpan w:val="2"/>
          </w:tcPr>
          <w:p>
            <w:pPr>
              <w:jc w:val="right"/>
              <w:ind w:right="29"/>
              <w:spacing w:after="0"/>
              <w:rPr>
                <w:sz w:val="20"/>
                <w:szCs w:val="20"/>
                <w:color w:val="auto"/>
              </w:rPr>
            </w:pPr>
            <w:r>
              <w:rPr>
                <w:rFonts w:ascii="Arial" w:cs="Arial" w:eastAsia="Arial" w:hAnsi="Arial"/>
                <w:sz w:val="13"/>
                <w:szCs w:val="13"/>
                <w:color w:val="auto"/>
              </w:rPr>
              <w:t>14.5%</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8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decrease in our government systems segment operating profit of $25.8 million year-over-year was primarily due to decreased revenues, including the $5.0 million cost reimbursable contracts revenue reserve recorded in the fourth quarter of fiscal year 2011 discussed above. Additionally, the segment experienced lower product contributions, mainly related to the $8.5 million forward loss recorded on a government satellite communication program in the first quarter of fiscal year 2011 as discussed below, as well as an increase in selling, support and new business proposal costs of $15.0 million.</w:t>
      </w:r>
    </w:p>
    <w:p>
      <w:pPr>
        <w:spacing w:after="0" w:line="7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ongoing and our efforts and the end results must be satisfactory to the customer. We believe that our estimate of costs to complete the program is appropriate based on known information, however, additional future losses could be required.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Commercial networks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160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100" w:type="dxa"/>
            <w:vAlign w:val="bottom"/>
          </w:tcPr>
          <w:p>
            <w:pPr>
              <w:spacing w:after="0"/>
              <w:rPr>
                <w:sz w:val="7"/>
                <w:szCs w:val="7"/>
                <w:color w:val="auto"/>
              </w:rPr>
            </w:pPr>
          </w:p>
        </w:tc>
        <w:tc>
          <w:tcPr>
            <w:tcW w:w="6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00" w:type="dxa"/>
            <w:vAlign w:val="bottom"/>
          </w:tcPr>
          <w:p>
            <w:pPr>
              <w:spacing w:after="0"/>
              <w:rPr>
                <w:sz w:val="10"/>
                <w:szCs w:val="10"/>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gridSpan w:val="3"/>
          </w:tcPr>
          <w:p>
            <w:pPr>
              <w:ind w:left="280"/>
              <w:spacing w:after="0"/>
              <w:rPr>
                <w:sz w:val="20"/>
                <w:szCs w:val="20"/>
                <w:color w:val="auto"/>
              </w:rPr>
            </w:pPr>
            <w:r>
              <w:rPr>
                <w:rFonts w:ascii="Arial" w:cs="Arial" w:eastAsia="Arial" w:hAnsi="Arial"/>
                <w:sz w:val="10"/>
                <w:szCs w:val="10"/>
                <w:b w:val="1"/>
                <w:bCs w:val="1"/>
                <w:color w:val="auto"/>
                <w:w w:val="96"/>
              </w:rPr>
              <w:t>(In millions, except percentages)</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8"/>
        </w:trPr>
        <w:tc>
          <w:tcPr>
            <w:tcW w:w="6100" w:type="dxa"/>
            <w:vAlign w:val="bottom"/>
          </w:tcPr>
          <w:p>
            <w:pPr>
              <w:spacing w:after="0"/>
              <w:rPr>
                <w:sz w:val="20"/>
                <w:szCs w:val="20"/>
                <w:color w:val="auto"/>
              </w:rPr>
            </w:pPr>
            <w:r>
              <w:rPr>
                <w:rFonts w:ascii="Arial" w:cs="Arial" w:eastAsia="Arial" w:hAnsi="Arial"/>
                <w:sz w:val="13"/>
                <w:szCs w:val="13"/>
                <w:color w:val="auto"/>
              </w:rPr>
              <w:t>Revenues</w:t>
            </w:r>
          </w:p>
        </w:tc>
        <w:tc>
          <w:tcPr>
            <w:tcW w:w="660" w:type="dxa"/>
            <w:vAlign w:val="bottom"/>
          </w:tcPr>
          <w:p>
            <w:pPr>
              <w:jc w:val="right"/>
              <w:ind w:right="126"/>
              <w:spacing w:after="0"/>
              <w:rPr>
                <w:sz w:val="20"/>
                <w:szCs w:val="20"/>
                <w:color w:val="auto"/>
              </w:rPr>
            </w:pPr>
            <w:r>
              <w:rPr>
                <w:rFonts w:ascii="Arial" w:cs="Arial" w:eastAsia="Arial" w:hAnsi="Arial"/>
                <w:sz w:val="13"/>
                <w:szCs w:val="13"/>
                <w:color w:val="auto"/>
              </w:rPr>
              <w:t>$183.1</w:t>
            </w:r>
          </w:p>
        </w:tc>
        <w:tc>
          <w:tcPr>
            <w:tcW w:w="940" w:type="dxa"/>
            <w:vAlign w:val="bottom"/>
            <w:gridSpan w:val="2"/>
          </w:tcPr>
          <w:p>
            <w:pPr>
              <w:jc w:val="right"/>
              <w:ind w:right="129"/>
              <w:spacing w:after="0"/>
              <w:rPr>
                <w:sz w:val="20"/>
                <w:szCs w:val="20"/>
                <w:color w:val="auto"/>
              </w:rPr>
            </w:pPr>
            <w:r>
              <w:rPr>
                <w:rFonts w:ascii="Arial" w:cs="Arial" w:eastAsia="Arial" w:hAnsi="Arial"/>
                <w:sz w:val="13"/>
                <w:szCs w:val="13"/>
                <w:color w:val="auto"/>
              </w:rPr>
              <w:t>$227.1</w:t>
            </w:r>
          </w:p>
        </w:tc>
        <w:tc>
          <w:tcPr>
            <w:tcW w:w="1140" w:type="dxa"/>
            <w:vAlign w:val="bottom"/>
            <w:gridSpan w:val="2"/>
          </w:tcPr>
          <w:p>
            <w:pPr>
              <w:jc w:val="center"/>
              <w:ind w:left="194"/>
              <w:spacing w:after="0"/>
              <w:rPr>
                <w:sz w:val="20"/>
                <w:szCs w:val="20"/>
                <w:color w:val="auto"/>
              </w:rPr>
            </w:pPr>
            <w:r>
              <w:rPr>
                <w:rFonts w:ascii="Arial" w:cs="Arial" w:eastAsia="Arial" w:hAnsi="Arial"/>
                <w:sz w:val="13"/>
                <w:szCs w:val="13"/>
                <w:color w:val="auto"/>
                <w:w w:val="97"/>
              </w:rPr>
              <w:t>$(44.0)</w:t>
            </w:r>
          </w:p>
        </w:tc>
        <w:tc>
          <w:tcPr>
            <w:tcW w:w="1140" w:type="dxa"/>
            <w:vAlign w:val="bottom"/>
            <w:gridSpan w:val="2"/>
          </w:tcPr>
          <w:p>
            <w:pPr>
              <w:jc w:val="right"/>
              <w:ind w:right="89"/>
              <w:spacing w:after="0"/>
              <w:rPr>
                <w:sz w:val="20"/>
                <w:szCs w:val="20"/>
                <w:color w:val="auto"/>
              </w:rPr>
            </w:pPr>
            <w:r>
              <w:rPr>
                <w:rFonts w:ascii="Arial" w:cs="Arial" w:eastAsia="Arial" w:hAnsi="Arial"/>
                <w:sz w:val="13"/>
                <w:szCs w:val="13"/>
                <w:color w:val="auto"/>
              </w:rPr>
              <w:t>(19.4)%</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decrease of approximately $44.0 million in our commercial networks segment revenue in fiscal year 2011 compared to fiscal year 2010 was attributable to a decrease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$30.5 million in consumer broadband products and services and $27.2 million in enterprise VSAT networks products and services. These decreases were offset by increases in revenues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$17.5 million in antenna systems products and services and $6.1 million in next generation broadband equipment development programs.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(loss) profit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44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Dollar</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200" w:type="dxa"/>
            <w:vAlign w:val="bottom"/>
          </w:tcPr>
          <w:p>
            <w:pPr>
              <w:spacing w:after="0"/>
              <w:rPr>
                <w:sz w:val="7"/>
                <w:szCs w:val="7"/>
                <w:color w:val="auto"/>
              </w:rPr>
            </w:pPr>
          </w:p>
        </w:tc>
        <w:tc>
          <w:tcPr>
            <w:tcW w:w="600" w:type="dxa"/>
            <w:vAlign w:val="bottom"/>
          </w:tcPr>
          <w:p>
            <w:pPr>
              <w:jc w:val="right"/>
              <w:ind w:right="63"/>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560" w:type="dxa"/>
            <w:vAlign w:val="bottom"/>
          </w:tcPr>
          <w:p>
            <w:pPr>
              <w:jc w:val="right"/>
              <w:ind w:right="4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114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Increase</w:t>
            </w:r>
          </w:p>
        </w:tc>
        <w:tc>
          <w:tcPr>
            <w:tcW w:w="9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00" w:type="dxa"/>
            <w:vAlign w:val="bottom"/>
          </w:tcPr>
          <w:p>
            <w:pPr>
              <w:spacing w:after="0"/>
              <w:rPr>
                <w:sz w:val="10"/>
                <w:szCs w:val="10"/>
                <w:color w:val="auto"/>
              </w:rPr>
            </w:pPr>
          </w:p>
        </w:tc>
        <w:tc>
          <w:tcPr>
            <w:tcW w:w="60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gridSpan w:val="4"/>
          </w:tcPr>
          <w:p>
            <w:pPr>
              <w:ind w:left="300"/>
              <w:spacing w:after="0"/>
              <w:rPr>
                <w:sz w:val="20"/>
                <w:szCs w:val="20"/>
                <w:color w:val="auto"/>
              </w:rPr>
            </w:pPr>
            <w:r>
              <w:rPr>
                <w:rFonts w:ascii="Arial" w:cs="Arial" w:eastAsia="Arial" w:hAnsi="Arial"/>
                <w:sz w:val="10"/>
                <w:szCs w:val="10"/>
                <w:b w:val="1"/>
                <w:bCs w:val="1"/>
                <w:color w:val="auto"/>
              </w:rPr>
              <w:t>(In millions, except percentages)</w:t>
            </w:r>
          </w:p>
        </w:tc>
        <w:tc>
          <w:tcPr>
            <w:tcW w:w="920" w:type="dxa"/>
            <w:vAlign w:val="bottom"/>
          </w:tcPr>
          <w:p>
            <w:pPr>
              <w:spacing w:after="0"/>
              <w:rPr>
                <w:sz w:val="10"/>
                <w:szCs w:val="10"/>
                <w:color w:val="auto"/>
              </w:rPr>
            </w:pPr>
          </w:p>
        </w:tc>
      </w:tr>
      <w:tr>
        <w:trPr>
          <w:trHeight w:val="161"/>
        </w:trPr>
        <w:tc>
          <w:tcPr>
            <w:tcW w:w="6200" w:type="dxa"/>
            <w:vAlign w:val="bottom"/>
          </w:tcPr>
          <w:p>
            <w:pPr>
              <w:spacing w:after="0"/>
              <w:rPr>
                <w:sz w:val="20"/>
                <w:szCs w:val="20"/>
                <w:color w:val="auto"/>
              </w:rPr>
            </w:pPr>
            <w:r>
              <w:rPr>
                <w:rFonts w:ascii="Arial" w:cs="Arial" w:eastAsia="Arial" w:hAnsi="Arial"/>
                <w:sz w:val="13"/>
                <w:szCs w:val="13"/>
                <w:color w:val="auto"/>
              </w:rPr>
              <w:t>Segment operating (loss) profit</w:t>
            </w:r>
          </w:p>
        </w:tc>
        <w:tc>
          <w:tcPr>
            <w:tcW w:w="600" w:type="dxa"/>
            <w:vAlign w:val="bottom"/>
          </w:tcPr>
          <w:p>
            <w:pPr>
              <w:jc w:val="right"/>
              <w:ind w:right="83"/>
              <w:spacing w:after="0"/>
              <w:rPr>
                <w:sz w:val="20"/>
                <w:szCs w:val="20"/>
                <w:color w:val="auto"/>
              </w:rPr>
            </w:pPr>
            <w:r>
              <w:rPr>
                <w:rFonts w:ascii="Arial" w:cs="Arial" w:eastAsia="Arial" w:hAnsi="Arial"/>
                <w:sz w:val="13"/>
                <w:szCs w:val="13"/>
                <w:color w:val="auto"/>
              </w:rPr>
              <w:t>$(9.5)</w:t>
            </w:r>
          </w:p>
        </w:tc>
        <w:tc>
          <w:tcPr>
            <w:tcW w:w="840" w:type="dxa"/>
            <w:vAlign w:val="bottom"/>
            <w:gridSpan w:val="2"/>
          </w:tcPr>
          <w:p>
            <w:pPr>
              <w:jc w:val="right"/>
              <w:ind w:right="149"/>
              <w:spacing w:after="0"/>
              <w:rPr>
                <w:sz w:val="20"/>
                <w:szCs w:val="20"/>
                <w:color w:val="auto"/>
              </w:rPr>
            </w:pPr>
            <w:r>
              <w:rPr>
                <w:rFonts w:ascii="Arial" w:cs="Arial" w:eastAsia="Arial" w:hAnsi="Arial"/>
                <w:sz w:val="13"/>
                <w:szCs w:val="13"/>
                <w:color w:val="auto"/>
              </w:rPr>
              <w:t>$6.1</w:t>
            </w:r>
          </w:p>
        </w:tc>
        <w:tc>
          <w:tcPr>
            <w:tcW w:w="1140" w:type="dxa"/>
            <w:vAlign w:val="bottom"/>
            <w:gridSpan w:val="2"/>
          </w:tcPr>
          <w:p>
            <w:pPr>
              <w:jc w:val="center"/>
              <w:ind w:left="214"/>
              <w:spacing w:after="0"/>
              <w:rPr>
                <w:sz w:val="20"/>
                <w:szCs w:val="20"/>
                <w:color w:val="auto"/>
              </w:rPr>
            </w:pPr>
            <w:r>
              <w:rPr>
                <w:rFonts w:ascii="Arial" w:cs="Arial" w:eastAsia="Arial" w:hAnsi="Arial"/>
                <w:sz w:val="13"/>
                <w:szCs w:val="13"/>
                <w:color w:val="auto"/>
                <w:w w:val="92"/>
              </w:rPr>
              <w:t>$(15.6)</w:t>
            </w:r>
          </w:p>
        </w:tc>
        <w:tc>
          <w:tcPr>
            <w:tcW w:w="28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3"/>
                <w:szCs w:val="13"/>
                <w:color w:val="auto"/>
              </w:rPr>
              <w:t>(255.7)%</w:t>
            </w:r>
          </w:p>
        </w:tc>
      </w:tr>
      <w:tr>
        <w:trPr>
          <w:trHeight w:val="165"/>
        </w:trPr>
        <w:tc>
          <w:tcPr>
            <w:tcW w:w="6200" w:type="dxa"/>
            <w:vAlign w:val="bottom"/>
          </w:tcPr>
          <w:p>
            <w:pPr>
              <w:spacing w:after="0"/>
              <w:rPr>
                <w:sz w:val="20"/>
                <w:szCs w:val="20"/>
                <w:color w:val="auto"/>
              </w:rPr>
            </w:pPr>
            <w:r>
              <w:rPr>
                <w:rFonts w:ascii="Arial" w:cs="Arial" w:eastAsia="Arial" w:hAnsi="Arial"/>
                <w:sz w:val="13"/>
                <w:szCs w:val="13"/>
                <w:color w:val="auto"/>
              </w:rPr>
              <w:t>Percentage of segment revenues</w:t>
            </w:r>
          </w:p>
        </w:tc>
        <w:tc>
          <w:tcPr>
            <w:tcW w:w="600" w:type="dxa"/>
            <w:vAlign w:val="bottom"/>
          </w:tcPr>
          <w:p>
            <w:pPr>
              <w:jc w:val="right"/>
              <w:spacing w:after="0"/>
              <w:rPr>
                <w:sz w:val="20"/>
                <w:szCs w:val="20"/>
                <w:color w:val="auto"/>
              </w:rPr>
            </w:pPr>
            <w:r>
              <w:rPr>
                <w:rFonts w:ascii="Arial" w:cs="Arial" w:eastAsia="Arial" w:hAnsi="Arial"/>
                <w:sz w:val="13"/>
                <w:szCs w:val="13"/>
                <w:color w:val="auto"/>
              </w:rPr>
              <w:t>(5.2)%</w:t>
            </w:r>
          </w:p>
        </w:tc>
        <w:tc>
          <w:tcPr>
            <w:tcW w:w="840" w:type="dxa"/>
            <w:vAlign w:val="bottom"/>
            <w:gridSpan w:val="2"/>
          </w:tcPr>
          <w:p>
            <w:pPr>
              <w:jc w:val="right"/>
              <w:ind w:right="49"/>
              <w:spacing w:after="0"/>
              <w:rPr>
                <w:sz w:val="20"/>
                <w:szCs w:val="20"/>
                <w:color w:val="auto"/>
              </w:rPr>
            </w:pPr>
            <w:r>
              <w:rPr>
                <w:rFonts w:ascii="Arial" w:cs="Arial" w:eastAsia="Arial" w:hAnsi="Arial"/>
                <w:sz w:val="13"/>
                <w:szCs w:val="13"/>
                <w:color w:val="auto"/>
              </w:rPr>
              <w:t>2.7%</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81"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Our commercial networks segment results yielded an operating loss in fiscal year 2011 compared to an operating profit in fiscal year 2010. This change was primarily due to lower earnings contributions of approximately $16.1 million due to the lower revenues and an increase in IR&amp;D costs of $2.7 million, which were offset by a decrease in selling, support and new business proposal costs of approximately $3.2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Satellite services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20" w:type="dxa"/>
            <w:vAlign w:val="bottom"/>
          </w:tcPr>
          <w:p>
            <w:pPr>
              <w:spacing w:after="0"/>
              <w:rPr>
                <w:sz w:val="10"/>
                <w:szCs w:val="10"/>
                <w:color w:val="auto"/>
              </w:rPr>
            </w:pPr>
          </w:p>
        </w:tc>
        <w:tc>
          <w:tcPr>
            <w:tcW w:w="154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8"/>
              </w:rPr>
              <w:t>Dollar</w:t>
            </w: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120" w:type="dxa"/>
            <w:vAlign w:val="bottom"/>
          </w:tcPr>
          <w:p>
            <w:pPr>
              <w:spacing w:after="0"/>
              <w:rPr>
                <w:sz w:val="7"/>
                <w:szCs w:val="7"/>
                <w:color w:val="auto"/>
              </w:rPr>
            </w:pPr>
          </w:p>
        </w:tc>
        <w:tc>
          <w:tcPr>
            <w:tcW w:w="6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00" w:type="dxa"/>
            <w:vAlign w:val="bottom"/>
          </w:tcPr>
          <w:p>
            <w:pPr>
              <w:jc w:val="right"/>
              <w:ind w:right="6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20" w:type="dxa"/>
            <w:vAlign w:val="bottom"/>
          </w:tcPr>
          <w:p>
            <w:pPr>
              <w:spacing w:after="0"/>
              <w:rPr>
                <w:sz w:val="10"/>
                <w:szCs w:val="10"/>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8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(In millions, except percentages)</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8"/>
        </w:trPr>
        <w:tc>
          <w:tcPr>
            <w:tcW w:w="6120" w:type="dxa"/>
            <w:vAlign w:val="bottom"/>
          </w:tcPr>
          <w:p>
            <w:pPr>
              <w:spacing w:after="0"/>
              <w:rPr>
                <w:sz w:val="20"/>
                <w:szCs w:val="20"/>
                <w:color w:val="auto"/>
              </w:rPr>
            </w:pPr>
            <w:r>
              <w:rPr>
                <w:rFonts w:ascii="Arial" w:cs="Arial" w:eastAsia="Arial" w:hAnsi="Arial"/>
                <w:sz w:val="13"/>
                <w:szCs w:val="13"/>
                <w:color w:val="auto"/>
              </w:rPr>
              <w:t>Revenues</w:t>
            </w:r>
          </w:p>
        </w:tc>
        <w:tc>
          <w:tcPr>
            <w:tcW w:w="660" w:type="dxa"/>
            <w:vAlign w:val="bottom"/>
          </w:tcPr>
          <w:p>
            <w:pPr>
              <w:jc w:val="right"/>
              <w:ind w:right="126"/>
              <w:spacing w:after="0"/>
              <w:rPr>
                <w:sz w:val="20"/>
                <w:szCs w:val="20"/>
                <w:color w:val="auto"/>
              </w:rPr>
            </w:pPr>
            <w:r>
              <w:rPr>
                <w:rFonts w:ascii="Arial" w:cs="Arial" w:eastAsia="Arial" w:hAnsi="Arial"/>
                <w:sz w:val="13"/>
                <w:szCs w:val="13"/>
                <w:color w:val="auto"/>
              </w:rPr>
              <w:t>$235.0</w:t>
            </w:r>
          </w:p>
        </w:tc>
        <w:tc>
          <w:tcPr>
            <w:tcW w:w="880" w:type="dxa"/>
            <w:vAlign w:val="bottom"/>
            <w:gridSpan w:val="2"/>
          </w:tcPr>
          <w:p>
            <w:pPr>
              <w:jc w:val="right"/>
              <w:ind w:right="129"/>
              <w:spacing w:after="0"/>
              <w:rPr>
                <w:sz w:val="20"/>
                <w:szCs w:val="20"/>
                <w:color w:val="auto"/>
              </w:rPr>
            </w:pPr>
            <w:r>
              <w:rPr>
                <w:rFonts w:ascii="Arial" w:cs="Arial" w:eastAsia="Arial" w:hAnsi="Arial"/>
                <w:sz w:val="13"/>
                <w:szCs w:val="13"/>
                <w:color w:val="auto"/>
              </w:rPr>
              <w:t>$75.8</w:t>
            </w:r>
          </w:p>
        </w:tc>
        <w:tc>
          <w:tcPr>
            <w:tcW w:w="1160" w:type="dxa"/>
            <w:vAlign w:val="bottom"/>
            <w:gridSpan w:val="2"/>
          </w:tcPr>
          <w:p>
            <w:pPr>
              <w:jc w:val="right"/>
              <w:ind w:right="229"/>
              <w:spacing w:after="0"/>
              <w:rPr>
                <w:sz w:val="20"/>
                <w:szCs w:val="20"/>
                <w:color w:val="auto"/>
              </w:rPr>
            </w:pPr>
            <w:r>
              <w:rPr>
                <w:rFonts w:ascii="Arial" w:cs="Arial" w:eastAsia="Arial" w:hAnsi="Arial"/>
                <w:sz w:val="13"/>
                <w:szCs w:val="13"/>
                <w:color w:val="auto"/>
              </w:rPr>
              <w:t>$159.1</w:t>
            </w:r>
          </w:p>
        </w:tc>
        <w:tc>
          <w:tcPr>
            <w:tcW w:w="1160" w:type="dxa"/>
            <w:vAlign w:val="bottom"/>
            <w:gridSpan w:val="2"/>
          </w:tcPr>
          <w:p>
            <w:pPr>
              <w:jc w:val="right"/>
              <w:ind w:right="129"/>
              <w:spacing w:after="0"/>
              <w:rPr>
                <w:sz w:val="20"/>
                <w:szCs w:val="20"/>
                <w:color w:val="auto"/>
              </w:rPr>
            </w:pPr>
            <w:r>
              <w:rPr>
                <w:rFonts w:ascii="Arial" w:cs="Arial" w:eastAsia="Arial" w:hAnsi="Arial"/>
                <w:sz w:val="13"/>
                <w:szCs w:val="13"/>
                <w:color w:val="auto"/>
              </w:rPr>
              <w:t>209.9%</w:t>
            </w:r>
          </w:p>
        </w:tc>
      </w:tr>
    </w:tbl>
    <w:p>
      <w:pPr>
        <w:spacing w:after="0" w:line="8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increase of approximately $159.1 million in satellite services segment revenue in fiscal year 2011 compared to fiscal year 2010 was attributable to our acquisition of WildBlue in December 2009, which contributed an additional $157.4 million in total revenue. The remainder of the increase in our satellite services segment was primarily driven by growth in our mobile broadband services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profit (loss)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60" w:type="dxa"/>
            <w:vAlign w:val="bottom"/>
          </w:tcPr>
          <w:p>
            <w:pPr>
              <w:spacing w:after="0"/>
              <w:rPr>
                <w:sz w:val="10"/>
                <w:szCs w:val="10"/>
                <w:color w:val="auto"/>
              </w:rPr>
            </w:pPr>
          </w:p>
        </w:tc>
        <w:tc>
          <w:tcPr>
            <w:tcW w:w="156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160" w:type="dxa"/>
            <w:vAlign w:val="bottom"/>
          </w:tcPr>
          <w:p>
            <w:pPr>
              <w:spacing w:after="0"/>
              <w:rPr>
                <w:sz w:val="7"/>
                <w:szCs w:val="7"/>
                <w:color w:val="auto"/>
              </w:rPr>
            </w:pPr>
          </w:p>
        </w:tc>
        <w:tc>
          <w:tcPr>
            <w:tcW w:w="620" w:type="dxa"/>
            <w:vAlign w:val="bottom"/>
          </w:tcPr>
          <w:p>
            <w:pPr>
              <w:jc w:val="right"/>
              <w:ind w:right="63"/>
              <w:spacing w:after="0" w:line="81" w:lineRule="exact"/>
              <w:rPr>
                <w:sz w:val="20"/>
                <w:szCs w:val="20"/>
                <w:color w:val="auto"/>
              </w:rPr>
            </w:pPr>
            <w:r>
              <w:rPr>
                <w:rFonts w:ascii="Arial" w:cs="Arial" w:eastAsia="Arial" w:hAnsi="Arial"/>
                <w:sz w:val="9"/>
                <w:szCs w:val="9"/>
                <w:b w:val="1"/>
                <w:bCs w:val="1"/>
                <w:color w:val="auto"/>
              </w:rPr>
              <w:t>April 1,</w:t>
            </w:r>
          </w:p>
        </w:tc>
        <w:tc>
          <w:tcPr>
            <w:tcW w:w="280" w:type="dxa"/>
            <w:vAlign w:val="bottom"/>
          </w:tcPr>
          <w:p>
            <w:pPr>
              <w:spacing w:after="0"/>
              <w:rPr>
                <w:sz w:val="7"/>
                <w:szCs w:val="7"/>
                <w:color w:val="auto"/>
              </w:rPr>
            </w:pPr>
          </w:p>
        </w:tc>
        <w:tc>
          <w:tcPr>
            <w:tcW w:w="660" w:type="dxa"/>
            <w:vAlign w:val="bottom"/>
          </w:tcPr>
          <w:p>
            <w:pPr>
              <w:jc w:val="right"/>
              <w:ind w:right="109"/>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60" w:type="dxa"/>
            <w:vAlign w:val="bottom"/>
          </w:tcPr>
          <w:p>
            <w:pPr>
              <w:spacing w:after="0"/>
              <w:rPr>
                <w:sz w:val="10"/>
                <w:szCs w:val="10"/>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 except percentages)</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1"/>
        </w:trPr>
        <w:tc>
          <w:tcPr>
            <w:tcW w:w="6160" w:type="dxa"/>
            <w:vAlign w:val="bottom"/>
          </w:tcPr>
          <w:p>
            <w:pPr>
              <w:spacing w:after="0"/>
              <w:rPr>
                <w:sz w:val="20"/>
                <w:szCs w:val="20"/>
                <w:color w:val="auto"/>
              </w:rPr>
            </w:pPr>
            <w:r>
              <w:rPr>
                <w:rFonts w:ascii="Arial" w:cs="Arial" w:eastAsia="Arial" w:hAnsi="Arial"/>
                <w:sz w:val="13"/>
                <w:szCs w:val="13"/>
                <w:color w:val="auto"/>
              </w:rPr>
              <w:t>Segment operating profit (loss)</w:t>
            </w:r>
          </w:p>
        </w:tc>
        <w:tc>
          <w:tcPr>
            <w:tcW w:w="620" w:type="dxa"/>
            <w:vAlign w:val="bottom"/>
          </w:tcPr>
          <w:p>
            <w:pPr>
              <w:jc w:val="right"/>
              <w:ind w:right="123"/>
              <w:spacing w:after="0"/>
              <w:rPr>
                <w:sz w:val="20"/>
                <w:szCs w:val="20"/>
                <w:color w:val="auto"/>
              </w:rPr>
            </w:pPr>
            <w:r>
              <w:rPr>
                <w:rFonts w:ascii="Arial" w:cs="Arial" w:eastAsia="Arial" w:hAnsi="Arial"/>
                <w:sz w:val="13"/>
                <w:szCs w:val="13"/>
                <w:color w:val="auto"/>
              </w:rPr>
              <w:t>$38.2</w:t>
            </w:r>
          </w:p>
        </w:tc>
        <w:tc>
          <w:tcPr>
            <w:tcW w:w="940" w:type="dxa"/>
            <w:vAlign w:val="bottom"/>
            <w:gridSpan w:val="2"/>
          </w:tcPr>
          <w:p>
            <w:pPr>
              <w:jc w:val="right"/>
              <w:ind w:right="89"/>
              <w:spacing w:after="0"/>
              <w:rPr>
                <w:sz w:val="20"/>
                <w:szCs w:val="20"/>
                <w:color w:val="auto"/>
              </w:rPr>
            </w:pPr>
            <w:r>
              <w:rPr>
                <w:rFonts w:ascii="Arial" w:cs="Arial" w:eastAsia="Arial" w:hAnsi="Arial"/>
                <w:sz w:val="13"/>
                <w:szCs w:val="13"/>
                <w:color w:val="auto"/>
              </w:rPr>
              <w:t>$ (9.3)</w:t>
            </w:r>
          </w:p>
        </w:tc>
        <w:tc>
          <w:tcPr>
            <w:tcW w:w="1100" w:type="dxa"/>
            <w:vAlign w:val="bottom"/>
            <w:gridSpan w:val="2"/>
          </w:tcPr>
          <w:p>
            <w:pPr>
              <w:jc w:val="right"/>
              <w:ind w:right="229"/>
              <w:spacing w:after="0"/>
              <w:rPr>
                <w:sz w:val="20"/>
                <w:szCs w:val="20"/>
                <w:color w:val="auto"/>
              </w:rPr>
            </w:pPr>
            <w:r>
              <w:rPr>
                <w:rFonts w:ascii="Arial" w:cs="Arial" w:eastAsia="Arial" w:hAnsi="Arial"/>
                <w:sz w:val="13"/>
                <w:szCs w:val="13"/>
                <w:color w:val="auto"/>
              </w:rPr>
              <w:t>$47.5</w:t>
            </w:r>
          </w:p>
        </w:tc>
        <w:tc>
          <w:tcPr>
            <w:tcW w:w="1160" w:type="dxa"/>
            <w:vAlign w:val="bottom"/>
            <w:gridSpan w:val="2"/>
          </w:tcPr>
          <w:p>
            <w:pPr>
              <w:jc w:val="right"/>
              <w:ind w:right="129"/>
              <w:spacing w:after="0"/>
              <w:rPr>
                <w:sz w:val="20"/>
                <w:szCs w:val="20"/>
                <w:color w:val="auto"/>
              </w:rPr>
            </w:pPr>
            <w:r>
              <w:rPr>
                <w:rFonts w:ascii="Arial" w:cs="Arial" w:eastAsia="Arial" w:hAnsi="Arial"/>
                <w:sz w:val="13"/>
                <w:szCs w:val="13"/>
                <w:color w:val="auto"/>
              </w:rPr>
              <w:t>510.8%</w:t>
            </w:r>
          </w:p>
        </w:tc>
      </w:tr>
      <w:tr>
        <w:trPr>
          <w:trHeight w:val="165"/>
        </w:trPr>
        <w:tc>
          <w:tcPr>
            <w:tcW w:w="6160" w:type="dxa"/>
            <w:vAlign w:val="bottom"/>
          </w:tcPr>
          <w:p>
            <w:pPr>
              <w:spacing w:after="0"/>
              <w:rPr>
                <w:sz w:val="20"/>
                <w:szCs w:val="20"/>
                <w:color w:val="auto"/>
              </w:rPr>
            </w:pPr>
            <w:r>
              <w:rPr>
                <w:rFonts w:ascii="Arial" w:cs="Arial" w:eastAsia="Arial" w:hAnsi="Arial"/>
                <w:sz w:val="13"/>
                <w:szCs w:val="13"/>
                <w:color w:val="auto"/>
              </w:rPr>
              <w:t>Percentage of segment revenues</w:t>
            </w:r>
          </w:p>
        </w:tc>
        <w:tc>
          <w:tcPr>
            <w:tcW w:w="620" w:type="dxa"/>
            <w:vAlign w:val="bottom"/>
          </w:tcPr>
          <w:p>
            <w:pPr>
              <w:jc w:val="right"/>
              <w:ind w:right="23"/>
              <w:spacing w:after="0"/>
              <w:rPr>
                <w:sz w:val="20"/>
                <w:szCs w:val="20"/>
                <w:color w:val="auto"/>
              </w:rPr>
            </w:pPr>
            <w:r>
              <w:rPr>
                <w:rFonts w:ascii="Arial" w:cs="Arial" w:eastAsia="Arial" w:hAnsi="Arial"/>
                <w:sz w:val="13"/>
                <w:szCs w:val="13"/>
                <w:color w:val="auto"/>
              </w:rPr>
              <w:t>16.3%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(12.3)%</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81" w:lineRule="exact"/>
        <w:rPr>
          <w:sz w:val="20"/>
          <w:szCs w:val="20"/>
          <w:color w:val="auto"/>
        </w:rPr>
      </w:pPr>
    </w:p>
    <w:p>
      <w:pPr>
        <w:ind w:left="680" w:right="420" w:firstLine="399"/>
        <w:spacing w:after="0" w:line="296" w:lineRule="auto"/>
        <w:rPr>
          <w:sz w:val="20"/>
          <w:szCs w:val="20"/>
          <w:color w:val="auto"/>
        </w:rPr>
      </w:pPr>
      <w:r>
        <w:rPr>
          <w:rFonts w:ascii="Arial" w:cs="Arial" w:eastAsia="Arial" w:hAnsi="Arial"/>
          <w:sz w:val="12"/>
          <w:szCs w:val="12"/>
          <w:color w:val="auto"/>
        </w:rPr>
        <w:t>Our satellite services segment generated an operating profit in fiscal year 2011 compared to an operating loss in fiscal year 2010. This change was primarily attributable to our acquisition of WildBlue in December 2009 and related year-over-year profitability growth. During the fourth quarter of fiscal year 2011, we also recorded a benefit to cost of service revenues of $5.2 million related to a WildBlue satellite capacity contract liability acquired and release of future payment liabilities related thereto.</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2010 Compared to Fiscal Year 2009</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40" w:type="dxa"/>
            <w:vAlign w:val="bottom"/>
          </w:tcPr>
          <w:p>
            <w:pPr>
              <w:spacing w:after="0"/>
              <w:rPr>
                <w:sz w:val="10"/>
                <w:szCs w:val="10"/>
                <w:color w:val="auto"/>
              </w:rPr>
            </w:pPr>
          </w:p>
        </w:tc>
        <w:tc>
          <w:tcPr>
            <w:tcW w:w="162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140" w:type="dxa"/>
            <w:vAlign w:val="bottom"/>
          </w:tcPr>
          <w:p>
            <w:pPr>
              <w:spacing w:after="0"/>
              <w:rPr>
                <w:sz w:val="7"/>
                <w:szCs w:val="7"/>
                <w:color w:val="auto"/>
              </w:rPr>
            </w:pPr>
          </w:p>
        </w:tc>
        <w:tc>
          <w:tcPr>
            <w:tcW w:w="66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680" w:type="dxa"/>
            <w:vAlign w:val="bottom"/>
          </w:tcPr>
          <w:p>
            <w:pPr>
              <w:jc w:val="right"/>
              <w:ind w:right="129"/>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40" w:type="dxa"/>
            <w:vAlign w:val="bottom"/>
          </w:tcPr>
          <w:p>
            <w:pPr>
              <w:spacing w:after="0"/>
              <w:rPr>
                <w:sz w:val="10"/>
                <w:szCs w:val="10"/>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3"/>
          </w:tcPr>
          <w:p>
            <w:pPr>
              <w:ind w:left="260"/>
              <w:spacing w:after="0"/>
              <w:rPr>
                <w:sz w:val="20"/>
                <w:szCs w:val="20"/>
                <w:color w:val="auto"/>
              </w:rPr>
            </w:pPr>
            <w:r>
              <w:rPr>
                <w:rFonts w:ascii="Arial" w:cs="Arial" w:eastAsia="Arial" w:hAnsi="Arial"/>
                <w:sz w:val="10"/>
                <w:szCs w:val="10"/>
                <w:b w:val="1"/>
                <w:bCs w:val="1"/>
                <w:color w:val="auto"/>
                <w:w w:val="99"/>
              </w:rPr>
              <w:t>(In millions, except percentages)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1"/>
        </w:trPr>
        <w:tc>
          <w:tcPr>
            <w:tcW w:w="6140" w:type="dxa"/>
            <w:vAlign w:val="bottom"/>
          </w:tcPr>
          <w:p>
            <w:pPr>
              <w:spacing w:after="0"/>
              <w:rPr>
                <w:sz w:val="20"/>
                <w:szCs w:val="20"/>
                <w:color w:val="auto"/>
              </w:rPr>
            </w:pPr>
            <w:r>
              <w:rPr>
                <w:rFonts w:ascii="Arial" w:cs="Arial" w:eastAsia="Arial" w:hAnsi="Arial"/>
                <w:sz w:val="13"/>
                <w:szCs w:val="13"/>
                <w:color w:val="auto"/>
              </w:rPr>
              <w:t>Product revenues</w:t>
            </w:r>
          </w:p>
        </w:tc>
        <w:tc>
          <w:tcPr>
            <w:tcW w:w="660" w:type="dxa"/>
            <w:vAlign w:val="bottom"/>
          </w:tcPr>
          <w:p>
            <w:pPr>
              <w:jc w:val="right"/>
              <w:ind w:right="123"/>
              <w:spacing w:after="0"/>
              <w:rPr>
                <w:sz w:val="20"/>
                <w:szCs w:val="20"/>
                <w:color w:val="auto"/>
              </w:rPr>
            </w:pPr>
            <w:r>
              <w:rPr>
                <w:rFonts w:ascii="Arial" w:cs="Arial" w:eastAsia="Arial" w:hAnsi="Arial"/>
                <w:sz w:val="13"/>
                <w:szCs w:val="13"/>
                <w:color w:val="auto"/>
              </w:rPr>
              <w:t>$584.1</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$595.3</w:t>
            </w:r>
          </w:p>
        </w:tc>
        <w:tc>
          <w:tcPr>
            <w:tcW w:w="1140" w:type="dxa"/>
            <w:vAlign w:val="bottom"/>
            <w:gridSpan w:val="2"/>
          </w:tcPr>
          <w:p>
            <w:pPr>
              <w:jc w:val="center"/>
              <w:ind w:left="194"/>
              <w:spacing w:after="0"/>
              <w:rPr>
                <w:sz w:val="20"/>
                <w:szCs w:val="20"/>
                <w:color w:val="auto"/>
              </w:rPr>
            </w:pPr>
            <w:r>
              <w:rPr>
                <w:rFonts w:ascii="Arial" w:cs="Arial" w:eastAsia="Arial" w:hAnsi="Arial"/>
                <w:sz w:val="13"/>
                <w:szCs w:val="13"/>
                <w:color w:val="auto"/>
                <w:w w:val="97"/>
              </w:rPr>
              <w:t>$(11.3)</w:t>
            </w:r>
          </w:p>
        </w:tc>
        <w:tc>
          <w:tcPr>
            <w:tcW w:w="1080" w:type="dxa"/>
            <w:vAlign w:val="bottom"/>
            <w:gridSpan w:val="2"/>
          </w:tcPr>
          <w:p>
            <w:pPr>
              <w:jc w:val="right"/>
              <w:ind w:right="89"/>
              <w:spacing w:after="0"/>
              <w:rPr>
                <w:sz w:val="20"/>
                <w:szCs w:val="20"/>
                <w:color w:val="auto"/>
              </w:rPr>
            </w:pPr>
            <w:r>
              <w:rPr>
                <w:rFonts w:ascii="Arial" w:cs="Arial" w:eastAsia="Arial" w:hAnsi="Arial"/>
                <w:sz w:val="13"/>
                <w:szCs w:val="13"/>
                <w:color w:val="auto"/>
              </w:rPr>
              <w:t>(1.9)%</w:t>
            </w: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Percentage of total revenues</w:t>
            </w:r>
          </w:p>
        </w:tc>
        <w:tc>
          <w:tcPr>
            <w:tcW w:w="660" w:type="dxa"/>
            <w:vAlign w:val="bottom"/>
          </w:tcPr>
          <w:p>
            <w:pPr>
              <w:jc w:val="right"/>
              <w:ind w:right="23"/>
              <w:spacing w:after="0"/>
              <w:rPr>
                <w:sz w:val="20"/>
                <w:szCs w:val="20"/>
                <w:color w:val="auto"/>
              </w:rPr>
            </w:pPr>
            <w:r>
              <w:rPr>
                <w:rFonts w:ascii="Arial" w:cs="Arial" w:eastAsia="Arial" w:hAnsi="Arial"/>
                <w:sz w:val="13"/>
                <w:szCs w:val="13"/>
                <w:color w:val="auto"/>
              </w:rPr>
              <w:t>84.9%</w:t>
            </w:r>
          </w:p>
        </w:tc>
        <w:tc>
          <w:tcPr>
            <w:tcW w:w="960" w:type="dxa"/>
            <w:vAlign w:val="bottom"/>
            <w:gridSpan w:val="2"/>
          </w:tcPr>
          <w:p>
            <w:pPr>
              <w:jc w:val="right"/>
              <w:ind w:right="29"/>
              <w:spacing w:after="0"/>
              <w:rPr>
                <w:sz w:val="20"/>
                <w:szCs w:val="20"/>
                <w:color w:val="auto"/>
              </w:rPr>
            </w:pPr>
            <w:r>
              <w:rPr>
                <w:rFonts w:ascii="Arial" w:cs="Arial" w:eastAsia="Arial" w:hAnsi="Arial"/>
                <w:sz w:val="13"/>
                <w:szCs w:val="13"/>
                <w:color w:val="auto"/>
              </w:rPr>
              <w:t>94.8%</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8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Product revenues decreased from $595.3 million to $584.1 million during fiscal year 2010 when compared to fiscal year 2009. The decrease in product revenues was primarily due to lower product sales of $15.8 million in information assurance products, $14.7 million in consumer broadband products, $11.7 million in mobile broadband satellite communications systems products and $5.1 million in tactical data link products, offset by higher product sales of $13.7 million in enterprise VSAT networks and products, $10.7 million in government satellite communication systems and $9.3 million in antenna systems products.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40" w:type="dxa"/>
            <w:vAlign w:val="bottom"/>
          </w:tcPr>
          <w:p>
            <w:pPr>
              <w:spacing w:after="0"/>
              <w:rPr>
                <w:sz w:val="10"/>
                <w:szCs w:val="10"/>
                <w:color w:val="auto"/>
              </w:rPr>
            </w:pPr>
          </w:p>
        </w:tc>
        <w:tc>
          <w:tcPr>
            <w:tcW w:w="158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140" w:type="dxa"/>
            <w:vAlign w:val="bottom"/>
          </w:tcPr>
          <w:p>
            <w:pPr>
              <w:spacing w:after="0"/>
              <w:rPr>
                <w:sz w:val="7"/>
                <w:szCs w:val="7"/>
                <w:color w:val="auto"/>
              </w:rPr>
            </w:pPr>
          </w:p>
        </w:tc>
        <w:tc>
          <w:tcPr>
            <w:tcW w:w="68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620" w:type="dxa"/>
            <w:vAlign w:val="bottom"/>
          </w:tcPr>
          <w:p>
            <w:pPr>
              <w:jc w:val="right"/>
              <w:ind w:right="89"/>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40" w:type="dxa"/>
            <w:vAlign w:val="bottom"/>
          </w:tcPr>
          <w:p>
            <w:pPr>
              <w:spacing w:after="0"/>
              <w:rPr>
                <w:sz w:val="10"/>
                <w:szCs w:val="10"/>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 except percentages)</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1"/>
        </w:trPr>
        <w:tc>
          <w:tcPr>
            <w:tcW w:w="6140" w:type="dxa"/>
            <w:vAlign w:val="bottom"/>
          </w:tcPr>
          <w:p>
            <w:pPr>
              <w:spacing w:after="0"/>
              <w:rPr>
                <w:sz w:val="20"/>
                <w:szCs w:val="20"/>
                <w:color w:val="auto"/>
              </w:rPr>
            </w:pPr>
            <w:r>
              <w:rPr>
                <w:rFonts w:ascii="Arial" w:cs="Arial" w:eastAsia="Arial" w:hAnsi="Arial"/>
                <w:sz w:val="13"/>
                <w:szCs w:val="13"/>
                <w:color w:val="auto"/>
              </w:rPr>
              <w:t>Service revenues</w:t>
            </w:r>
          </w:p>
        </w:tc>
        <w:tc>
          <w:tcPr>
            <w:tcW w:w="680" w:type="dxa"/>
            <w:vAlign w:val="bottom"/>
          </w:tcPr>
          <w:p>
            <w:pPr>
              <w:jc w:val="right"/>
              <w:ind w:right="123"/>
              <w:spacing w:after="0"/>
              <w:rPr>
                <w:sz w:val="20"/>
                <w:szCs w:val="20"/>
                <w:color w:val="auto"/>
              </w:rPr>
            </w:pPr>
            <w:r>
              <w:rPr>
                <w:rFonts w:ascii="Arial" w:cs="Arial" w:eastAsia="Arial" w:hAnsi="Arial"/>
                <w:sz w:val="13"/>
                <w:szCs w:val="13"/>
                <w:color w:val="auto"/>
              </w:rPr>
              <w:t>$104.0</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$32.8</w:t>
            </w:r>
          </w:p>
        </w:tc>
        <w:tc>
          <w:tcPr>
            <w:tcW w:w="1100" w:type="dxa"/>
            <w:vAlign w:val="bottom"/>
            <w:gridSpan w:val="2"/>
          </w:tcPr>
          <w:p>
            <w:pPr>
              <w:jc w:val="right"/>
              <w:ind w:right="229"/>
              <w:spacing w:after="0"/>
              <w:rPr>
                <w:sz w:val="20"/>
                <w:szCs w:val="20"/>
                <w:color w:val="auto"/>
              </w:rPr>
            </w:pPr>
            <w:r>
              <w:rPr>
                <w:rFonts w:ascii="Arial" w:cs="Arial" w:eastAsia="Arial" w:hAnsi="Arial"/>
                <w:sz w:val="13"/>
                <w:szCs w:val="13"/>
                <w:color w:val="auto"/>
              </w:rPr>
              <w:t>$71.2</w:t>
            </w:r>
          </w:p>
        </w:tc>
        <w:tc>
          <w:tcPr>
            <w:tcW w:w="1160" w:type="dxa"/>
            <w:vAlign w:val="bottom"/>
            <w:gridSpan w:val="2"/>
          </w:tcPr>
          <w:p>
            <w:pPr>
              <w:jc w:val="right"/>
              <w:ind w:right="129"/>
              <w:spacing w:after="0"/>
              <w:rPr>
                <w:sz w:val="20"/>
                <w:szCs w:val="20"/>
                <w:color w:val="auto"/>
              </w:rPr>
            </w:pPr>
            <w:r>
              <w:rPr>
                <w:rFonts w:ascii="Arial" w:cs="Arial" w:eastAsia="Arial" w:hAnsi="Arial"/>
                <w:sz w:val="13"/>
                <w:szCs w:val="13"/>
                <w:color w:val="auto"/>
              </w:rPr>
              <w:t>216.7%</w:t>
            </w: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Percentage of total revenues</w:t>
            </w:r>
          </w:p>
        </w:tc>
        <w:tc>
          <w:tcPr>
            <w:tcW w:w="680" w:type="dxa"/>
            <w:vAlign w:val="bottom"/>
          </w:tcPr>
          <w:p>
            <w:pPr>
              <w:jc w:val="right"/>
              <w:ind w:right="23"/>
              <w:spacing w:after="0"/>
              <w:rPr>
                <w:sz w:val="20"/>
                <w:szCs w:val="20"/>
                <w:color w:val="auto"/>
              </w:rPr>
            </w:pPr>
            <w:r>
              <w:rPr>
                <w:rFonts w:ascii="Arial" w:cs="Arial" w:eastAsia="Arial" w:hAnsi="Arial"/>
                <w:sz w:val="13"/>
                <w:szCs w:val="13"/>
                <w:color w:val="auto"/>
              </w:rPr>
              <w:t>15.1%</w:t>
            </w:r>
          </w:p>
        </w:tc>
        <w:tc>
          <w:tcPr>
            <w:tcW w:w="900" w:type="dxa"/>
            <w:vAlign w:val="bottom"/>
            <w:gridSpan w:val="2"/>
          </w:tcPr>
          <w:p>
            <w:pPr>
              <w:jc w:val="right"/>
              <w:ind w:right="29"/>
              <w:spacing w:after="0"/>
              <w:rPr>
                <w:sz w:val="20"/>
                <w:szCs w:val="20"/>
                <w:color w:val="auto"/>
              </w:rPr>
            </w:pPr>
            <w:r>
              <w:rPr>
                <w:rFonts w:ascii="Arial" w:cs="Arial" w:eastAsia="Arial" w:hAnsi="Arial"/>
                <w:sz w:val="13"/>
                <w:szCs w:val="13"/>
                <w:color w:val="auto"/>
              </w:rPr>
              <w:t>5.2%</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81"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Service revenues increased from $32.8 million to $104.0 million during fiscal year 2010 when compared to fiscal year 2009 primarily due to the acquisition of WildBlue in December 2009, which contributed $62.5 million of service revenues in fiscal year 2010. The remainder of the service revenue increase was primarily driven by growth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our mobile broadband service revenues and approximately $5.2 million from our government satellite communication systems service sales.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product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40" w:type="dxa"/>
            <w:vAlign w:val="bottom"/>
          </w:tcPr>
          <w:p>
            <w:pPr>
              <w:spacing w:after="0"/>
              <w:rPr>
                <w:sz w:val="10"/>
                <w:szCs w:val="10"/>
                <w:color w:val="auto"/>
              </w:rPr>
            </w:pPr>
          </w:p>
        </w:tc>
        <w:tc>
          <w:tcPr>
            <w:tcW w:w="162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140" w:type="dxa"/>
            <w:vAlign w:val="bottom"/>
          </w:tcPr>
          <w:p>
            <w:pPr>
              <w:spacing w:after="0"/>
              <w:rPr>
                <w:sz w:val="7"/>
                <w:szCs w:val="7"/>
                <w:color w:val="auto"/>
              </w:rPr>
            </w:pPr>
          </w:p>
        </w:tc>
        <w:tc>
          <w:tcPr>
            <w:tcW w:w="66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680" w:type="dxa"/>
            <w:vAlign w:val="bottom"/>
          </w:tcPr>
          <w:p>
            <w:pPr>
              <w:jc w:val="right"/>
              <w:ind w:right="129"/>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40" w:type="dxa"/>
            <w:vAlign w:val="bottom"/>
          </w:tcPr>
          <w:p>
            <w:pPr>
              <w:spacing w:after="0"/>
              <w:rPr>
                <w:sz w:val="10"/>
                <w:szCs w:val="10"/>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3"/>
          </w:tcPr>
          <w:p>
            <w:pPr>
              <w:ind w:left="260"/>
              <w:spacing w:after="0"/>
              <w:rPr>
                <w:sz w:val="20"/>
                <w:szCs w:val="20"/>
                <w:color w:val="auto"/>
              </w:rPr>
            </w:pPr>
            <w:r>
              <w:rPr>
                <w:rFonts w:ascii="Arial" w:cs="Arial" w:eastAsia="Arial" w:hAnsi="Arial"/>
                <w:sz w:val="10"/>
                <w:szCs w:val="10"/>
                <w:b w:val="1"/>
                <w:bCs w:val="1"/>
                <w:color w:val="auto"/>
                <w:w w:val="99"/>
              </w:rPr>
              <w:t>(In millions, except percentages)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1"/>
        </w:trPr>
        <w:tc>
          <w:tcPr>
            <w:tcW w:w="6140" w:type="dxa"/>
            <w:vAlign w:val="bottom"/>
          </w:tcPr>
          <w:p>
            <w:pPr>
              <w:spacing w:after="0"/>
              <w:rPr>
                <w:sz w:val="20"/>
                <w:szCs w:val="20"/>
                <w:color w:val="auto"/>
              </w:rPr>
            </w:pPr>
            <w:r>
              <w:rPr>
                <w:rFonts w:ascii="Arial" w:cs="Arial" w:eastAsia="Arial" w:hAnsi="Arial"/>
                <w:sz w:val="13"/>
                <w:szCs w:val="13"/>
                <w:color w:val="auto"/>
              </w:rPr>
              <w:t>Cost of product revenues</w:t>
            </w:r>
          </w:p>
        </w:tc>
        <w:tc>
          <w:tcPr>
            <w:tcW w:w="660" w:type="dxa"/>
            <w:vAlign w:val="bottom"/>
          </w:tcPr>
          <w:p>
            <w:pPr>
              <w:jc w:val="right"/>
              <w:ind w:right="123"/>
              <w:spacing w:after="0"/>
              <w:rPr>
                <w:sz w:val="20"/>
                <w:szCs w:val="20"/>
                <w:color w:val="auto"/>
              </w:rPr>
            </w:pPr>
            <w:r>
              <w:rPr>
                <w:rFonts w:ascii="Arial" w:cs="Arial" w:eastAsia="Arial" w:hAnsi="Arial"/>
                <w:sz w:val="13"/>
                <w:szCs w:val="13"/>
                <w:color w:val="auto"/>
              </w:rPr>
              <w:t>$408.5</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$424.6</w:t>
            </w:r>
          </w:p>
        </w:tc>
        <w:tc>
          <w:tcPr>
            <w:tcW w:w="1140" w:type="dxa"/>
            <w:vAlign w:val="bottom"/>
            <w:gridSpan w:val="2"/>
          </w:tcPr>
          <w:p>
            <w:pPr>
              <w:jc w:val="center"/>
              <w:ind w:left="194"/>
              <w:spacing w:after="0"/>
              <w:rPr>
                <w:sz w:val="20"/>
                <w:szCs w:val="20"/>
                <w:color w:val="auto"/>
              </w:rPr>
            </w:pPr>
            <w:r>
              <w:rPr>
                <w:rFonts w:ascii="Arial" w:cs="Arial" w:eastAsia="Arial" w:hAnsi="Arial"/>
                <w:sz w:val="13"/>
                <w:szCs w:val="13"/>
                <w:color w:val="auto"/>
                <w:w w:val="97"/>
              </w:rPr>
              <w:t>$(16.1)</w:t>
            </w:r>
          </w:p>
        </w:tc>
        <w:tc>
          <w:tcPr>
            <w:tcW w:w="1080" w:type="dxa"/>
            <w:vAlign w:val="bottom"/>
            <w:gridSpan w:val="2"/>
          </w:tcPr>
          <w:p>
            <w:pPr>
              <w:jc w:val="right"/>
              <w:ind w:right="89"/>
              <w:spacing w:after="0"/>
              <w:rPr>
                <w:sz w:val="20"/>
                <w:szCs w:val="20"/>
                <w:color w:val="auto"/>
              </w:rPr>
            </w:pPr>
            <w:r>
              <w:rPr>
                <w:rFonts w:ascii="Arial" w:cs="Arial" w:eastAsia="Arial" w:hAnsi="Arial"/>
                <w:sz w:val="13"/>
                <w:szCs w:val="13"/>
                <w:color w:val="auto"/>
              </w:rPr>
              <w:t>(3.8)%</w:t>
            </w: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Percentage of product revenues</w:t>
            </w:r>
          </w:p>
        </w:tc>
        <w:tc>
          <w:tcPr>
            <w:tcW w:w="660" w:type="dxa"/>
            <w:vAlign w:val="bottom"/>
          </w:tcPr>
          <w:p>
            <w:pPr>
              <w:jc w:val="right"/>
              <w:ind w:right="23"/>
              <w:spacing w:after="0"/>
              <w:rPr>
                <w:sz w:val="20"/>
                <w:szCs w:val="20"/>
                <w:color w:val="auto"/>
              </w:rPr>
            </w:pPr>
            <w:r>
              <w:rPr>
                <w:rFonts w:ascii="Arial" w:cs="Arial" w:eastAsia="Arial" w:hAnsi="Arial"/>
                <w:sz w:val="13"/>
                <w:szCs w:val="13"/>
                <w:color w:val="auto"/>
              </w:rPr>
              <w:t>69.9%</w:t>
            </w:r>
          </w:p>
        </w:tc>
        <w:tc>
          <w:tcPr>
            <w:tcW w:w="960" w:type="dxa"/>
            <w:vAlign w:val="bottom"/>
            <w:gridSpan w:val="2"/>
          </w:tcPr>
          <w:p>
            <w:pPr>
              <w:jc w:val="right"/>
              <w:ind w:right="29"/>
              <w:spacing w:after="0"/>
              <w:rPr>
                <w:sz w:val="20"/>
                <w:szCs w:val="20"/>
                <w:color w:val="auto"/>
              </w:rPr>
            </w:pPr>
            <w:r>
              <w:rPr>
                <w:rFonts w:ascii="Arial" w:cs="Arial" w:eastAsia="Arial" w:hAnsi="Arial"/>
                <w:sz w:val="13"/>
                <w:szCs w:val="13"/>
                <w:color w:val="auto"/>
              </w:rPr>
              <w:t>71.3%</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8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cost of product revenues decreased from $424.6 million to $408.5 million during fiscal year 2010 when compared to fiscal year 2009 primarily due to the decreased product revenues, which caused a decrease of approximately $8.0 million in cost of product revenues. We also experienced improved product margins resulting in a further decrease in cost of product revenues of approximately $8.1 million. This improvement in margin was primarily due to product cost reductions in information assurance products, consumer broadband programs and enterprise VSAT networks in fiscal year 2010 compared to fiscal year 2009.</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service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52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0"/>
                <w:szCs w:val="10"/>
                <w:b w:val="1"/>
                <w:bCs w:val="1"/>
                <w:color w:val="auto"/>
              </w:rPr>
              <w:t>Fiscal Years Ended</w:t>
            </w:r>
          </w:p>
        </w:tc>
        <w:tc>
          <w:tcPr>
            <w:tcW w:w="2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8"/>
              </w:rPr>
              <w:t>Dollar</w:t>
            </w: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200" w:type="dxa"/>
            <w:vAlign w:val="bottom"/>
          </w:tcPr>
          <w:p>
            <w:pPr>
              <w:spacing w:after="0"/>
              <w:rPr>
                <w:sz w:val="7"/>
                <w:szCs w:val="7"/>
                <w:color w:val="auto"/>
              </w:rPr>
            </w:pPr>
          </w:p>
        </w:tc>
        <w:tc>
          <w:tcPr>
            <w:tcW w:w="620" w:type="dxa"/>
            <w:vAlign w:val="bottom"/>
          </w:tcPr>
          <w:p>
            <w:pPr>
              <w:jc w:val="right"/>
              <w:ind w:right="83"/>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620" w:type="dxa"/>
            <w:vAlign w:val="bottom"/>
          </w:tcPr>
          <w:p>
            <w:pPr>
              <w:jc w:val="right"/>
              <w:ind w:right="109"/>
              <w:spacing w:after="0" w:line="81" w:lineRule="exact"/>
              <w:rPr>
                <w:sz w:val="20"/>
                <w:szCs w:val="20"/>
                <w:color w:val="auto"/>
              </w:rPr>
            </w:pPr>
            <w:r>
              <w:rPr>
                <w:rFonts w:ascii="Arial" w:cs="Arial" w:eastAsia="Arial" w:hAnsi="Arial"/>
                <w:sz w:val="9"/>
                <w:szCs w:val="9"/>
                <w:b w:val="1"/>
                <w:bCs w:val="1"/>
                <w:color w:val="auto"/>
              </w:rPr>
              <w:t>April 3,</w:t>
            </w:r>
          </w:p>
        </w:tc>
        <w:tc>
          <w:tcPr>
            <w:tcW w:w="260" w:type="dxa"/>
            <w:vAlign w:val="bottom"/>
          </w:tcPr>
          <w:p>
            <w:pPr>
              <w:spacing w:after="0"/>
              <w:rPr>
                <w:sz w:val="7"/>
                <w:szCs w:val="7"/>
                <w:color w:val="auto"/>
              </w:rPr>
            </w:pPr>
          </w:p>
        </w:tc>
        <w:tc>
          <w:tcPr>
            <w:tcW w:w="8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00" w:type="dxa"/>
            <w:vAlign w:val="bottom"/>
          </w:tcPr>
          <w:p>
            <w:pPr>
              <w:spacing w:after="0"/>
              <w:rPr>
                <w:sz w:val="10"/>
                <w:szCs w:val="10"/>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8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 except percentages)</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1"/>
        </w:trPr>
        <w:tc>
          <w:tcPr>
            <w:tcW w:w="6200" w:type="dxa"/>
            <w:vAlign w:val="bottom"/>
          </w:tcPr>
          <w:p>
            <w:pPr>
              <w:spacing w:after="0"/>
              <w:rPr>
                <w:sz w:val="20"/>
                <w:szCs w:val="20"/>
                <w:color w:val="auto"/>
              </w:rPr>
            </w:pPr>
            <w:r>
              <w:rPr>
                <w:rFonts w:ascii="Arial" w:cs="Arial" w:eastAsia="Arial" w:hAnsi="Arial"/>
                <w:sz w:val="13"/>
                <w:szCs w:val="13"/>
                <w:color w:val="auto"/>
              </w:rPr>
              <w:t>Cost of service revenues</w:t>
            </w:r>
          </w:p>
        </w:tc>
        <w:tc>
          <w:tcPr>
            <w:tcW w:w="620" w:type="dxa"/>
            <w:vAlign w:val="bottom"/>
          </w:tcPr>
          <w:p>
            <w:pPr>
              <w:jc w:val="right"/>
              <w:ind w:right="143"/>
              <w:spacing w:after="0"/>
              <w:rPr>
                <w:sz w:val="20"/>
                <w:szCs w:val="20"/>
                <w:color w:val="auto"/>
              </w:rPr>
            </w:pPr>
            <w:r>
              <w:rPr>
                <w:rFonts w:ascii="Arial" w:cs="Arial" w:eastAsia="Arial" w:hAnsi="Arial"/>
                <w:sz w:val="13"/>
                <w:szCs w:val="13"/>
                <w:color w:val="auto"/>
              </w:rPr>
              <w:t>$66.8</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$22.2</w:t>
            </w:r>
          </w:p>
        </w:tc>
        <w:tc>
          <w:tcPr>
            <w:tcW w:w="1100" w:type="dxa"/>
            <w:vAlign w:val="bottom"/>
            <w:gridSpan w:val="2"/>
          </w:tcPr>
          <w:p>
            <w:pPr>
              <w:jc w:val="right"/>
              <w:ind w:right="249"/>
              <w:spacing w:after="0"/>
              <w:rPr>
                <w:sz w:val="20"/>
                <w:szCs w:val="20"/>
                <w:color w:val="auto"/>
              </w:rPr>
            </w:pPr>
            <w:r>
              <w:rPr>
                <w:rFonts w:ascii="Arial" w:cs="Arial" w:eastAsia="Arial" w:hAnsi="Arial"/>
                <w:sz w:val="13"/>
                <w:szCs w:val="13"/>
                <w:color w:val="auto"/>
              </w:rPr>
              <w:t>$44.6</w:t>
            </w:r>
          </w:p>
        </w:tc>
        <w:tc>
          <w:tcPr>
            <w:tcW w:w="1160" w:type="dxa"/>
            <w:vAlign w:val="bottom"/>
            <w:gridSpan w:val="2"/>
          </w:tcPr>
          <w:p>
            <w:pPr>
              <w:jc w:val="right"/>
              <w:ind w:right="129"/>
              <w:spacing w:after="0"/>
              <w:rPr>
                <w:sz w:val="20"/>
                <w:szCs w:val="20"/>
                <w:color w:val="auto"/>
              </w:rPr>
            </w:pPr>
            <w:r>
              <w:rPr>
                <w:rFonts w:ascii="Arial" w:cs="Arial" w:eastAsia="Arial" w:hAnsi="Arial"/>
                <w:sz w:val="13"/>
                <w:szCs w:val="13"/>
                <w:color w:val="auto"/>
              </w:rPr>
              <w:t>201.0%</w:t>
            </w:r>
          </w:p>
        </w:tc>
      </w:tr>
      <w:tr>
        <w:trPr>
          <w:trHeight w:val="165"/>
        </w:trPr>
        <w:tc>
          <w:tcPr>
            <w:tcW w:w="6200" w:type="dxa"/>
            <w:vAlign w:val="bottom"/>
          </w:tcPr>
          <w:p>
            <w:pPr>
              <w:spacing w:after="0"/>
              <w:rPr>
                <w:sz w:val="20"/>
                <w:szCs w:val="20"/>
                <w:color w:val="auto"/>
              </w:rPr>
            </w:pPr>
            <w:r>
              <w:rPr>
                <w:rFonts w:ascii="Arial" w:cs="Arial" w:eastAsia="Arial" w:hAnsi="Arial"/>
                <w:sz w:val="13"/>
                <w:szCs w:val="13"/>
                <w:color w:val="auto"/>
              </w:rPr>
              <w:t>Percentage of service revenues</w:t>
            </w:r>
          </w:p>
        </w:tc>
        <w:tc>
          <w:tcPr>
            <w:tcW w:w="620" w:type="dxa"/>
            <w:vAlign w:val="bottom"/>
          </w:tcPr>
          <w:p>
            <w:pPr>
              <w:jc w:val="right"/>
              <w:ind w:right="23"/>
              <w:spacing w:after="0"/>
              <w:rPr>
                <w:sz w:val="20"/>
                <w:szCs w:val="20"/>
                <w:color w:val="auto"/>
              </w:rPr>
            </w:pPr>
            <w:r>
              <w:rPr>
                <w:rFonts w:ascii="Arial" w:cs="Arial" w:eastAsia="Arial" w:hAnsi="Arial"/>
                <w:sz w:val="13"/>
                <w:szCs w:val="13"/>
                <w:color w:val="auto"/>
              </w:rPr>
              <w:t>64.3%</w:t>
            </w:r>
          </w:p>
        </w:tc>
        <w:tc>
          <w:tcPr>
            <w:tcW w:w="900" w:type="dxa"/>
            <w:vAlign w:val="bottom"/>
            <w:gridSpan w:val="2"/>
          </w:tcPr>
          <w:p>
            <w:pPr>
              <w:jc w:val="right"/>
              <w:ind w:right="49"/>
              <w:spacing w:after="0"/>
              <w:rPr>
                <w:sz w:val="20"/>
                <w:szCs w:val="20"/>
                <w:color w:val="auto"/>
              </w:rPr>
            </w:pPr>
            <w:r>
              <w:rPr>
                <w:rFonts w:ascii="Arial" w:cs="Arial" w:eastAsia="Arial" w:hAnsi="Arial"/>
                <w:sz w:val="13"/>
                <w:szCs w:val="13"/>
                <w:color w:val="auto"/>
              </w:rPr>
              <w:t>67.6%</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8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cost of service revenues increased from $22.2 million to $66.8 million during fiscal year 2010 when compared to fiscal year 2009 primarily due to the service revenue increase from the acquisition of WildBlue in December 2009. The remainder of the increase in cost of service revenues was primarily driven by service revenue increases from our mobile broadband services and our government satellite communication systems services.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 expenses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58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200" w:type="dxa"/>
            <w:vAlign w:val="bottom"/>
          </w:tcPr>
          <w:p>
            <w:pPr>
              <w:spacing w:after="0"/>
              <w:rPr>
                <w:sz w:val="7"/>
                <w:szCs w:val="7"/>
                <w:color w:val="auto"/>
              </w:rPr>
            </w:pPr>
          </w:p>
        </w:tc>
        <w:tc>
          <w:tcPr>
            <w:tcW w:w="680" w:type="dxa"/>
            <w:vAlign w:val="bottom"/>
          </w:tcPr>
          <w:p>
            <w:pPr>
              <w:jc w:val="right"/>
              <w:ind w:right="103"/>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620" w:type="dxa"/>
            <w:vAlign w:val="bottom"/>
          </w:tcPr>
          <w:p>
            <w:pPr>
              <w:jc w:val="right"/>
              <w:ind w:right="89"/>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00" w:type="dxa"/>
            <w:vAlign w:val="bottom"/>
          </w:tcPr>
          <w:p>
            <w:pPr>
              <w:spacing w:after="0"/>
              <w:rPr>
                <w:sz w:val="10"/>
                <w:szCs w:val="10"/>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rPr>
              <w:t>(In millions, except percentages)</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61"/>
        </w:trPr>
        <w:tc>
          <w:tcPr>
            <w:tcW w:w="62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680" w:type="dxa"/>
            <w:vAlign w:val="bottom"/>
          </w:tcPr>
          <w:p>
            <w:pPr>
              <w:jc w:val="right"/>
              <w:ind w:right="123"/>
              <w:spacing w:after="0"/>
              <w:rPr>
                <w:sz w:val="20"/>
                <w:szCs w:val="20"/>
                <w:color w:val="auto"/>
              </w:rPr>
            </w:pPr>
            <w:r>
              <w:rPr>
                <w:rFonts w:ascii="Arial" w:cs="Arial" w:eastAsia="Arial" w:hAnsi="Arial"/>
                <w:sz w:val="13"/>
                <w:szCs w:val="13"/>
                <w:color w:val="auto"/>
              </w:rPr>
              <w:t>$132.9</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$98.6</w:t>
            </w:r>
          </w:p>
        </w:tc>
        <w:tc>
          <w:tcPr>
            <w:tcW w:w="1100" w:type="dxa"/>
            <w:vAlign w:val="bottom"/>
            <w:gridSpan w:val="2"/>
          </w:tcPr>
          <w:p>
            <w:pPr>
              <w:jc w:val="right"/>
              <w:ind w:right="249"/>
              <w:spacing w:after="0"/>
              <w:rPr>
                <w:sz w:val="20"/>
                <w:szCs w:val="20"/>
                <w:color w:val="auto"/>
              </w:rPr>
            </w:pPr>
            <w:r>
              <w:rPr>
                <w:rFonts w:ascii="Arial" w:cs="Arial" w:eastAsia="Arial" w:hAnsi="Arial"/>
                <w:sz w:val="13"/>
                <w:szCs w:val="13"/>
                <w:color w:val="auto"/>
              </w:rPr>
              <w:t>$34.3</w:t>
            </w:r>
          </w:p>
        </w:tc>
        <w:tc>
          <w:tcPr>
            <w:tcW w:w="1100" w:type="dxa"/>
            <w:vAlign w:val="bottom"/>
            <w:gridSpan w:val="2"/>
          </w:tcPr>
          <w:p>
            <w:pPr>
              <w:jc w:val="right"/>
              <w:ind w:right="129"/>
              <w:spacing w:after="0"/>
              <w:rPr>
                <w:sz w:val="20"/>
                <w:szCs w:val="20"/>
                <w:color w:val="auto"/>
              </w:rPr>
            </w:pPr>
            <w:r>
              <w:rPr>
                <w:rFonts w:ascii="Arial" w:cs="Arial" w:eastAsia="Arial" w:hAnsi="Arial"/>
                <w:sz w:val="13"/>
                <w:szCs w:val="13"/>
                <w:color w:val="auto"/>
              </w:rPr>
              <w:t>34.7%</w:t>
            </w:r>
          </w:p>
        </w:tc>
      </w:tr>
      <w:tr>
        <w:trPr>
          <w:trHeight w:val="165"/>
        </w:trPr>
        <w:tc>
          <w:tcPr>
            <w:tcW w:w="6200" w:type="dxa"/>
            <w:vAlign w:val="bottom"/>
          </w:tcPr>
          <w:p>
            <w:pPr>
              <w:spacing w:after="0"/>
              <w:rPr>
                <w:sz w:val="20"/>
                <w:szCs w:val="20"/>
                <w:color w:val="auto"/>
              </w:rPr>
            </w:pPr>
            <w:r>
              <w:rPr>
                <w:rFonts w:ascii="Arial" w:cs="Arial" w:eastAsia="Arial" w:hAnsi="Arial"/>
                <w:sz w:val="13"/>
                <w:szCs w:val="13"/>
                <w:color w:val="auto"/>
              </w:rPr>
              <w:t>Percentage of total revenues</w:t>
            </w:r>
          </w:p>
        </w:tc>
        <w:tc>
          <w:tcPr>
            <w:tcW w:w="680" w:type="dxa"/>
            <w:vAlign w:val="bottom"/>
          </w:tcPr>
          <w:p>
            <w:pPr>
              <w:jc w:val="right"/>
              <w:ind w:right="23"/>
              <w:spacing w:after="0"/>
              <w:rPr>
                <w:sz w:val="20"/>
                <w:szCs w:val="20"/>
                <w:color w:val="auto"/>
              </w:rPr>
            </w:pPr>
            <w:r>
              <w:rPr>
                <w:rFonts w:ascii="Arial" w:cs="Arial" w:eastAsia="Arial" w:hAnsi="Arial"/>
                <w:sz w:val="13"/>
                <w:szCs w:val="13"/>
                <w:color w:val="auto"/>
              </w:rPr>
              <w:t>19.3%</w:t>
            </w:r>
          </w:p>
        </w:tc>
        <w:tc>
          <w:tcPr>
            <w:tcW w:w="900" w:type="dxa"/>
            <w:vAlign w:val="bottom"/>
            <w:gridSpan w:val="2"/>
          </w:tcPr>
          <w:p>
            <w:pPr>
              <w:jc w:val="right"/>
              <w:ind w:right="29"/>
              <w:spacing w:after="0"/>
              <w:rPr>
                <w:sz w:val="20"/>
                <w:szCs w:val="20"/>
                <w:color w:val="auto"/>
              </w:rPr>
            </w:pPr>
            <w:r>
              <w:rPr>
                <w:rFonts w:ascii="Arial" w:cs="Arial" w:eastAsia="Arial" w:hAnsi="Arial"/>
                <w:sz w:val="13"/>
                <w:szCs w:val="13"/>
                <w:color w:val="auto"/>
              </w:rPr>
              <w:t>15.7%</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81"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increase in SG&amp;A expenses of $34.3 million during fiscal year 2010 compared to fiscal year 2009 was primarily attributable to $21.0 million in SG&amp;A attributable to WildBlue since the date of acquisition (of which $2.7 million related to certain post-acquisition charges recorded for restructuring cost related to terminated employees), $8.7 million in transaction-related expenses incurred in connection with the WildBlue acquisition and approximately $3.8 million in new business proposal costs for new contract awards. SG&amp;A expenses consist primarily of personnel costs and expenses for business development, marketing and sales, bid and proposal, facilities, finance, contract administration and general management.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Independent research and development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60" w:type="dxa"/>
            <w:vAlign w:val="bottom"/>
          </w:tcPr>
          <w:p>
            <w:pPr>
              <w:spacing w:after="0"/>
              <w:rPr>
                <w:sz w:val="10"/>
                <w:szCs w:val="10"/>
                <w:color w:val="auto"/>
              </w:rPr>
            </w:pPr>
          </w:p>
        </w:tc>
        <w:tc>
          <w:tcPr>
            <w:tcW w:w="154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260" w:type="dxa"/>
            <w:vAlign w:val="bottom"/>
          </w:tcPr>
          <w:p>
            <w:pPr>
              <w:spacing w:after="0"/>
              <w:rPr>
                <w:sz w:val="7"/>
                <w:szCs w:val="7"/>
                <w:color w:val="auto"/>
              </w:rPr>
            </w:pPr>
          </w:p>
        </w:tc>
        <w:tc>
          <w:tcPr>
            <w:tcW w:w="620" w:type="dxa"/>
            <w:vAlign w:val="bottom"/>
          </w:tcPr>
          <w:p>
            <w:pPr>
              <w:jc w:val="right"/>
              <w:ind w:right="83"/>
              <w:spacing w:after="0" w:line="81" w:lineRule="exact"/>
              <w:rPr>
                <w:sz w:val="20"/>
                <w:szCs w:val="20"/>
                <w:color w:val="auto"/>
              </w:rPr>
            </w:pPr>
            <w:r>
              <w:rPr>
                <w:rFonts w:ascii="Arial" w:cs="Arial" w:eastAsia="Arial" w:hAnsi="Arial"/>
                <w:sz w:val="9"/>
                <w:szCs w:val="9"/>
                <w:b w:val="1"/>
                <w:bCs w:val="1"/>
                <w:color w:val="auto"/>
              </w:rPr>
              <w:t>April 2,</w:t>
            </w:r>
          </w:p>
        </w:tc>
        <w:tc>
          <w:tcPr>
            <w:tcW w:w="300" w:type="dxa"/>
            <w:vAlign w:val="bottom"/>
          </w:tcPr>
          <w:p>
            <w:pPr>
              <w:spacing w:after="0"/>
              <w:rPr>
                <w:sz w:val="7"/>
                <w:szCs w:val="7"/>
                <w:color w:val="auto"/>
              </w:rPr>
            </w:pPr>
          </w:p>
        </w:tc>
        <w:tc>
          <w:tcPr>
            <w:tcW w:w="620" w:type="dxa"/>
            <w:vAlign w:val="bottom"/>
          </w:tcPr>
          <w:p>
            <w:pPr>
              <w:jc w:val="right"/>
              <w:ind w:right="109"/>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60" w:type="dxa"/>
            <w:vAlign w:val="bottom"/>
          </w:tcPr>
          <w:p>
            <w:pPr>
              <w:spacing w:after="0"/>
              <w:rPr>
                <w:sz w:val="10"/>
                <w:szCs w:val="10"/>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10"/>
                <w:szCs w:val="10"/>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gridSpan w:val="3"/>
          </w:tcPr>
          <w:p>
            <w:pPr>
              <w:ind w:left="220"/>
              <w:spacing w:after="0"/>
              <w:rPr>
                <w:sz w:val="20"/>
                <w:szCs w:val="20"/>
                <w:color w:val="auto"/>
              </w:rPr>
            </w:pPr>
            <w:r>
              <w:rPr>
                <w:rFonts w:ascii="Arial" w:cs="Arial" w:eastAsia="Arial" w:hAnsi="Arial"/>
                <w:sz w:val="10"/>
                <w:szCs w:val="10"/>
                <w:b w:val="1"/>
                <w:bCs w:val="1"/>
                <w:color w:val="auto"/>
                <w:w w:val="95"/>
              </w:rPr>
              <w:t>(In millions, except percentages)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Independent research and development</w:t>
            </w:r>
          </w:p>
        </w:tc>
        <w:tc>
          <w:tcPr>
            <w:tcW w:w="620" w:type="dxa"/>
            <w:vAlign w:val="bottom"/>
          </w:tcPr>
          <w:p>
            <w:pPr>
              <w:jc w:val="right"/>
              <w:ind w:right="123"/>
              <w:spacing w:after="0"/>
              <w:rPr>
                <w:sz w:val="20"/>
                <w:szCs w:val="20"/>
                <w:color w:val="auto"/>
              </w:rPr>
            </w:pPr>
            <w:r>
              <w:rPr>
                <w:rFonts w:ascii="Arial" w:cs="Arial" w:eastAsia="Arial" w:hAnsi="Arial"/>
                <w:sz w:val="13"/>
                <w:szCs w:val="13"/>
                <w:color w:val="auto"/>
              </w:rPr>
              <w:t>$27.3</w:t>
            </w:r>
          </w:p>
        </w:tc>
        <w:tc>
          <w:tcPr>
            <w:tcW w:w="920" w:type="dxa"/>
            <w:vAlign w:val="bottom"/>
            <w:gridSpan w:val="2"/>
          </w:tcPr>
          <w:p>
            <w:pPr>
              <w:jc w:val="right"/>
              <w:ind w:right="149"/>
              <w:spacing w:after="0"/>
              <w:rPr>
                <w:sz w:val="20"/>
                <w:szCs w:val="20"/>
                <w:color w:val="auto"/>
              </w:rPr>
            </w:pPr>
            <w:r>
              <w:rPr>
                <w:rFonts w:ascii="Arial" w:cs="Arial" w:eastAsia="Arial" w:hAnsi="Arial"/>
                <w:sz w:val="13"/>
                <w:szCs w:val="13"/>
                <w:color w:val="auto"/>
              </w:rPr>
              <w:t>$29.6</w:t>
            </w:r>
          </w:p>
        </w:tc>
        <w:tc>
          <w:tcPr>
            <w:tcW w:w="1100" w:type="dxa"/>
            <w:vAlign w:val="bottom"/>
            <w:gridSpan w:val="2"/>
          </w:tcPr>
          <w:p>
            <w:pPr>
              <w:jc w:val="center"/>
              <w:ind w:left="194"/>
              <w:spacing w:after="0"/>
              <w:rPr>
                <w:sz w:val="20"/>
                <w:szCs w:val="20"/>
                <w:color w:val="auto"/>
              </w:rPr>
            </w:pPr>
            <w:r>
              <w:rPr>
                <w:rFonts w:ascii="Arial" w:cs="Arial" w:eastAsia="Arial" w:hAnsi="Arial"/>
                <w:sz w:val="13"/>
                <w:szCs w:val="13"/>
                <w:color w:val="auto"/>
                <w:w w:val="94"/>
              </w:rPr>
              <w:t>$(2.3)</w:t>
            </w:r>
          </w:p>
        </w:tc>
        <w:tc>
          <w:tcPr>
            <w:tcW w:w="1080" w:type="dxa"/>
            <w:vAlign w:val="bottom"/>
            <w:gridSpan w:val="2"/>
          </w:tcPr>
          <w:p>
            <w:pPr>
              <w:jc w:val="right"/>
              <w:ind w:right="89"/>
              <w:spacing w:after="0"/>
              <w:rPr>
                <w:sz w:val="20"/>
                <w:szCs w:val="20"/>
                <w:color w:val="auto"/>
              </w:rPr>
            </w:pPr>
            <w:r>
              <w:rPr>
                <w:rFonts w:ascii="Arial" w:cs="Arial" w:eastAsia="Arial" w:hAnsi="Arial"/>
                <w:sz w:val="13"/>
                <w:szCs w:val="13"/>
                <w:color w:val="auto"/>
              </w:rPr>
              <w:t>(7.8)%</w:t>
            </w:r>
          </w:p>
        </w:tc>
      </w:tr>
      <w:tr>
        <w:trPr>
          <w:trHeight w:val="165"/>
        </w:trPr>
        <w:tc>
          <w:tcPr>
            <w:tcW w:w="6260" w:type="dxa"/>
            <w:vAlign w:val="bottom"/>
          </w:tcPr>
          <w:p>
            <w:pPr>
              <w:spacing w:after="0"/>
              <w:rPr>
                <w:sz w:val="20"/>
                <w:szCs w:val="20"/>
                <w:color w:val="auto"/>
              </w:rPr>
            </w:pPr>
            <w:r>
              <w:rPr>
                <w:rFonts w:ascii="Arial" w:cs="Arial" w:eastAsia="Arial" w:hAnsi="Arial"/>
                <w:sz w:val="13"/>
                <w:szCs w:val="13"/>
                <w:color w:val="auto"/>
              </w:rPr>
              <w:t>Percentage of total revenues</w:t>
            </w:r>
          </w:p>
        </w:tc>
        <w:tc>
          <w:tcPr>
            <w:tcW w:w="620" w:type="dxa"/>
            <w:vAlign w:val="bottom"/>
          </w:tcPr>
          <w:p>
            <w:pPr>
              <w:jc w:val="right"/>
              <w:ind w:right="23"/>
              <w:spacing w:after="0"/>
              <w:rPr>
                <w:sz w:val="20"/>
                <w:szCs w:val="20"/>
                <w:color w:val="auto"/>
              </w:rPr>
            </w:pPr>
            <w:r>
              <w:rPr>
                <w:rFonts w:ascii="Arial" w:cs="Arial" w:eastAsia="Arial" w:hAnsi="Arial"/>
                <w:sz w:val="13"/>
                <w:szCs w:val="13"/>
                <w:color w:val="auto"/>
              </w:rPr>
              <w:t>4.0%</w:t>
            </w:r>
          </w:p>
        </w:tc>
        <w:tc>
          <w:tcPr>
            <w:tcW w:w="920" w:type="dxa"/>
            <w:vAlign w:val="bottom"/>
            <w:gridSpan w:val="2"/>
          </w:tcPr>
          <w:p>
            <w:pPr>
              <w:jc w:val="right"/>
              <w:ind w:right="29"/>
              <w:spacing w:after="0"/>
              <w:rPr>
                <w:sz w:val="20"/>
                <w:szCs w:val="20"/>
                <w:color w:val="auto"/>
              </w:rPr>
            </w:pPr>
            <w:r>
              <w:rPr>
                <w:rFonts w:ascii="Arial" w:cs="Arial" w:eastAsia="Arial" w:hAnsi="Arial"/>
                <w:sz w:val="13"/>
                <w:szCs w:val="13"/>
                <w:color w:val="auto"/>
              </w:rPr>
              <w:t>4.7%</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8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decrease in IR&amp;D expenses of approximately $2.3 million reflects a year-over-year decrease in the government systems segment of $3.4 million, offset by an increase in the commercial networks segment of $1.1 million, for fiscal year 2010 when compared to fiscal year 2009. The lower IR&amp;D expenses were principally due to a shift of some of our efforts from internal development projects to customer-funded development.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acquired intangible assets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amortize our acquired intangible assets from prior acquisitions over their estimated useful lives ranging from eight months to ten years. The increase in amortization was primarily due to the amortization of approximately $3.8 million related to the new intangibles acquired as a result of the WildBlue acquisition in December 2009, offset partially by a decrease in amortization due to the fact that certain acquired technology intangibles in our commercial networks segment became fully amortized during fiscal year 2010.</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decrease in interest income of $0.8 million year-over-year was primarily due to lower interest rates on our investments and lower average invested cash balances during fiscal year 2010 when compared to fiscal year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increase in interest expense of $6.8 million year-over-year was primarily due to interest expense on the Notes and the Credit Facility. We capitalized $8.8 million of interest expense associated with the construction of our ViaSat-1 satellite and other assets currently under construction during fiscal year 2010 compared to no amounts capitalized during fiscal year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effective income tax rate remained flat at 15.0% in fiscal years 2010 and 2009. The provision for income taxes for fiscal year 2010 reflects the expiration of the federal research and development tax credit on December 31, 2009, and the recognition of approximately $3.5 million of previously unrecognized tax benefits due to the expiration of the statute of limitations for certain previously filed tax returns.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Segment Results Fiscal Year 2010 Compared to Fiscal Year 2009</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Government systems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62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200" w:type="dxa"/>
            <w:vAlign w:val="bottom"/>
          </w:tcPr>
          <w:p>
            <w:pPr>
              <w:spacing w:after="0"/>
              <w:rPr>
                <w:sz w:val="7"/>
                <w:szCs w:val="7"/>
                <w:color w:val="auto"/>
              </w:rPr>
            </w:pPr>
          </w:p>
        </w:tc>
        <w:tc>
          <w:tcPr>
            <w:tcW w:w="6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680" w:type="dxa"/>
            <w:vAlign w:val="bottom"/>
          </w:tcPr>
          <w:p>
            <w:pPr>
              <w:ind w:left="160"/>
              <w:spacing w:after="0" w:line="81" w:lineRule="exact"/>
              <w:rPr>
                <w:sz w:val="20"/>
                <w:szCs w:val="20"/>
                <w:color w:val="auto"/>
              </w:rPr>
            </w:pPr>
            <w:r>
              <w:rPr>
                <w:rFonts w:ascii="Arial" w:cs="Arial" w:eastAsia="Arial" w:hAnsi="Arial"/>
                <w:sz w:val="9"/>
                <w:szCs w:val="9"/>
                <w:b w:val="1"/>
                <w:bCs w:val="1"/>
                <w:color w:val="auto"/>
              </w:rPr>
              <w:t>April 3,</w:t>
            </w:r>
          </w:p>
        </w:tc>
        <w:tc>
          <w:tcPr>
            <w:tcW w:w="26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00" w:type="dxa"/>
            <w:vAlign w:val="bottom"/>
          </w:tcPr>
          <w:p>
            <w:pPr>
              <w:spacing w:after="0"/>
              <w:rPr>
                <w:sz w:val="10"/>
                <w:szCs w:val="10"/>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3"/>
          </w:tcPr>
          <w:p>
            <w:pPr>
              <w:ind w:left="240"/>
              <w:spacing w:after="0"/>
              <w:rPr>
                <w:sz w:val="20"/>
                <w:szCs w:val="20"/>
                <w:color w:val="auto"/>
              </w:rPr>
            </w:pPr>
            <w:r>
              <w:rPr>
                <w:rFonts w:ascii="Arial" w:cs="Arial" w:eastAsia="Arial" w:hAnsi="Arial"/>
                <w:sz w:val="10"/>
                <w:szCs w:val="10"/>
                <w:b w:val="1"/>
                <w:bCs w:val="1"/>
                <w:color w:val="auto"/>
                <w:w w:val="96"/>
              </w:rPr>
              <w:t>(In millions, except percentages)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8"/>
        </w:trPr>
        <w:tc>
          <w:tcPr>
            <w:tcW w:w="6200" w:type="dxa"/>
            <w:vAlign w:val="bottom"/>
          </w:tcPr>
          <w:p>
            <w:pPr>
              <w:spacing w:after="0"/>
              <w:rPr>
                <w:sz w:val="20"/>
                <w:szCs w:val="20"/>
                <w:color w:val="auto"/>
              </w:rPr>
            </w:pPr>
            <w:r>
              <w:rPr>
                <w:rFonts w:ascii="Arial" w:cs="Arial" w:eastAsia="Arial" w:hAnsi="Arial"/>
                <w:sz w:val="13"/>
                <w:szCs w:val="13"/>
                <w:color w:val="auto"/>
              </w:rPr>
              <w:t>Revenues</w:t>
            </w:r>
          </w:p>
        </w:tc>
        <w:tc>
          <w:tcPr>
            <w:tcW w:w="660" w:type="dxa"/>
            <w:vAlign w:val="bottom"/>
          </w:tcPr>
          <w:p>
            <w:pPr>
              <w:jc w:val="right"/>
              <w:ind w:right="126"/>
              <w:spacing w:after="0"/>
              <w:rPr>
                <w:sz w:val="20"/>
                <w:szCs w:val="20"/>
                <w:color w:val="auto"/>
              </w:rPr>
            </w:pPr>
            <w:r>
              <w:rPr>
                <w:rFonts w:ascii="Arial" w:cs="Arial" w:eastAsia="Arial" w:hAnsi="Arial"/>
                <w:sz w:val="13"/>
                <w:szCs w:val="13"/>
                <w:color w:val="auto"/>
              </w:rPr>
              <w:t>$385.2</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$388.7</w:t>
            </w:r>
          </w:p>
        </w:tc>
        <w:tc>
          <w:tcPr>
            <w:tcW w:w="1080" w:type="dxa"/>
            <w:vAlign w:val="bottom"/>
            <w:gridSpan w:val="2"/>
          </w:tcPr>
          <w:p>
            <w:pPr>
              <w:jc w:val="center"/>
              <w:ind w:left="174"/>
              <w:spacing w:after="0"/>
              <w:rPr>
                <w:sz w:val="20"/>
                <w:szCs w:val="20"/>
                <w:color w:val="auto"/>
              </w:rPr>
            </w:pPr>
            <w:r>
              <w:rPr>
                <w:rFonts w:ascii="Arial" w:cs="Arial" w:eastAsia="Arial" w:hAnsi="Arial"/>
                <w:sz w:val="13"/>
                <w:szCs w:val="13"/>
                <w:color w:val="auto"/>
                <w:w w:val="94"/>
              </w:rPr>
              <w:t>$(3.5)</w:t>
            </w:r>
          </w:p>
        </w:tc>
        <w:tc>
          <w:tcPr>
            <w:tcW w:w="1080" w:type="dxa"/>
            <w:vAlign w:val="bottom"/>
            <w:gridSpan w:val="2"/>
          </w:tcPr>
          <w:p>
            <w:pPr>
              <w:jc w:val="right"/>
              <w:ind w:right="89"/>
              <w:spacing w:after="0"/>
              <w:rPr>
                <w:sz w:val="20"/>
                <w:szCs w:val="20"/>
                <w:color w:val="auto"/>
              </w:rPr>
            </w:pPr>
            <w:r>
              <w:rPr>
                <w:rFonts w:ascii="Arial" w:cs="Arial" w:eastAsia="Arial" w:hAnsi="Arial"/>
                <w:sz w:val="13"/>
                <w:szCs w:val="13"/>
                <w:color w:val="auto"/>
              </w:rPr>
              <w:t>(0.9)%</w:t>
            </w:r>
          </w:p>
        </w:tc>
      </w:tr>
    </w:tbl>
    <w:p>
      <w:pPr>
        <w:spacing w:after="0" w:line="81"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revenue decrease in our government systems segment was primarily due to lower sales of $16.4 million in information assurance products, primarily due to delayed awards caused by the timing of government funding for a number of customers and $4.3 million in tactical data link products, offset by higher sales of $15.9 million in our government satellite communication systems and higher sales of approximately $1.3 million spread across various other products.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profit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60" w:type="dxa"/>
            <w:vAlign w:val="bottom"/>
          </w:tcPr>
          <w:p>
            <w:pPr>
              <w:spacing w:after="0"/>
              <w:rPr>
                <w:sz w:val="10"/>
                <w:szCs w:val="10"/>
                <w:color w:val="auto"/>
              </w:rPr>
            </w:pPr>
          </w:p>
        </w:tc>
        <w:tc>
          <w:tcPr>
            <w:tcW w:w="154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260" w:type="dxa"/>
            <w:vAlign w:val="bottom"/>
          </w:tcPr>
          <w:p>
            <w:pPr>
              <w:spacing w:after="0"/>
              <w:rPr>
                <w:sz w:val="7"/>
                <w:szCs w:val="7"/>
                <w:color w:val="auto"/>
              </w:rPr>
            </w:pPr>
          </w:p>
        </w:tc>
        <w:tc>
          <w:tcPr>
            <w:tcW w:w="620" w:type="dxa"/>
            <w:vAlign w:val="bottom"/>
          </w:tcPr>
          <w:p>
            <w:pPr>
              <w:jc w:val="right"/>
              <w:ind w:right="83"/>
              <w:spacing w:after="0" w:line="81" w:lineRule="exact"/>
              <w:rPr>
                <w:sz w:val="20"/>
                <w:szCs w:val="20"/>
                <w:color w:val="auto"/>
              </w:rPr>
            </w:pPr>
            <w:r>
              <w:rPr>
                <w:rFonts w:ascii="Arial" w:cs="Arial" w:eastAsia="Arial" w:hAnsi="Arial"/>
                <w:sz w:val="9"/>
                <w:szCs w:val="9"/>
                <w:b w:val="1"/>
                <w:bCs w:val="1"/>
                <w:color w:val="auto"/>
              </w:rPr>
              <w:t>April 2,</w:t>
            </w:r>
          </w:p>
        </w:tc>
        <w:tc>
          <w:tcPr>
            <w:tcW w:w="300" w:type="dxa"/>
            <w:vAlign w:val="bottom"/>
          </w:tcPr>
          <w:p>
            <w:pPr>
              <w:spacing w:after="0"/>
              <w:rPr>
                <w:sz w:val="7"/>
                <w:szCs w:val="7"/>
                <w:color w:val="auto"/>
              </w:rPr>
            </w:pPr>
          </w:p>
        </w:tc>
        <w:tc>
          <w:tcPr>
            <w:tcW w:w="620" w:type="dxa"/>
            <w:vAlign w:val="bottom"/>
          </w:tcPr>
          <w:p>
            <w:pPr>
              <w:jc w:val="right"/>
              <w:ind w:right="109"/>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60" w:type="dxa"/>
            <w:vAlign w:val="bottom"/>
          </w:tcPr>
          <w:p>
            <w:pPr>
              <w:spacing w:after="0"/>
              <w:rPr>
                <w:sz w:val="10"/>
                <w:szCs w:val="10"/>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10"/>
                <w:szCs w:val="10"/>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gridSpan w:val="3"/>
          </w:tcPr>
          <w:p>
            <w:pPr>
              <w:ind w:left="220"/>
              <w:spacing w:after="0"/>
              <w:rPr>
                <w:sz w:val="20"/>
                <w:szCs w:val="20"/>
                <w:color w:val="auto"/>
              </w:rPr>
            </w:pPr>
            <w:r>
              <w:rPr>
                <w:rFonts w:ascii="Arial" w:cs="Arial" w:eastAsia="Arial" w:hAnsi="Arial"/>
                <w:sz w:val="10"/>
                <w:szCs w:val="10"/>
                <w:b w:val="1"/>
                <w:bCs w:val="1"/>
                <w:color w:val="auto"/>
                <w:w w:val="95"/>
              </w:rPr>
              <w:t>(In millions, except percentages)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Segment operating profit</w:t>
            </w:r>
          </w:p>
        </w:tc>
        <w:tc>
          <w:tcPr>
            <w:tcW w:w="620" w:type="dxa"/>
            <w:vAlign w:val="bottom"/>
          </w:tcPr>
          <w:p>
            <w:pPr>
              <w:jc w:val="right"/>
              <w:ind w:right="123"/>
              <w:spacing w:after="0"/>
              <w:rPr>
                <w:sz w:val="20"/>
                <w:szCs w:val="20"/>
                <w:color w:val="auto"/>
              </w:rPr>
            </w:pPr>
            <w:r>
              <w:rPr>
                <w:rFonts w:ascii="Arial" w:cs="Arial" w:eastAsia="Arial" w:hAnsi="Arial"/>
                <w:sz w:val="13"/>
                <w:szCs w:val="13"/>
                <w:color w:val="auto"/>
              </w:rPr>
              <w:t>$55.7</w:t>
            </w:r>
          </w:p>
        </w:tc>
        <w:tc>
          <w:tcPr>
            <w:tcW w:w="920" w:type="dxa"/>
            <w:vAlign w:val="bottom"/>
            <w:gridSpan w:val="2"/>
          </w:tcPr>
          <w:p>
            <w:pPr>
              <w:jc w:val="right"/>
              <w:ind w:right="149"/>
              <w:spacing w:after="0"/>
              <w:rPr>
                <w:sz w:val="20"/>
                <w:szCs w:val="20"/>
                <w:color w:val="auto"/>
              </w:rPr>
            </w:pPr>
            <w:r>
              <w:rPr>
                <w:rFonts w:ascii="Arial" w:cs="Arial" w:eastAsia="Arial" w:hAnsi="Arial"/>
                <w:sz w:val="13"/>
                <w:szCs w:val="13"/>
                <w:color w:val="auto"/>
              </w:rPr>
              <w:t>$57.0</w:t>
            </w:r>
          </w:p>
        </w:tc>
        <w:tc>
          <w:tcPr>
            <w:tcW w:w="1100" w:type="dxa"/>
            <w:vAlign w:val="bottom"/>
            <w:gridSpan w:val="2"/>
          </w:tcPr>
          <w:p>
            <w:pPr>
              <w:jc w:val="center"/>
              <w:ind w:left="194"/>
              <w:spacing w:after="0"/>
              <w:rPr>
                <w:sz w:val="20"/>
                <w:szCs w:val="20"/>
                <w:color w:val="auto"/>
              </w:rPr>
            </w:pPr>
            <w:r>
              <w:rPr>
                <w:rFonts w:ascii="Arial" w:cs="Arial" w:eastAsia="Arial" w:hAnsi="Arial"/>
                <w:sz w:val="13"/>
                <w:szCs w:val="13"/>
                <w:color w:val="auto"/>
                <w:w w:val="94"/>
              </w:rPr>
              <w:t>$(1.3)</w:t>
            </w:r>
          </w:p>
        </w:tc>
        <w:tc>
          <w:tcPr>
            <w:tcW w:w="1080" w:type="dxa"/>
            <w:vAlign w:val="bottom"/>
            <w:gridSpan w:val="2"/>
          </w:tcPr>
          <w:p>
            <w:pPr>
              <w:jc w:val="right"/>
              <w:ind w:right="89"/>
              <w:spacing w:after="0"/>
              <w:rPr>
                <w:sz w:val="20"/>
                <w:szCs w:val="20"/>
                <w:color w:val="auto"/>
              </w:rPr>
            </w:pPr>
            <w:r>
              <w:rPr>
                <w:rFonts w:ascii="Arial" w:cs="Arial" w:eastAsia="Arial" w:hAnsi="Arial"/>
                <w:sz w:val="13"/>
                <w:szCs w:val="13"/>
                <w:color w:val="auto"/>
              </w:rPr>
              <w:t>(2.3)%</w:t>
            </w:r>
          </w:p>
        </w:tc>
      </w:tr>
      <w:tr>
        <w:trPr>
          <w:trHeight w:val="165"/>
        </w:trPr>
        <w:tc>
          <w:tcPr>
            <w:tcW w:w="6260" w:type="dxa"/>
            <w:vAlign w:val="bottom"/>
          </w:tcPr>
          <w:p>
            <w:pPr>
              <w:spacing w:after="0"/>
              <w:rPr>
                <w:sz w:val="20"/>
                <w:szCs w:val="20"/>
                <w:color w:val="auto"/>
              </w:rPr>
            </w:pPr>
            <w:r>
              <w:rPr>
                <w:rFonts w:ascii="Arial" w:cs="Arial" w:eastAsia="Arial" w:hAnsi="Arial"/>
                <w:sz w:val="13"/>
                <w:szCs w:val="13"/>
                <w:color w:val="auto"/>
              </w:rPr>
              <w:t>Percentage of segment revenues</w:t>
            </w:r>
          </w:p>
        </w:tc>
        <w:tc>
          <w:tcPr>
            <w:tcW w:w="620" w:type="dxa"/>
            <w:vAlign w:val="bottom"/>
          </w:tcPr>
          <w:p>
            <w:pPr>
              <w:jc w:val="right"/>
              <w:ind w:right="23"/>
              <w:spacing w:after="0"/>
              <w:rPr>
                <w:sz w:val="20"/>
                <w:szCs w:val="20"/>
                <w:color w:val="auto"/>
              </w:rPr>
            </w:pPr>
            <w:r>
              <w:rPr>
                <w:rFonts w:ascii="Arial" w:cs="Arial" w:eastAsia="Arial" w:hAnsi="Arial"/>
                <w:sz w:val="13"/>
                <w:szCs w:val="13"/>
                <w:color w:val="auto"/>
              </w:rPr>
              <w:t>14.5%</w:t>
            </w:r>
          </w:p>
        </w:tc>
        <w:tc>
          <w:tcPr>
            <w:tcW w:w="920" w:type="dxa"/>
            <w:vAlign w:val="bottom"/>
            <w:gridSpan w:val="2"/>
          </w:tcPr>
          <w:p>
            <w:pPr>
              <w:jc w:val="right"/>
              <w:ind w:right="29"/>
              <w:spacing w:after="0"/>
              <w:rPr>
                <w:sz w:val="20"/>
                <w:szCs w:val="20"/>
                <w:color w:val="auto"/>
              </w:rPr>
            </w:pPr>
            <w:r>
              <w:rPr>
                <w:rFonts w:ascii="Arial" w:cs="Arial" w:eastAsia="Arial" w:hAnsi="Arial"/>
                <w:sz w:val="13"/>
                <w:szCs w:val="13"/>
                <w:color w:val="auto"/>
              </w:rPr>
              <w:t>14.7%</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81"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Our government systems segment operating profit decreased $1.3 million during fiscal year 2010 when compared to fiscal year 2009, primarily due to higher new business proposal costs for new contract awards of approximately $5.5 million offset by lower IR&amp;D costs of approximately $3.4 million.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Commercial networks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62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0"/>
                <w:szCs w:val="10"/>
                <w:b w:val="1"/>
                <w:bCs w:val="1"/>
                <w:color w:val="auto"/>
              </w:rPr>
              <w:t>Fiscal Years Ended</w:t>
            </w:r>
          </w:p>
        </w:tc>
        <w:tc>
          <w:tcPr>
            <w:tcW w:w="2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Dollar</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200" w:type="dxa"/>
            <w:vAlign w:val="bottom"/>
          </w:tcPr>
          <w:p>
            <w:pPr>
              <w:spacing w:after="0"/>
              <w:rPr>
                <w:sz w:val="7"/>
                <w:szCs w:val="7"/>
                <w:color w:val="auto"/>
              </w:rPr>
            </w:pPr>
          </w:p>
        </w:tc>
        <w:tc>
          <w:tcPr>
            <w:tcW w:w="6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680" w:type="dxa"/>
            <w:vAlign w:val="bottom"/>
          </w:tcPr>
          <w:p>
            <w:pPr>
              <w:ind w:left="160"/>
              <w:spacing w:after="0" w:line="81" w:lineRule="exact"/>
              <w:rPr>
                <w:sz w:val="20"/>
                <w:szCs w:val="20"/>
                <w:color w:val="auto"/>
              </w:rPr>
            </w:pPr>
            <w:r>
              <w:rPr>
                <w:rFonts w:ascii="Arial" w:cs="Arial" w:eastAsia="Arial" w:hAnsi="Arial"/>
                <w:sz w:val="9"/>
                <w:szCs w:val="9"/>
                <w:b w:val="1"/>
                <w:bCs w:val="1"/>
                <w:color w:val="auto"/>
              </w:rPr>
              <w:t>April 3,</w:t>
            </w:r>
          </w:p>
        </w:tc>
        <w:tc>
          <w:tcPr>
            <w:tcW w:w="260" w:type="dxa"/>
            <w:vAlign w:val="bottom"/>
          </w:tcPr>
          <w:p>
            <w:pPr>
              <w:spacing w:after="0"/>
              <w:rPr>
                <w:sz w:val="7"/>
                <w:szCs w:val="7"/>
                <w:color w:val="auto"/>
              </w:rPr>
            </w:pPr>
          </w:p>
        </w:tc>
        <w:tc>
          <w:tcPr>
            <w:tcW w:w="8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00" w:type="dxa"/>
            <w:vAlign w:val="bottom"/>
          </w:tcPr>
          <w:p>
            <w:pPr>
              <w:spacing w:after="0"/>
              <w:rPr>
                <w:sz w:val="10"/>
                <w:szCs w:val="10"/>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3"/>
          </w:tcPr>
          <w:p>
            <w:pPr>
              <w:ind w:left="240"/>
              <w:spacing w:after="0"/>
              <w:rPr>
                <w:sz w:val="20"/>
                <w:szCs w:val="20"/>
                <w:color w:val="auto"/>
              </w:rPr>
            </w:pPr>
            <w:r>
              <w:rPr>
                <w:rFonts w:ascii="Arial" w:cs="Arial" w:eastAsia="Arial" w:hAnsi="Arial"/>
                <w:sz w:val="10"/>
                <w:szCs w:val="10"/>
                <w:b w:val="1"/>
                <w:bCs w:val="1"/>
                <w:color w:val="auto"/>
                <w:w w:val="96"/>
              </w:rPr>
              <w:t>(In millions, except percentages)</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8"/>
        </w:trPr>
        <w:tc>
          <w:tcPr>
            <w:tcW w:w="6200" w:type="dxa"/>
            <w:vAlign w:val="bottom"/>
          </w:tcPr>
          <w:p>
            <w:pPr>
              <w:spacing w:after="0"/>
              <w:rPr>
                <w:sz w:val="20"/>
                <w:szCs w:val="20"/>
                <w:color w:val="auto"/>
              </w:rPr>
            </w:pPr>
            <w:r>
              <w:rPr>
                <w:rFonts w:ascii="Arial" w:cs="Arial" w:eastAsia="Arial" w:hAnsi="Arial"/>
                <w:sz w:val="13"/>
                <w:szCs w:val="13"/>
                <w:color w:val="auto"/>
              </w:rPr>
              <w:t>Revenues</w:t>
            </w:r>
          </w:p>
        </w:tc>
        <w:tc>
          <w:tcPr>
            <w:tcW w:w="660" w:type="dxa"/>
            <w:vAlign w:val="bottom"/>
          </w:tcPr>
          <w:p>
            <w:pPr>
              <w:jc w:val="right"/>
              <w:ind w:right="126"/>
              <w:spacing w:after="0"/>
              <w:rPr>
                <w:sz w:val="20"/>
                <w:szCs w:val="20"/>
                <w:color w:val="auto"/>
              </w:rPr>
            </w:pPr>
            <w:r>
              <w:rPr>
                <w:rFonts w:ascii="Arial" w:cs="Arial" w:eastAsia="Arial" w:hAnsi="Arial"/>
                <w:sz w:val="13"/>
                <w:szCs w:val="13"/>
                <w:color w:val="auto"/>
              </w:rPr>
              <w:t>$227.1</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$230.8</w:t>
            </w:r>
          </w:p>
        </w:tc>
        <w:tc>
          <w:tcPr>
            <w:tcW w:w="1080" w:type="dxa"/>
            <w:vAlign w:val="bottom"/>
            <w:gridSpan w:val="2"/>
          </w:tcPr>
          <w:p>
            <w:pPr>
              <w:jc w:val="center"/>
              <w:ind w:left="174"/>
              <w:spacing w:after="0"/>
              <w:rPr>
                <w:sz w:val="20"/>
                <w:szCs w:val="20"/>
                <w:color w:val="auto"/>
              </w:rPr>
            </w:pPr>
            <w:r>
              <w:rPr>
                <w:rFonts w:ascii="Arial" w:cs="Arial" w:eastAsia="Arial" w:hAnsi="Arial"/>
                <w:sz w:val="13"/>
                <w:szCs w:val="13"/>
                <w:color w:val="auto"/>
                <w:w w:val="94"/>
              </w:rPr>
              <w:t>$(3.7)</w:t>
            </w:r>
          </w:p>
        </w:tc>
        <w:tc>
          <w:tcPr>
            <w:tcW w:w="1080" w:type="dxa"/>
            <w:vAlign w:val="bottom"/>
            <w:gridSpan w:val="2"/>
          </w:tcPr>
          <w:p>
            <w:pPr>
              <w:jc w:val="right"/>
              <w:ind w:right="89"/>
              <w:spacing w:after="0"/>
              <w:rPr>
                <w:sz w:val="20"/>
                <w:szCs w:val="20"/>
                <w:color w:val="auto"/>
              </w:rPr>
            </w:pPr>
            <w:r>
              <w:rPr>
                <w:rFonts w:ascii="Arial" w:cs="Arial" w:eastAsia="Arial" w:hAnsi="Arial"/>
                <w:sz w:val="13"/>
                <w:szCs w:val="13"/>
                <w:color w:val="auto"/>
              </w:rPr>
              <w:t>(1.6)%</w:t>
            </w:r>
          </w:p>
        </w:tc>
      </w:tr>
    </w:tbl>
    <w:p>
      <w:pPr>
        <w:spacing w:after="0" w:line="81"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Our commercial networks segment revenue decrease was mainly due to a reduction in product sales of $15.7 million from our consumer broadband products, partially due to ViaSat no longer selling equipment to WildBlue as a customer following our acquisition of WildBlue and $11.8 million from our mobile broadband satellite communication systems products. These decreases were offset by higher product sales of $13.5 million from our enterprise VSAT networks and $9.4 million from our antenna systems products.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profit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80" w:type="dxa"/>
            <w:vAlign w:val="bottom"/>
          </w:tcPr>
          <w:p>
            <w:pPr>
              <w:spacing w:after="0"/>
              <w:rPr>
                <w:sz w:val="10"/>
                <w:szCs w:val="10"/>
                <w:color w:val="auto"/>
              </w:rPr>
            </w:pPr>
          </w:p>
        </w:tc>
        <w:tc>
          <w:tcPr>
            <w:tcW w:w="142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Dollar</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280" w:type="dxa"/>
            <w:vAlign w:val="bottom"/>
          </w:tcPr>
          <w:p>
            <w:pPr>
              <w:spacing w:after="0"/>
              <w:rPr>
                <w:sz w:val="7"/>
                <w:szCs w:val="7"/>
                <w:color w:val="auto"/>
              </w:rPr>
            </w:pPr>
          </w:p>
        </w:tc>
        <w:tc>
          <w:tcPr>
            <w:tcW w:w="560" w:type="dxa"/>
            <w:vAlign w:val="bottom"/>
          </w:tcPr>
          <w:p>
            <w:pPr>
              <w:jc w:val="right"/>
              <w:ind w:right="43"/>
              <w:spacing w:after="0" w:line="81" w:lineRule="exact"/>
              <w:rPr>
                <w:sz w:val="20"/>
                <w:szCs w:val="20"/>
                <w:color w:val="auto"/>
              </w:rPr>
            </w:pPr>
            <w:r>
              <w:rPr>
                <w:rFonts w:ascii="Arial" w:cs="Arial" w:eastAsia="Arial" w:hAnsi="Arial"/>
                <w:sz w:val="9"/>
                <w:szCs w:val="9"/>
                <w:b w:val="1"/>
                <w:bCs w:val="1"/>
                <w:color w:val="auto"/>
              </w:rPr>
              <w:t>April 2,</w:t>
            </w:r>
          </w:p>
        </w:tc>
        <w:tc>
          <w:tcPr>
            <w:tcW w:w="300" w:type="dxa"/>
            <w:vAlign w:val="bottom"/>
          </w:tcPr>
          <w:p>
            <w:pPr>
              <w:spacing w:after="0"/>
              <w:rPr>
                <w:sz w:val="7"/>
                <w:szCs w:val="7"/>
                <w:color w:val="auto"/>
              </w:rPr>
            </w:pPr>
          </w:p>
        </w:tc>
        <w:tc>
          <w:tcPr>
            <w:tcW w:w="560" w:type="dxa"/>
            <w:vAlign w:val="bottom"/>
          </w:tcPr>
          <w:p>
            <w:pPr>
              <w:jc w:val="right"/>
              <w:ind w:right="69"/>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104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w w:val="98"/>
              </w:rPr>
              <w:t>Increase</w:t>
            </w:r>
          </w:p>
        </w:tc>
        <w:tc>
          <w:tcPr>
            <w:tcW w:w="9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80" w:type="dxa"/>
            <w:vAlign w:val="bottom"/>
          </w:tcPr>
          <w:p>
            <w:pPr>
              <w:spacing w:after="0"/>
              <w:rPr>
                <w:sz w:val="10"/>
                <w:szCs w:val="10"/>
                <w:color w:val="auto"/>
              </w:rPr>
            </w:pPr>
          </w:p>
        </w:tc>
        <w:tc>
          <w:tcPr>
            <w:tcW w:w="56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10"/>
                <w:szCs w:val="10"/>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8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gridSpan w:val="4"/>
          </w:tcPr>
          <w:p>
            <w:pPr>
              <w:ind w:left="280"/>
              <w:spacing w:after="0"/>
              <w:rPr>
                <w:sz w:val="20"/>
                <w:szCs w:val="20"/>
                <w:color w:val="auto"/>
              </w:rPr>
            </w:pPr>
            <w:r>
              <w:rPr>
                <w:rFonts w:ascii="Arial" w:cs="Arial" w:eastAsia="Arial" w:hAnsi="Arial"/>
                <w:sz w:val="10"/>
                <w:szCs w:val="10"/>
                <w:b w:val="1"/>
                <w:bCs w:val="1"/>
                <w:color w:val="auto"/>
              </w:rPr>
              <w:t>(In millions, except percentages)</w:t>
            </w:r>
          </w:p>
        </w:tc>
        <w:tc>
          <w:tcPr>
            <w:tcW w:w="960" w:type="dxa"/>
            <w:vAlign w:val="bottom"/>
          </w:tcPr>
          <w:p>
            <w:pPr>
              <w:spacing w:after="0"/>
              <w:rPr>
                <w:sz w:val="10"/>
                <w:szCs w:val="10"/>
                <w:color w:val="auto"/>
              </w:rPr>
            </w:pPr>
          </w:p>
        </w:tc>
      </w:tr>
      <w:tr>
        <w:trPr>
          <w:trHeight w:val="161"/>
        </w:trPr>
        <w:tc>
          <w:tcPr>
            <w:tcW w:w="6280" w:type="dxa"/>
            <w:vAlign w:val="bottom"/>
          </w:tcPr>
          <w:p>
            <w:pPr>
              <w:spacing w:after="0"/>
              <w:rPr>
                <w:sz w:val="20"/>
                <w:szCs w:val="20"/>
                <w:color w:val="auto"/>
              </w:rPr>
            </w:pPr>
            <w:r>
              <w:rPr>
                <w:rFonts w:ascii="Arial" w:cs="Arial" w:eastAsia="Arial" w:hAnsi="Arial"/>
                <w:sz w:val="13"/>
                <w:szCs w:val="13"/>
                <w:color w:val="auto"/>
              </w:rPr>
              <w:t>Segment operating profit</w:t>
            </w:r>
          </w:p>
        </w:tc>
        <w:tc>
          <w:tcPr>
            <w:tcW w:w="560" w:type="dxa"/>
            <w:vAlign w:val="bottom"/>
          </w:tcPr>
          <w:p>
            <w:pPr>
              <w:jc w:val="right"/>
              <w:ind w:right="123"/>
              <w:spacing w:after="0"/>
              <w:rPr>
                <w:sz w:val="20"/>
                <w:szCs w:val="20"/>
                <w:color w:val="auto"/>
              </w:rPr>
            </w:pPr>
            <w:r>
              <w:rPr>
                <w:rFonts w:ascii="Arial" w:cs="Arial" w:eastAsia="Arial" w:hAnsi="Arial"/>
                <w:sz w:val="13"/>
                <w:szCs w:val="13"/>
                <w:color w:val="auto"/>
              </w:rPr>
              <w:t>$6.1</w:t>
            </w:r>
          </w:p>
        </w:tc>
        <w:tc>
          <w:tcPr>
            <w:tcW w:w="860" w:type="dxa"/>
            <w:vAlign w:val="bottom"/>
            <w:gridSpan w:val="2"/>
          </w:tcPr>
          <w:p>
            <w:pPr>
              <w:jc w:val="right"/>
              <w:ind w:right="149"/>
              <w:spacing w:after="0"/>
              <w:rPr>
                <w:sz w:val="20"/>
                <w:szCs w:val="20"/>
                <w:color w:val="auto"/>
              </w:rPr>
            </w:pPr>
            <w:r>
              <w:rPr>
                <w:rFonts w:ascii="Arial" w:cs="Arial" w:eastAsia="Arial" w:hAnsi="Arial"/>
                <w:sz w:val="13"/>
                <w:szCs w:val="13"/>
                <w:color w:val="auto"/>
              </w:rPr>
              <w:t>$0.1</w:t>
            </w:r>
          </w:p>
        </w:tc>
        <w:tc>
          <w:tcPr>
            <w:tcW w:w="1040" w:type="dxa"/>
            <w:vAlign w:val="bottom"/>
            <w:gridSpan w:val="2"/>
          </w:tcPr>
          <w:p>
            <w:pPr>
              <w:jc w:val="right"/>
              <w:ind w:right="249"/>
              <w:spacing w:after="0"/>
              <w:rPr>
                <w:sz w:val="20"/>
                <w:szCs w:val="20"/>
                <w:color w:val="auto"/>
              </w:rPr>
            </w:pPr>
            <w:r>
              <w:rPr>
                <w:rFonts w:ascii="Arial" w:cs="Arial" w:eastAsia="Arial" w:hAnsi="Arial"/>
                <w:sz w:val="13"/>
                <w:szCs w:val="13"/>
                <w:color w:val="auto"/>
              </w:rPr>
              <w:t>$6.0</w:t>
            </w:r>
          </w:p>
        </w:tc>
        <w:tc>
          <w:tcPr>
            <w:tcW w:w="280" w:type="dxa"/>
            <w:vAlign w:val="bottom"/>
          </w:tcPr>
          <w:p>
            <w:pPr>
              <w:spacing w:after="0"/>
              <w:rPr>
                <w:sz w:val="13"/>
                <w:szCs w:val="13"/>
                <w:color w:val="auto"/>
              </w:rPr>
            </w:pPr>
          </w:p>
        </w:tc>
        <w:tc>
          <w:tcPr>
            <w:tcW w:w="960" w:type="dxa"/>
            <w:vAlign w:val="bottom"/>
          </w:tcPr>
          <w:p>
            <w:pPr>
              <w:jc w:val="right"/>
              <w:ind w:right="126"/>
              <w:spacing w:after="0"/>
              <w:rPr>
                <w:sz w:val="20"/>
                <w:szCs w:val="20"/>
                <w:color w:val="auto"/>
              </w:rPr>
            </w:pPr>
            <w:r>
              <w:rPr>
                <w:rFonts w:ascii="Arial" w:cs="Arial" w:eastAsia="Arial" w:hAnsi="Arial"/>
                <w:sz w:val="13"/>
                <w:szCs w:val="13"/>
                <w:color w:val="auto"/>
              </w:rPr>
              <w:t>9,568.3%</w:t>
            </w:r>
          </w:p>
        </w:tc>
      </w:tr>
      <w:tr>
        <w:trPr>
          <w:trHeight w:val="165"/>
        </w:trPr>
        <w:tc>
          <w:tcPr>
            <w:tcW w:w="6280" w:type="dxa"/>
            <w:vAlign w:val="bottom"/>
          </w:tcPr>
          <w:p>
            <w:pPr>
              <w:spacing w:after="0"/>
              <w:rPr>
                <w:sz w:val="20"/>
                <w:szCs w:val="20"/>
                <w:color w:val="auto"/>
              </w:rPr>
            </w:pPr>
            <w:r>
              <w:rPr>
                <w:rFonts w:ascii="Arial" w:cs="Arial" w:eastAsia="Arial" w:hAnsi="Arial"/>
                <w:sz w:val="13"/>
                <w:szCs w:val="13"/>
                <w:color w:val="auto"/>
              </w:rPr>
              <w:t>Percentage of segment revenues</w:t>
            </w:r>
          </w:p>
        </w:tc>
        <w:tc>
          <w:tcPr>
            <w:tcW w:w="560" w:type="dxa"/>
            <w:vAlign w:val="bottom"/>
          </w:tcPr>
          <w:p>
            <w:pPr>
              <w:jc w:val="right"/>
              <w:ind w:right="23"/>
              <w:spacing w:after="0"/>
              <w:rPr>
                <w:sz w:val="20"/>
                <w:szCs w:val="20"/>
                <w:color w:val="auto"/>
              </w:rPr>
            </w:pPr>
            <w:r>
              <w:rPr>
                <w:rFonts w:ascii="Arial" w:cs="Arial" w:eastAsia="Arial" w:hAnsi="Arial"/>
                <w:sz w:val="13"/>
                <w:szCs w:val="13"/>
                <w:color w:val="auto"/>
              </w:rPr>
              <w:t>2.7%</w:t>
            </w:r>
          </w:p>
        </w:tc>
        <w:tc>
          <w:tcPr>
            <w:tcW w:w="860" w:type="dxa"/>
            <w:vAlign w:val="bottom"/>
            <w:gridSpan w:val="2"/>
          </w:tcPr>
          <w:p>
            <w:pPr>
              <w:jc w:val="right"/>
              <w:ind w:right="49"/>
              <w:spacing w:after="0"/>
              <w:rPr>
                <w:sz w:val="20"/>
                <w:szCs w:val="20"/>
                <w:color w:val="auto"/>
              </w:rPr>
            </w:pPr>
            <w:r>
              <w:rPr>
                <w:rFonts w:ascii="Arial" w:cs="Arial" w:eastAsia="Arial" w:hAnsi="Arial"/>
                <w:sz w:val="13"/>
                <w:szCs w:val="13"/>
                <w:color w:val="auto"/>
              </w:rPr>
              <w:t>0.0%</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81"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Our commercial networks segment operating profit increased in fiscal year 2010 when compared to fiscal year 2009, primarily due to product cost decreases resulting in higher product margin contributions of approximately $4.9 million, mainly from our consumer broadband products and our enterprise VSAT networks products, and a $3.2 million decrease in selling, support and new business proposal costs, offset by a $1.1 million increase in IR&amp;D costs.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Satellite services segment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40" w:type="dxa"/>
            <w:vAlign w:val="bottom"/>
          </w:tcPr>
          <w:p>
            <w:pPr>
              <w:spacing w:after="0"/>
              <w:rPr>
                <w:sz w:val="10"/>
                <w:szCs w:val="10"/>
                <w:color w:val="auto"/>
              </w:rPr>
            </w:pP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Dollar</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8"/>
              </w:rPr>
              <w:t>Percentage</w:t>
            </w:r>
          </w:p>
        </w:tc>
      </w:tr>
      <w:tr>
        <w:trPr>
          <w:trHeight w:val="81"/>
        </w:trPr>
        <w:tc>
          <w:tcPr>
            <w:tcW w:w="6240" w:type="dxa"/>
            <w:vAlign w:val="bottom"/>
          </w:tcPr>
          <w:p>
            <w:pPr>
              <w:spacing w:after="0"/>
              <w:rPr>
                <w:sz w:val="7"/>
                <w:szCs w:val="7"/>
                <w:color w:val="auto"/>
              </w:rPr>
            </w:pPr>
          </w:p>
        </w:tc>
        <w:tc>
          <w:tcPr>
            <w:tcW w:w="620" w:type="dxa"/>
            <w:vAlign w:val="bottom"/>
          </w:tcPr>
          <w:p>
            <w:pPr>
              <w:ind w:left="140"/>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5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112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Increase</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240" w:type="dxa"/>
            <w:vAlign w:val="bottom"/>
          </w:tcPr>
          <w:p>
            <w:pPr>
              <w:spacing w:after="0"/>
              <w:rPr>
                <w:sz w:val="10"/>
                <w:szCs w:val="10"/>
                <w:color w:val="auto"/>
              </w:rPr>
            </w:pPr>
          </w:p>
        </w:tc>
        <w:tc>
          <w:tcPr>
            <w:tcW w:w="620" w:type="dxa"/>
            <w:vAlign w:val="bottom"/>
            <w:tcBorders>
              <w:bottom w:val="single" w:sz="8" w:color="auto"/>
            </w:tcBorders>
          </w:tcPr>
          <w:p>
            <w:pPr>
              <w:jc w:val="right"/>
              <w:ind w:right="146"/>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8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r>
      <w:tr>
        <w:trPr>
          <w:trHeight w:val="125"/>
        </w:trPr>
        <w:tc>
          <w:tcPr>
            <w:tcW w:w="6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60" w:type="dxa"/>
            <w:vAlign w:val="bottom"/>
            <w:gridSpan w:val="4"/>
          </w:tcPr>
          <w:p>
            <w:pPr>
              <w:ind w:left="260"/>
              <w:spacing w:after="0"/>
              <w:rPr>
                <w:sz w:val="20"/>
                <w:szCs w:val="20"/>
                <w:color w:val="auto"/>
              </w:rPr>
            </w:pPr>
            <w:r>
              <w:rPr>
                <w:rFonts w:ascii="Arial" w:cs="Arial" w:eastAsia="Arial" w:hAnsi="Arial"/>
                <w:sz w:val="10"/>
                <w:szCs w:val="10"/>
                <w:b w:val="1"/>
                <w:bCs w:val="1"/>
                <w:color w:val="auto"/>
              </w:rPr>
              <w:t>(In millions, except percentages)</w:t>
            </w:r>
          </w:p>
        </w:tc>
        <w:tc>
          <w:tcPr>
            <w:tcW w:w="880" w:type="dxa"/>
            <w:vAlign w:val="bottom"/>
          </w:tcPr>
          <w:p>
            <w:pPr>
              <w:spacing w:after="0"/>
              <w:rPr>
                <w:sz w:val="10"/>
                <w:szCs w:val="10"/>
                <w:color w:val="auto"/>
              </w:rPr>
            </w:pPr>
          </w:p>
        </w:tc>
      </w:tr>
      <w:tr>
        <w:trPr>
          <w:trHeight w:val="168"/>
        </w:trPr>
        <w:tc>
          <w:tcPr>
            <w:tcW w:w="6240" w:type="dxa"/>
            <w:vAlign w:val="bottom"/>
          </w:tcPr>
          <w:p>
            <w:pPr>
              <w:spacing w:after="0"/>
              <w:rPr>
                <w:sz w:val="20"/>
                <w:szCs w:val="20"/>
                <w:color w:val="auto"/>
              </w:rPr>
            </w:pPr>
            <w:r>
              <w:rPr>
                <w:rFonts w:ascii="Arial" w:cs="Arial" w:eastAsia="Arial" w:hAnsi="Arial"/>
                <w:sz w:val="13"/>
                <w:szCs w:val="13"/>
                <w:color w:val="auto"/>
              </w:rPr>
              <w:t>Revenues</w:t>
            </w:r>
          </w:p>
        </w:tc>
        <w:tc>
          <w:tcPr>
            <w:tcW w:w="620" w:type="dxa"/>
            <w:vAlign w:val="bottom"/>
          </w:tcPr>
          <w:p>
            <w:pPr>
              <w:ind w:left="140"/>
              <w:spacing w:after="0"/>
              <w:rPr>
                <w:sz w:val="20"/>
                <w:szCs w:val="20"/>
                <w:color w:val="auto"/>
              </w:rPr>
            </w:pPr>
            <w:r>
              <w:rPr>
                <w:rFonts w:ascii="Arial" w:cs="Arial" w:eastAsia="Arial" w:hAnsi="Arial"/>
                <w:sz w:val="13"/>
                <w:szCs w:val="13"/>
                <w:color w:val="auto"/>
              </w:rPr>
              <w:t>$75.8</w:t>
            </w:r>
          </w:p>
        </w:tc>
        <w:tc>
          <w:tcPr>
            <w:tcW w:w="840" w:type="dxa"/>
            <w:vAlign w:val="bottom"/>
            <w:gridSpan w:val="2"/>
          </w:tcPr>
          <w:p>
            <w:pPr>
              <w:jc w:val="right"/>
              <w:ind w:right="149"/>
              <w:spacing w:after="0"/>
              <w:rPr>
                <w:sz w:val="20"/>
                <w:szCs w:val="20"/>
                <w:color w:val="auto"/>
              </w:rPr>
            </w:pPr>
            <w:r>
              <w:rPr>
                <w:rFonts w:ascii="Arial" w:cs="Arial" w:eastAsia="Arial" w:hAnsi="Arial"/>
                <w:sz w:val="13"/>
                <w:szCs w:val="13"/>
                <w:color w:val="auto"/>
              </w:rPr>
              <w:t>$8.7</w:t>
            </w:r>
          </w:p>
        </w:tc>
        <w:tc>
          <w:tcPr>
            <w:tcW w:w="1120" w:type="dxa"/>
            <w:vAlign w:val="bottom"/>
            <w:gridSpan w:val="2"/>
          </w:tcPr>
          <w:p>
            <w:pPr>
              <w:jc w:val="right"/>
              <w:ind w:right="249"/>
              <w:spacing w:after="0"/>
              <w:rPr>
                <w:sz w:val="20"/>
                <w:szCs w:val="20"/>
                <w:color w:val="auto"/>
              </w:rPr>
            </w:pPr>
            <w:r>
              <w:rPr>
                <w:rFonts w:ascii="Arial" w:cs="Arial" w:eastAsia="Arial" w:hAnsi="Arial"/>
                <w:sz w:val="13"/>
                <w:szCs w:val="13"/>
                <w:color w:val="auto"/>
              </w:rPr>
              <w:t>$67.1</w:t>
            </w:r>
          </w:p>
        </w:tc>
        <w:tc>
          <w:tcPr>
            <w:tcW w:w="280" w:type="dxa"/>
            <w:vAlign w:val="bottom"/>
          </w:tcPr>
          <w:p>
            <w:pPr>
              <w:spacing w:after="0"/>
              <w:rPr>
                <w:sz w:val="14"/>
                <w:szCs w:val="14"/>
                <w:color w:val="auto"/>
              </w:rPr>
            </w:pPr>
          </w:p>
        </w:tc>
        <w:tc>
          <w:tcPr>
            <w:tcW w:w="880" w:type="dxa"/>
            <w:vAlign w:val="bottom"/>
          </w:tcPr>
          <w:p>
            <w:pPr>
              <w:jc w:val="right"/>
              <w:ind w:right="126"/>
              <w:spacing w:after="0"/>
              <w:rPr>
                <w:sz w:val="20"/>
                <w:szCs w:val="20"/>
                <w:color w:val="auto"/>
              </w:rPr>
            </w:pPr>
            <w:r>
              <w:rPr>
                <w:rFonts w:ascii="Arial" w:cs="Arial" w:eastAsia="Arial" w:hAnsi="Arial"/>
                <w:sz w:val="13"/>
                <w:szCs w:val="13"/>
                <w:color w:val="auto"/>
              </w:rPr>
              <w:t>771.9%</w:t>
            </w:r>
          </w:p>
        </w:tc>
      </w:tr>
    </w:tbl>
    <w:p>
      <w:pPr>
        <w:spacing w:after="0" w:line="81"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The increase in our satellite services segment revenue in fiscal year 2010 when compared to fiscal year 2009 was primarily due to the acquisition of WildBlue in December 2009, which contributed $63.4 million of revenues in fiscal year 2010. The remainder of the revenue increase was primarily driven by growth in our mobile broadband services revenues.</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Segment operating loss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40" w:type="dxa"/>
            <w:vAlign w:val="bottom"/>
          </w:tcPr>
          <w:p>
            <w:pPr>
              <w:spacing w:after="0"/>
              <w:rPr>
                <w:sz w:val="10"/>
                <w:szCs w:val="10"/>
                <w:color w:val="auto"/>
              </w:rPr>
            </w:pPr>
          </w:p>
        </w:tc>
        <w:tc>
          <w:tcPr>
            <w:tcW w:w="158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8"/>
              </w:rPr>
              <w:t>Dollar</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2"/>
              </w:rPr>
              <w:t>Percentage</w:t>
            </w:r>
          </w:p>
        </w:tc>
      </w:tr>
      <w:tr>
        <w:trPr>
          <w:trHeight w:val="81"/>
        </w:trPr>
        <w:tc>
          <w:tcPr>
            <w:tcW w:w="6140" w:type="dxa"/>
            <w:vAlign w:val="bottom"/>
          </w:tcPr>
          <w:p>
            <w:pPr>
              <w:spacing w:after="0"/>
              <w:rPr>
                <w:sz w:val="7"/>
                <w:szCs w:val="7"/>
                <w:color w:val="auto"/>
              </w:rPr>
            </w:pPr>
          </w:p>
        </w:tc>
        <w:tc>
          <w:tcPr>
            <w:tcW w:w="640" w:type="dxa"/>
            <w:vAlign w:val="bottom"/>
          </w:tcPr>
          <w:p>
            <w:pPr>
              <w:jc w:val="right"/>
              <w:ind w:right="83"/>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660" w:type="dxa"/>
            <w:vAlign w:val="bottom"/>
          </w:tcPr>
          <w:p>
            <w:pPr>
              <w:jc w:val="right"/>
              <w:ind w:right="109"/>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c>
          <w:tcPr>
            <w:tcW w:w="280" w:type="dxa"/>
            <w:vAlign w:val="bottom"/>
          </w:tcPr>
          <w:p>
            <w:pPr>
              <w:spacing w:after="0"/>
              <w:rPr>
                <w:sz w:val="7"/>
                <w:szCs w:val="7"/>
                <w:color w:val="auto"/>
              </w:rPr>
            </w:pPr>
          </w:p>
        </w:tc>
        <w:tc>
          <w:tcPr>
            <w:tcW w:w="9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Increase</w:t>
            </w:r>
          </w:p>
        </w:tc>
      </w:tr>
      <w:tr>
        <w:trPr>
          <w:trHeight w:val="125"/>
        </w:trPr>
        <w:tc>
          <w:tcPr>
            <w:tcW w:w="6140" w:type="dxa"/>
            <w:vAlign w:val="bottom"/>
          </w:tcPr>
          <w:p>
            <w:pPr>
              <w:spacing w:after="0"/>
              <w:rPr>
                <w:sz w:val="10"/>
                <w:szCs w:val="10"/>
                <w:color w:val="auto"/>
              </w:rPr>
            </w:pPr>
          </w:p>
        </w:tc>
        <w:tc>
          <w:tcPr>
            <w:tcW w:w="64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8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r>
      <w:tr>
        <w:trPr>
          <w:trHeight w:val="125"/>
        </w:trPr>
        <w:tc>
          <w:tcPr>
            <w:tcW w:w="6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3"/>
          </w:tcPr>
          <w:p>
            <w:pPr>
              <w:ind w:left="280"/>
              <w:spacing w:after="0"/>
              <w:rPr>
                <w:sz w:val="20"/>
                <w:szCs w:val="20"/>
                <w:color w:val="auto"/>
              </w:rPr>
            </w:pPr>
            <w:r>
              <w:rPr>
                <w:rFonts w:ascii="Arial" w:cs="Arial" w:eastAsia="Arial" w:hAnsi="Arial"/>
                <w:sz w:val="10"/>
                <w:szCs w:val="10"/>
                <w:b w:val="1"/>
                <w:bCs w:val="1"/>
                <w:color w:val="auto"/>
                <w:w w:val="92"/>
              </w:rPr>
              <w:t>(In millions, except percentages)</w:t>
            </w: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1"/>
        </w:trPr>
        <w:tc>
          <w:tcPr>
            <w:tcW w:w="6140" w:type="dxa"/>
            <w:vAlign w:val="bottom"/>
          </w:tcPr>
          <w:p>
            <w:pPr>
              <w:spacing w:after="0"/>
              <w:rPr>
                <w:sz w:val="20"/>
                <w:szCs w:val="20"/>
                <w:color w:val="auto"/>
              </w:rPr>
            </w:pPr>
            <w:r>
              <w:rPr>
                <w:rFonts w:ascii="Arial" w:cs="Arial" w:eastAsia="Arial" w:hAnsi="Arial"/>
                <w:sz w:val="13"/>
                <w:szCs w:val="13"/>
                <w:color w:val="auto"/>
              </w:rPr>
              <w:t>Segment operating loss</w:t>
            </w:r>
          </w:p>
        </w:tc>
        <w:tc>
          <w:tcPr>
            <w:tcW w:w="640" w:type="dxa"/>
            <w:vAlign w:val="bottom"/>
          </w:tcPr>
          <w:p>
            <w:pPr>
              <w:jc w:val="right"/>
              <w:ind w:right="83"/>
              <w:spacing w:after="0"/>
              <w:rPr>
                <w:sz w:val="20"/>
                <w:szCs w:val="20"/>
                <w:color w:val="auto"/>
              </w:rPr>
            </w:pPr>
            <w:r>
              <w:rPr>
                <w:rFonts w:ascii="Arial" w:cs="Arial" w:eastAsia="Arial" w:hAnsi="Arial"/>
                <w:sz w:val="13"/>
                <w:szCs w:val="13"/>
                <w:color w:val="auto"/>
              </w:rPr>
              <w:t>$ (9.3)</w:t>
            </w:r>
          </w:p>
        </w:tc>
        <w:tc>
          <w:tcPr>
            <w:tcW w:w="940" w:type="dxa"/>
            <w:vAlign w:val="bottom"/>
            <w:gridSpan w:val="2"/>
          </w:tcPr>
          <w:p>
            <w:pPr>
              <w:jc w:val="right"/>
              <w:ind w:right="89"/>
              <w:spacing w:after="0"/>
              <w:rPr>
                <w:sz w:val="20"/>
                <w:szCs w:val="20"/>
                <w:color w:val="auto"/>
              </w:rPr>
            </w:pPr>
            <w:r>
              <w:rPr>
                <w:rFonts w:ascii="Arial" w:cs="Arial" w:eastAsia="Arial" w:hAnsi="Arial"/>
                <w:sz w:val="13"/>
                <w:szCs w:val="13"/>
                <w:color w:val="auto"/>
              </w:rPr>
              <w:t>$ (4.0)</w:t>
            </w:r>
          </w:p>
        </w:tc>
        <w:tc>
          <w:tcPr>
            <w:tcW w:w="1080" w:type="dxa"/>
            <w:vAlign w:val="bottom"/>
            <w:gridSpan w:val="2"/>
          </w:tcPr>
          <w:p>
            <w:pPr>
              <w:jc w:val="center"/>
              <w:ind w:left="194"/>
              <w:spacing w:after="0"/>
              <w:rPr>
                <w:sz w:val="20"/>
                <w:szCs w:val="20"/>
                <w:color w:val="auto"/>
              </w:rPr>
            </w:pPr>
            <w:r>
              <w:rPr>
                <w:rFonts w:ascii="Arial" w:cs="Arial" w:eastAsia="Arial" w:hAnsi="Arial"/>
                <w:sz w:val="13"/>
                <w:szCs w:val="13"/>
                <w:color w:val="auto"/>
                <w:w w:val="99"/>
              </w:rPr>
              <w:t>$(5.3)</w:t>
            </w:r>
          </w:p>
        </w:tc>
        <w:tc>
          <w:tcPr>
            <w:tcW w:w="1180" w:type="dxa"/>
            <w:vAlign w:val="bottom"/>
            <w:gridSpan w:val="2"/>
          </w:tcPr>
          <w:p>
            <w:pPr>
              <w:jc w:val="right"/>
              <w:ind w:right="69"/>
              <w:spacing w:after="0"/>
              <w:rPr>
                <w:sz w:val="20"/>
                <w:szCs w:val="20"/>
                <w:color w:val="auto"/>
              </w:rPr>
            </w:pPr>
            <w:r>
              <w:rPr>
                <w:rFonts w:ascii="Arial" w:cs="Arial" w:eastAsia="Arial" w:hAnsi="Arial"/>
                <w:sz w:val="13"/>
                <w:szCs w:val="13"/>
                <w:color w:val="auto"/>
              </w:rPr>
              <w:t>(133.9)%</w:t>
            </w: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Percentage of segment revenues</w:t>
            </w:r>
          </w:p>
        </w:tc>
        <w:tc>
          <w:tcPr>
            <w:tcW w:w="640" w:type="dxa"/>
            <w:vAlign w:val="bottom"/>
          </w:tcPr>
          <w:p>
            <w:pPr>
              <w:jc w:val="right"/>
              <w:spacing w:after="0"/>
              <w:rPr>
                <w:sz w:val="20"/>
                <w:szCs w:val="20"/>
                <w:color w:val="auto"/>
              </w:rPr>
            </w:pPr>
            <w:r>
              <w:rPr>
                <w:rFonts w:ascii="Arial" w:cs="Arial" w:eastAsia="Arial" w:hAnsi="Arial"/>
                <w:sz w:val="13"/>
                <w:szCs w:val="13"/>
                <w:color w:val="auto"/>
              </w:rPr>
              <w:t>(12.3)%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(45.8)%</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8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increase in our satellite services segment operating loss of $5.3 million in fiscal year 2010 when compared to fiscal year 2009 was primarily due to approximately $8.7 million in transaction-related expenses incurred in connection with the WildBlue acquisition and $21.0 million in SG&amp;A expenses incurred by WildBlue during fiscal year 2010 since the date of acquisition (of which $2.7 million was related to certain post-acquisition charges recorded for restructuring costs related to terminated employees), offset by WildBlue revenues and related product contributions of $25.5 million.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As reflected in the table below, both funded and firm backlog increased during fiscal year 2011 in the government systems segment, despite continuing U.S. government defense budget delays. Funded and firm backlog in the commercial segment declined primarily due to expected contract awards being delayed and shifting to the early part of fiscal year 2012.</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April 1, 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April 2, 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Firm backlog</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Government Systems segment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283.8</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217.8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Commercial Networks segment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283.5</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Satellite Services segment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528.7</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528.8</w:t>
            </w:r>
          </w:p>
        </w:tc>
        <w:tc>
          <w:tcPr>
            <w:tcW w:w="0" w:type="dxa"/>
            <w:vAlign w:val="bottom"/>
          </w:tcPr>
          <w:p>
            <w:pPr>
              <w:spacing w:after="0"/>
              <w:rPr>
                <w:sz w:val="1"/>
                <w:szCs w:val="1"/>
                <w:color w:val="auto"/>
              </w:rPr>
            </w:pPr>
          </w:p>
        </w:tc>
      </w:tr>
      <w:tr>
        <w:trPr>
          <w:trHeight w:val="166"/>
        </w:trPr>
        <w:tc>
          <w:tcPr>
            <w:tcW w:w="7700" w:type="dxa"/>
            <w:vAlign w:val="bottom"/>
          </w:tcPr>
          <w:p>
            <w:pPr>
              <w:spacing w:after="0"/>
              <w:rPr>
                <w:sz w:val="20"/>
                <w:szCs w:val="20"/>
                <w:color w:val="auto"/>
              </w:rPr>
            </w:pPr>
            <w:r>
              <w:rPr>
                <w:rFonts w:ascii="Arial" w:cs="Arial" w:eastAsia="Arial" w:hAnsi="Arial"/>
                <w:sz w:val="13"/>
                <w:szCs w:val="13"/>
                <w:b w:val="1"/>
                <w:bCs w:val="1"/>
                <w:color w:val="auto"/>
              </w:rPr>
              <w:t>Funded backlog</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Government Systems segment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Commercial Networks segment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216.7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283.5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Satellite Services segment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480.5</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521.0</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The firm backlog does not include contract options. Of the $528.7 million in firm backlog, approximately $357.2 million is expected to be delivered in fiscal year 2012, and the balance is expected to be delivered in fiscal year 2013 and thereafter. We include in our backlog only those orders for which we have accepted purchase orders.</w:t>
      </w:r>
    </w:p>
    <w:p>
      <w:pPr>
        <w:spacing w:after="0" w:line="35"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Our total new awards were $853.5 million, $773.0 million and $736.0 million for fiscal years 2011, 2010 and 2009, respectively. New contract awards in fiscal year 2011 were a record for us.</w:t>
      </w:r>
    </w:p>
    <w:p>
      <w:pPr>
        <w:spacing w:after="0" w:line="59"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5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not control the funding of our contracts, our experience indicates that actual contract fundings have ultimately been approximately equal to the aggregate amounts of the contracts.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financed our operations to date primarily with cash flows from operations, bank line of credit financing, debt financing and equity financing. At April 1, 2011, we had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$40.5 million in cash and cash equivalents, $167.5 million in working capital and $60.0 million in principal amount of outstanding borrowings under our Credit Facility. At April 2, 2010, we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had $89.6 million in cash and cash equivalents, $214.5 million in working capital and $60.0 million in principal amount of outstanding borrowings under our Credit Facility. We invest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cash in excess of current operating requirements in short-term, interest-bearing, investment-grade securities.</w:t>
      </w:r>
    </w:p>
    <w:p>
      <w:pPr>
        <w:spacing w:after="0" w:line="89"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general cash needs of our government systems, commercial networks and satellite services segments can vary significantly. In our government systems segment, the primary factors determining cash needs tend to be the type and mix of contracts in backlog (i.e., product or service, development or production, and timing of payments), and restrictions on the timing of cash payments under U.S. government procurement regulations. In our commercial networks segment cash needs tend to be driven primarily by the type and mix of contracts in backlog, the nature and quality of customers, and the payment terms of customers (including whether advance payments are made or customer financing is required). Other factors affecting the cash needs of these segments include contract duration and program performance. For example, if a program is performing well and meeting its contractual requirements, then its cash flow requirements are usually lower. The cash needs of our satellite services segment tend to be driven primarily by the timing of payment of capital expenditures (e.g., milestones under our satellite construction, timing of network expansion activities and launch contracts), as well as the quality of customer, type of contract and payment terms.</w:t>
      </w:r>
    </w:p>
    <w:p>
      <w:pPr>
        <w:spacing w:after="0" w:line="5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To further enhance our liquidity position, we may obtain additional financing, which could consist of debt, convertible debt or equity financing from public and/or private capital markets. 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7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future capital requirements will depend upon many factors, including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Cash provided by operating activities in fiscal year 2011 was $169.6 million compared to cash provided by operating activities in fiscal year 2010 of $112.5 million. This increase of $57.1 million in cash provided by operating activities was primarily driven by our operating results (net income adjusted for depreciation, amortization and other non-cash charges) which generated $63.0 million of cash inflows, offset by a $5.9 million year-over-year increase in cash used to fund net operating asset needs. The increase in cash inflows was primarily due to the operations of WildBlue being included for the entire fiscal year. The increase in net operating assets was predominantly due to additional investment in our inventory of $15.6 million from April 2, 2010 to support our government satellite communication systems and next generation broadband equipment programs, as well as due to a $15.5 million increase in combined billed and unbilled accounts receivables, net, from April 2, 2010 attributable to contractual timing of certain milestones in our government systems segment.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Cash used in investing activities in fiscal year 2011 was $237.7 million compared to cash used in investing activities in fiscal year 2010 of $519.0 million. The decrease in cash used in investing activities was primarily related to $378.0 million of net cash used for the acquisition of WildBlue in fiscal year 2010, compared to approximately $13.5 million of net cash used for the acquisition of Stonewood in fiscal year 2011 and a decrease of approximately $13.8 million in capital expenditures for the construction of ViaSat-1. This decrease was offset by an increase of approximately $49.3 million in capital expenditures for new CPE units used in our retail consumer broadband service and other general purpose equipment, and an additional $38.3 million for the construction of gateway facilities and network operation systems related to ViaSat-1.</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provided by financing activities for fiscal year 2011 was $18.6 million compared to $432.1 million for fiscal year 2010. This $413.5 million decrease related primarily to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$271.6 million in proceeds, net of issue discount, from our borrowing under the Notes, $60.0 million in proceeds, net of repayments, from borrowings under our Credit Facility,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$100.5 million in net proceeds from a public offering of common stock during fiscal year 2010. These cash inflows in fiscal year 2010 were offset by the payment of debt issuance costs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$12.8 million and the repurchase of 251,731 shares of ViaSat common stock from Intelsat for approximately $8.0 million compared to a $2.8 million payment of debt issuance costs in fiscal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year 2011. In addition, cash provided by financing activities for both periods included cash received from stock option exercises and employee stock purchase plan purchases, which raised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 additional $3.3 million year-over-year, and cash used for the repurchase of common stock related to net share settlement of certain employee tax liabilities in connection with the vesting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restricted stock unit awards.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Satellite-related activities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January 2008, we entered into several agreements with Space Systems/Loral, Inc. (SS/L), Loral Space &amp; Communications, Inc. (Loral) and Telesat Canada related to our anticipated high-capacity satellite system. Under the satellite construction contract with SS/L, we purchased ViaSat-1, a new high-capacity Ka-band spot-beam satellite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which is estimated to be approximately $22.5 million, and in-orbit insurance and satellite operating costs post launch. On March 1, 2011, Loral entered into agreements with Telesat Canada pursuant to which Loral assigned to Telesat Canada and Telesat Canada assumed from Loral all of Loral’s rights and obligations with respect to the Canadian beams on ViaSat-1.</w:t>
      </w:r>
    </w:p>
    <w:p>
      <w:pPr>
        <w:spacing w:after="0" w:line="7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November 2008, we entered into a launch services agreement with Arianespace to procure launch services for ViaSat-1 at a cost estimated to be $107.8 million, depending on the mass of the satellite at launch. In March 2009, we substituted ILS International Launch Services, Inc. (ILS) for Arianespace as the primary provider of launch services for ViaSat-1 and, accordingly, we entered into a contract for launch services with ILS to procure launch services for ViaSat-1 at an estimated cost of approximately $80.0 million, subject to certain adjustments, resulting in a net savings of approximately $20.0 million.</w:t>
      </w:r>
    </w:p>
    <w:p>
      <w:pPr>
        <w:spacing w:after="0" w:line="7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On May 7, 2009, we entered into an Amended and Restated Launch Services Agreement with Arianespace whereby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5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The projected total cost of the ViaSat-1 project, including the satellite, launch, insurance and related gateway infrastructure, through in-service of the satellite is estimated to be approximately $400.0 million, excluding capitalized interest, and will depend on the timing of the gateway infrastructure roll-out, among other things. However, we anticipate capitalizing certain amounts of interest expense related to our outstanding borrowings in connection with our capital projects under construction, such as construction of ViaSat-1 and other assets. We continually evaluate alternative strategies that would limit our total required investment. We believe we have adequate sources of funding for the project, which includes our cash on hand, the cash we expect to generate from</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operations, and additional borrowing ability based on our financial position and debt leverage ratio. We believe this provides us flexibility to execute this project in an appropriate manner and/or obtain outside equity under terms that we consider reasonable.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Notes due 2016</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October 22, 2009, we issued $275.0 million in principal amount of Notes in a private placement to institutional buyers. The Notes were exchanged in May 2010 for substantially identical Notes that had been registered with the SEC. The Notes bear interest at the rate of 8.875% per year, payable semi-annually in cash in arrears, which interest payments commenced in March 2010. The Notes were issued with an original issue discount of 1.24%, or $3.4 million. The Notes are recorded as long-term debt, net of original issue discount, in our consolidated financial statements. The original issue discount and deferred financing cost associated with the issuance of the Notes are amortized to interest expense on a straight-line basis over the term of the Notes.</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Notes are guaranteed on an unsecured senior basis by each of our existing and future subsidiaries that guarantees the Credit Facility (the Guarantor Subsidiaries). The Notes and the guarantees are our and the Guarantor Subsidiaries’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Notes, and are senior in right of payment to all of their existing and future subordinated indebtedness.</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indenture governing the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70"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Prior to September 15, 2012, we may redeem up to 35% of the Notes at a redemption price of 108.875% of the principal amount thereof, plus accrued and unpaid interest, if any, thereon to the redemption date, from the net cash proceeds of specified equity offerings. We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6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the event a change of control occurs (as defined under the indenture), each holder will have the right to require us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Facility</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As of April 1, 2011, the Credit Facility provided a revolving line of credit of $325.0 million (including up to $35.0 million of letters of credit), with a maturity date of January 25, 2016. On January 25, 2011 we amended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Credit Facility to (1) increase our revolving line of credit from $275.0 million to $325.0 million, (2) extend the maturity date of the Credit Facility from July 1, 2012 to January 25, 2016,</w:t>
      </w:r>
    </w:p>
    <w:p>
      <w:pPr>
        <w:spacing w:after="0" w:line="27" w:lineRule="exact"/>
        <w:rPr>
          <w:sz w:val="20"/>
          <w:szCs w:val="20"/>
          <w:color w:val="auto"/>
        </w:rPr>
      </w:pPr>
    </w:p>
    <w:p>
      <w:pPr>
        <w:ind w:left="680" w:right="20" w:firstLine="7"/>
        <w:spacing w:after="0" w:line="277" w:lineRule="auto"/>
        <w:tabs>
          <w:tab w:leader="none" w:pos="866" w:val="left"/>
        </w:tabs>
        <w:numPr>
          <w:ilvl w:val="0"/>
          <w:numId w:val="36"/>
        </w:numPr>
        <w:rPr>
          <w:rFonts w:ascii="Arial" w:cs="Arial" w:eastAsia="Arial" w:hAnsi="Arial"/>
          <w:sz w:val="12"/>
          <w:szCs w:val="12"/>
          <w:color w:val="auto"/>
        </w:rPr>
      </w:pPr>
      <w:r>
        <w:rPr>
          <w:rFonts w:ascii="Arial" w:cs="Arial" w:eastAsia="Arial" w:hAnsi="Arial"/>
          <w:sz w:val="12"/>
          <w:szCs w:val="12"/>
          <w:color w:val="auto"/>
        </w:rPr>
        <w:t>decrease the commitment fee and the applicable margin for Eurodollar and base rate loans under the Credit Facility, and (4) amend certain financial and other covenants to provide us with increased flexibility. Borrowings under the Credit Facility bear interest, at our option, at either (1) the highest of the Federal Funds rate plus 0.50%, Eurodollar rate plus 1.00% or the administrative agent’s prime rate as announced from time to time, or (2) at the Eurodollar rate plus, in the case of each of (1) and (2), an applicable margin that is based on the ratio of our debt to earnings before interest, taxes, depreciation and amortization (EBITDA). At April 1, 2011, the weighted average effective interest rate on our outstanding borrowings under the Credit Facility was 3.29%. We have capitalized certain amounts of interest expense on our Credit Facility in connection with the construction of ViaSat-1, related gateway and networking equipment, and other assets currently under construction. The Credit Facility is guaranteed by certain of our domestic subsidiaries and collateralized by substantially all of our respective assets. The Credit Facility contains financial covenants regarding a maximum leverage ratio, a maximum senior secured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 At April 1, 2011, we had $60.0 million in principal amount of outstanding borrowings under the Credit Facility and $14.3 million outstanding under standby letters of credit, leaving borrowing availability under the Credit Facility as of April 1, 2011 of $250.7 million.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a summary of our obligations at April 1, 2011:</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0"/>
                <w:szCs w:val="10"/>
                <w:b w:val="1"/>
                <w:bCs w:val="1"/>
                <w:color w:val="auto"/>
              </w:rPr>
              <w:t>Total</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0"/>
                <w:szCs w:val="10"/>
                <w:b w:val="1"/>
                <w:bCs w:val="1"/>
                <w:color w:val="auto"/>
              </w:rPr>
              <w:t>For the Fiscal Years Ending</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rPr>
              <w:t>2012</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ind w:right="158"/>
              <w:spacing w:after="0" w:line="98" w:lineRule="exact"/>
              <w:rPr>
                <w:sz w:val="20"/>
                <w:szCs w:val="20"/>
                <w:color w:val="auto"/>
              </w:rPr>
            </w:pPr>
            <w:r>
              <w:rPr>
                <w:rFonts w:ascii="Arial" w:cs="Arial" w:eastAsia="Arial" w:hAnsi="Arial"/>
                <w:sz w:val="10"/>
                <w:szCs w:val="10"/>
                <w:b w:val="1"/>
                <w:bCs w:val="1"/>
                <w:color w:val="auto"/>
              </w:rPr>
              <w:t>2013-2014</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ind w:right="56"/>
              <w:spacing w:after="0" w:line="98" w:lineRule="exact"/>
              <w:rPr>
                <w:sz w:val="20"/>
                <w:szCs w:val="20"/>
                <w:color w:val="auto"/>
              </w:rPr>
            </w:pPr>
            <w:r>
              <w:rPr>
                <w:rFonts w:ascii="Arial" w:cs="Arial" w:eastAsia="Arial" w:hAnsi="Arial"/>
                <w:sz w:val="10"/>
                <w:szCs w:val="10"/>
                <w:b w:val="1"/>
                <w:bCs w:val="1"/>
                <w:color w:val="auto"/>
                <w:w w:val="96"/>
              </w:rPr>
              <w:t>2015-2016</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Thereafter</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leases and satellite capacity agreements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161,919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35,642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55,402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42,018</w:t>
            </w: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rPr>
                <w:sz w:val="20"/>
                <w:szCs w:val="20"/>
                <w:color w:val="auto"/>
              </w:rPr>
            </w:pPr>
            <w:r>
              <w:rPr>
                <w:rFonts w:ascii="Arial" w:cs="Arial" w:eastAsia="Arial" w:hAnsi="Arial"/>
                <w:sz w:val="13"/>
                <w:szCs w:val="13"/>
                <w:color w:val="auto"/>
              </w:rPr>
              <w:t>Capital lease</w:t>
            </w: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3,269</w:t>
            </w: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1,238</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2,031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 Notes(1)</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408,217</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24,406</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48,813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48,813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286,185</w:t>
            </w: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rPr>
                <w:sz w:val="20"/>
                <w:szCs w:val="20"/>
                <w:color w:val="auto"/>
              </w:rPr>
            </w:pPr>
            <w:r>
              <w:rPr>
                <w:rFonts w:ascii="Arial" w:cs="Arial" w:eastAsia="Arial" w:hAnsi="Arial"/>
                <w:sz w:val="13"/>
                <w:szCs w:val="13"/>
                <w:color w:val="auto"/>
              </w:rPr>
              <w:t>Line of credit</w:t>
            </w: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60,000</w:t>
            </w: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60,000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Standby letters of credit</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14,278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14,278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rPr>
                <w:sz w:val="20"/>
                <w:szCs w:val="20"/>
                <w:color w:val="auto"/>
              </w:rPr>
            </w:pPr>
            <w:r>
              <w:rPr>
                <w:rFonts w:ascii="Arial" w:cs="Arial" w:eastAsia="Arial" w:hAnsi="Arial"/>
                <w:sz w:val="13"/>
                <w:szCs w:val="13"/>
                <w:color w:val="auto"/>
              </w:rPr>
              <w:t>Purchase commitments including satellite-related agreements</w:t>
            </w: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502,378</w:t>
            </w: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194,950</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136,927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97,950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72,551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1,150,061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270,514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235,620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400,754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2"/>
          <w:szCs w:val="12"/>
          <w:color w:val="auto"/>
        </w:rPr>
        <w:t>(1)  Includes total interest payments on the Notes of $24.4 million in fiscal year 2012, $48.8 million in fiscal 2013-2014, $48.8 million in fiscal 2015-2016 and $11.2 million thereafter.</w:t>
      </w:r>
    </w:p>
    <w:p>
      <w:pPr>
        <w:spacing w:after="0" w:line="10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ViaSat-1.In addition, we have contracted for an additional launch which can be used as a back-up launch for ViaSat-1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Our consolidated balance sheets included $23.8 million and $24.4 million of “other liabilities” as of April 1, 2011 and April 2, 2010, respectively, which primarily consisted of our long-term warranty obligations, deferred lease credits, long-term portion of deferred revenue and long-term unrecognized tax position liabilities. These remaining liabilities have been excluded from the above table as the timing and/or the amount of any cash payment is uncertain. See Note 8 to our consolidated financial statements for additional information regarding our income taxes and related tax positions and Note 13 to our consolidated financial statements for a discussion of our product warranties.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Relationships and Related-Party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 discussion of “Certain Relationships and Related-Party Transactions,” see Note 16 to our consolidated financial statements, which we incorporate herein by reference.</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had no material off-balance sheet arrangements at April 1, 2011 as defined in Regulation S-K Item 303(a)(4) other than as discussed under Contractual Obligations above or disclosed in the notes to our consolidated financial statements included in this report.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Authoritative Guidance</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October 2009, the Financial Accounting Standards Board (FASB) issued authoritative guidance for revenue recognition with multiple deliverables (ASU 2009-13, which updated ASC 605-25).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us beginning in the first quarter of fiscal year 2012; however, early adoption is permitted. We are currently evaluating the impact that the authoritative guidance may have on our consolidated financial statements and disclosures.</w:t>
      </w:r>
    </w:p>
    <w:p>
      <w:pPr>
        <w:spacing w:after="0" w:line="55"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May 2011, the FASB issued ASU 2011-04, Fair Value Measurement (ASC 820): Amendments to Achieve Common Fair Value Measurement and Disclosure Requirements in U.S. GAAP and IFRSs. The new authoritative guidance results in a consistent definition of fair value and common requirements for measurement of and disclosure about fair value between U.S. GAAP and International Financial Reporting Standards. While many of the amendments to U.S. GAAP are not expected to have a significant effect on practice, the new guidance changes some fair value measurement principles and disclosure requirements. This guidance will be effective for us beginning in the fourth quarter of fiscal year 2012. Adoption of this authoritative guidance is not expected to have a material impact on our consolidated financial statements and disclosures.</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Our financial instruments consist of cash and cash equivalents, trade accounts receivable, accounts payable, and short-term and long-term obligations, including the Credit Facility and the Notes. We consider investments in highly liquid instruments purchased with a remaining maturity of 90 days or less at the date of purchase to be cash equivalents. As of April 1, 2011, we had $60.0 million and $275.0 million in principal amount of outstanding borrowings under our Credit Facility and Notes, respectively, and we held no short-term investments. Our exposure to market risk for changes in interest rates relates primarily to borrowings under our Credit Facility, cash equivalents, short-term investments and short-term obligations, as our Notes bear interest at a fixed rate.</w:t>
      </w:r>
    </w:p>
    <w:p>
      <w:pPr>
        <w:spacing w:after="0" w:line="71"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$0.1 million and $0.3 million for the fiscal years ended April 1, 2011 and April 2, 2010,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55" w:lineRule="exact"/>
        <w:rPr>
          <w:sz w:val="20"/>
          <w:szCs w:val="20"/>
          <w:color w:val="auto"/>
        </w:rPr>
      </w:pPr>
    </w:p>
    <w:p>
      <w:pPr>
        <w:ind w:left="680" w:right="240" w:firstLine="399"/>
        <w:spacing w:after="0" w:line="322" w:lineRule="auto"/>
        <w:rPr>
          <w:sz w:val="20"/>
          <w:szCs w:val="20"/>
          <w:color w:val="auto"/>
        </w:rPr>
      </w:pPr>
      <w:r>
        <w:rPr>
          <w:rFonts w:ascii="Arial" w:cs="Arial" w:eastAsia="Arial" w:hAnsi="Arial"/>
          <w:sz w:val="11"/>
          <w:szCs w:val="11"/>
          <w:color w:val="auto"/>
        </w:rPr>
        <w:t>As of April 1, 2011, we had $60.0 million in principal amount of outstanding borrowings under our Credit Facility. Our primary interest rate under the Credit Facility is the Eurodollar rate plus an applicable margin that is based on the ratio of our debt to EBITDA. As of April 1, 2011 and April 2, 2010, the weighted average effective interest rate on our outstanding borrowings under the Credit Facility was 3.29% and 4.75%, respectively. Assuming the outstanding balance remained constant over a year, a 50 basis point increase in the interest rate would increase interest incurred prior to effects of capitalized interest and cash flow by approximately $0.3 million for the fiscal years ended April 1, 2011 and April 2, 2010.</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exchange risk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generally conduct our business in U.S. dollars. However, as our international business is conducted in a variety of foreign currencies and we pay some of our vendors in Euros,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7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As of April 1, 2011, we had a number of foreign currency forward contracts outstanding which are intended to reduce the foreign currency risk for amounts payable to vendors in Euros. The foreign currency forward contracts with a notional amount of $4.6 million had a fair value of approximately $0.2 million and were recorded in other current assets as of April 1, 2011. The fair value of these foreign currency forward contracts as of April 1, 2011 would have changed by approximately $0.5 million if the foreign currency forward rate for the Euro to the U.S. dollar on these foreign currency forward contracts had changed by 10%. As of April 2, 2010, we had no foreign currency exchange contracts outstanding.</w:t>
      </w:r>
    </w:p>
    <w:p>
      <w:pPr>
        <w:spacing w:after="0" w:line="12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consolidated financial statements at April 1, 2011 and April 2, 2010 and for each of the three years in the period ended April 1, 2011, and the Report of PricewaterhouseCoopers LLP, Independent Registered Public Accounting Firm, are included in this Annual Report on pages F-1 through F-48.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Summarized Quarterly Data (Unaudited)</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following financial information reflects all normal recurring adjustments which are, in the opinion of management, necessary for the fair statement of the results for the interim periods. Summarized quarterly data for fiscal years 2011 and 2010 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40" w:type="dxa"/>
            <w:vAlign w:val="bottom"/>
          </w:tcPr>
          <w:p>
            <w:pPr>
              <w:spacing w:after="0"/>
              <w:rPr>
                <w:sz w:val="10"/>
                <w:szCs w:val="10"/>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1st Quarter</w:t>
            </w:r>
          </w:p>
        </w:tc>
        <w:tc>
          <w:tcPr>
            <w:tcW w:w="260" w:type="dxa"/>
            <w:vAlign w:val="bottom"/>
          </w:tcPr>
          <w:p>
            <w:pPr>
              <w:spacing w:after="0"/>
              <w:rPr>
                <w:sz w:val="10"/>
                <w:szCs w:val="10"/>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2nd Quarter</w:t>
            </w:r>
          </w:p>
        </w:tc>
        <w:tc>
          <w:tcPr>
            <w:tcW w:w="260" w:type="dxa"/>
            <w:vAlign w:val="bottom"/>
            <w:vMerge w:val="restart"/>
          </w:tcPr>
          <w:p>
            <w:pPr>
              <w:spacing w:after="0"/>
              <w:rPr>
                <w:sz w:val="20"/>
                <w:szCs w:val="20"/>
                <w:color w:val="auto"/>
              </w:rPr>
            </w:pPr>
            <w:r>
              <w:rPr>
                <w:rFonts w:ascii="Arial" w:cs="Arial" w:eastAsia="Arial" w:hAnsi="Arial"/>
                <w:sz w:val="10"/>
                <w:szCs w:val="10"/>
                <w:b w:val="1"/>
                <w:bCs w:val="1"/>
                <w:color w:val="auto"/>
                <w:w w:val="75"/>
              </w:rPr>
              <w:t>except</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0"/>
                <w:szCs w:val="10"/>
                <w:b w:val="1"/>
                <w:bCs w:val="1"/>
                <w:color w:val="auto"/>
              </w:rPr>
              <w:t>3rd Quarter</w:t>
            </w:r>
          </w:p>
        </w:tc>
        <w:tc>
          <w:tcPr>
            <w:tcW w:w="260" w:type="dxa"/>
            <w:vAlign w:val="bottom"/>
          </w:tcPr>
          <w:p>
            <w:pPr>
              <w:spacing w:after="0"/>
              <w:rPr>
                <w:sz w:val="10"/>
                <w:szCs w:val="10"/>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4th Quarter</w:t>
            </w: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8"/>
              <w:spacing w:after="0"/>
              <w:rPr>
                <w:sz w:val="20"/>
                <w:szCs w:val="20"/>
                <w:color w:val="auto"/>
              </w:rPr>
            </w:pPr>
            <w:r>
              <w:rPr>
                <w:rFonts w:ascii="Arial" w:cs="Arial" w:eastAsia="Arial" w:hAnsi="Arial"/>
                <w:sz w:val="10"/>
                <w:szCs w:val="10"/>
                <w:b w:val="1"/>
                <w:bCs w:val="1"/>
                <w:color w:val="auto"/>
              </w:rPr>
              <w:t>(In thousands,</w:t>
            </w:r>
          </w:p>
        </w:tc>
        <w:tc>
          <w:tcPr>
            <w:tcW w:w="260" w:type="dxa"/>
            <w:vAlign w:val="bottom"/>
            <w:vMerge w:val="continue"/>
          </w:tcPr>
          <w:p>
            <w:pPr>
              <w:spacing w:after="0"/>
              <w:rPr>
                <w:sz w:val="11"/>
                <w:szCs w:val="11"/>
                <w:color w:val="auto"/>
              </w:rPr>
            </w:pPr>
          </w:p>
        </w:tc>
        <w:tc>
          <w:tcPr>
            <w:tcW w:w="1180" w:type="dxa"/>
            <w:vAlign w:val="bottom"/>
          </w:tcPr>
          <w:p>
            <w:pPr>
              <w:jc w:val="right"/>
              <w:ind w:right="428"/>
              <w:spacing w:after="0"/>
              <w:rPr>
                <w:sz w:val="20"/>
                <w:szCs w:val="20"/>
                <w:color w:val="auto"/>
              </w:rPr>
            </w:pPr>
            <w:r>
              <w:rPr>
                <w:rFonts w:ascii="Arial" w:cs="Arial" w:eastAsia="Arial" w:hAnsi="Arial"/>
                <w:sz w:val="10"/>
                <w:szCs w:val="10"/>
                <w:b w:val="1"/>
                <w:bCs w:val="1"/>
                <w:color w:val="auto"/>
                <w:w w:val="94"/>
              </w:rPr>
              <w:t>per share data)</w:t>
            </w: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2011</w:t>
            </w: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Total revenues</w:t>
            </w:r>
          </w:p>
        </w:tc>
        <w:tc>
          <w:tcPr>
            <w:tcW w:w="1100" w:type="dxa"/>
            <w:vAlign w:val="bottom"/>
          </w:tcPr>
          <w:p>
            <w:pPr>
              <w:jc w:val="right"/>
              <w:ind w:right="255"/>
              <w:spacing w:after="0"/>
              <w:rPr>
                <w:sz w:val="20"/>
                <w:szCs w:val="20"/>
                <w:color w:val="auto"/>
              </w:rPr>
            </w:pPr>
            <w:r>
              <w:rPr>
                <w:rFonts w:ascii="Arial" w:cs="Arial" w:eastAsia="Arial" w:hAnsi="Arial"/>
                <w:sz w:val="13"/>
                <w:szCs w:val="13"/>
                <w:color w:val="auto"/>
              </w:rPr>
              <w:t>$192,004</w:t>
            </w:r>
          </w:p>
        </w:tc>
        <w:tc>
          <w:tcPr>
            <w:tcW w:w="1440" w:type="dxa"/>
            <w:vAlign w:val="bottom"/>
            <w:gridSpan w:val="2"/>
          </w:tcPr>
          <w:p>
            <w:pPr>
              <w:jc w:val="right"/>
              <w:ind w:right="308"/>
              <w:spacing w:after="0"/>
              <w:rPr>
                <w:sz w:val="20"/>
                <w:szCs w:val="20"/>
                <w:color w:val="auto"/>
              </w:rPr>
            </w:pPr>
            <w:r>
              <w:rPr>
                <w:rFonts w:ascii="Arial" w:cs="Arial" w:eastAsia="Arial" w:hAnsi="Arial"/>
                <w:sz w:val="13"/>
                <w:szCs w:val="13"/>
                <w:color w:val="auto"/>
              </w:rPr>
              <w:t>$197,889</w:t>
            </w:r>
          </w:p>
        </w:tc>
        <w:tc>
          <w:tcPr>
            <w:tcW w:w="1440" w:type="dxa"/>
            <w:vAlign w:val="bottom"/>
            <w:gridSpan w:val="2"/>
          </w:tcPr>
          <w:p>
            <w:pPr>
              <w:jc w:val="right"/>
              <w:ind w:right="328"/>
              <w:spacing w:after="0"/>
              <w:rPr>
                <w:sz w:val="20"/>
                <w:szCs w:val="20"/>
                <w:color w:val="auto"/>
              </w:rPr>
            </w:pPr>
            <w:r>
              <w:rPr>
                <w:rFonts w:ascii="Arial" w:cs="Arial" w:eastAsia="Arial" w:hAnsi="Arial"/>
                <w:sz w:val="13"/>
                <w:szCs w:val="13"/>
                <w:color w:val="auto"/>
              </w:rPr>
              <w:t>$195,941</w:t>
            </w:r>
          </w:p>
        </w:tc>
        <w:tc>
          <w:tcPr>
            <w:tcW w:w="1360" w:type="dxa"/>
            <w:vAlign w:val="bottom"/>
            <w:gridSpan w:val="2"/>
          </w:tcPr>
          <w:p>
            <w:pPr>
              <w:jc w:val="right"/>
              <w:ind w:right="268"/>
              <w:spacing w:after="0"/>
              <w:rPr>
                <w:sz w:val="20"/>
                <w:szCs w:val="20"/>
                <w:color w:val="auto"/>
              </w:rPr>
            </w:pPr>
            <w:r>
              <w:rPr>
                <w:rFonts w:ascii="Arial" w:cs="Arial" w:eastAsia="Arial" w:hAnsi="Arial"/>
                <w:sz w:val="13"/>
                <w:szCs w:val="13"/>
                <w:color w:val="auto"/>
              </w:rPr>
              <w:t>$216,372</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1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7,383</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13,073</w:t>
            </w:r>
          </w:p>
        </w:tc>
        <w:tc>
          <w:tcPr>
            <w:tcW w:w="14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7,012</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11,785</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Net income</w:t>
            </w:r>
          </w:p>
        </w:tc>
        <w:tc>
          <w:tcPr>
            <w:tcW w:w="1100" w:type="dxa"/>
            <w:vAlign w:val="bottom"/>
          </w:tcPr>
          <w:p>
            <w:pPr>
              <w:jc w:val="right"/>
              <w:ind w:right="255"/>
              <w:spacing w:after="0"/>
              <w:rPr>
                <w:sz w:val="20"/>
                <w:szCs w:val="20"/>
                <w:color w:val="auto"/>
              </w:rPr>
            </w:pPr>
            <w:r>
              <w:rPr>
                <w:rFonts w:ascii="Arial" w:cs="Arial" w:eastAsia="Arial" w:hAnsi="Arial"/>
                <w:sz w:val="13"/>
                <w:szCs w:val="13"/>
                <w:color w:val="auto"/>
              </w:rPr>
              <w:t>3,400</w:t>
            </w:r>
          </w:p>
        </w:tc>
        <w:tc>
          <w:tcPr>
            <w:tcW w:w="1440" w:type="dxa"/>
            <w:vAlign w:val="bottom"/>
            <w:gridSpan w:val="2"/>
          </w:tcPr>
          <w:p>
            <w:pPr>
              <w:jc w:val="right"/>
              <w:ind w:right="308"/>
              <w:spacing w:after="0"/>
              <w:rPr>
                <w:sz w:val="20"/>
                <w:szCs w:val="20"/>
                <w:color w:val="auto"/>
              </w:rPr>
            </w:pPr>
            <w:r>
              <w:rPr>
                <w:rFonts w:ascii="Arial" w:cs="Arial" w:eastAsia="Arial" w:hAnsi="Arial"/>
                <w:sz w:val="13"/>
                <w:szCs w:val="13"/>
                <w:color w:val="auto"/>
              </w:rPr>
              <w:t>7,801</w:t>
            </w:r>
          </w:p>
        </w:tc>
        <w:tc>
          <w:tcPr>
            <w:tcW w:w="1440" w:type="dxa"/>
            <w:vAlign w:val="bottom"/>
            <w:gridSpan w:val="2"/>
          </w:tcPr>
          <w:p>
            <w:pPr>
              <w:jc w:val="right"/>
              <w:ind w:right="328"/>
              <w:spacing w:after="0"/>
              <w:rPr>
                <w:sz w:val="20"/>
                <w:szCs w:val="20"/>
                <w:color w:val="auto"/>
              </w:rPr>
            </w:pPr>
            <w:r>
              <w:rPr>
                <w:rFonts w:ascii="Arial" w:cs="Arial" w:eastAsia="Arial" w:hAnsi="Arial"/>
                <w:sz w:val="13"/>
                <w:szCs w:val="13"/>
                <w:color w:val="auto"/>
              </w:rPr>
              <w:t>12,927</w:t>
            </w:r>
          </w:p>
        </w:tc>
        <w:tc>
          <w:tcPr>
            <w:tcW w:w="1360" w:type="dxa"/>
            <w:vAlign w:val="bottom"/>
            <w:gridSpan w:val="2"/>
          </w:tcPr>
          <w:p>
            <w:pPr>
              <w:jc w:val="right"/>
              <w:ind w:right="268"/>
              <w:spacing w:after="0"/>
              <w:rPr>
                <w:sz w:val="20"/>
                <w:szCs w:val="20"/>
                <w:color w:val="auto"/>
              </w:rPr>
            </w:pPr>
            <w:r>
              <w:rPr>
                <w:rFonts w:ascii="Arial" w:cs="Arial" w:eastAsia="Arial" w:hAnsi="Arial"/>
                <w:sz w:val="13"/>
                <w:szCs w:val="13"/>
                <w:color w:val="auto"/>
              </w:rPr>
              <w:t>12,296</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ViaSat, Inc.</w:t>
            </w:r>
          </w:p>
        </w:tc>
        <w:tc>
          <w:tcPr>
            <w:tcW w:w="11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3,261</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7,786</w:t>
            </w:r>
          </w:p>
        </w:tc>
        <w:tc>
          <w:tcPr>
            <w:tcW w:w="14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12,924</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12,144</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Basic net income per share</w:t>
            </w:r>
          </w:p>
        </w:tc>
        <w:tc>
          <w:tcPr>
            <w:tcW w:w="1100" w:type="dxa"/>
            <w:vAlign w:val="bottom"/>
          </w:tcPr>
          <w:p>
            <w:pPr>
              <w:jc w:val="right"/>
              <w:ind w:right="255"/>
              <w:spacing w:after="0"/>
              <w:rPr>
                <w:sz w:val="20"/>
                <w:szCs w:val="20"/>
                <w:color w:val="auto"/>
              </w:rPr>
            </w:pPr>
            <w:r>
              <w:rPr>
                <w:rFonts w:ascii="Arial" w:cs="Arial" w:eastAsia="Arial" w:hAnsi="Arial"/>
                <w:sz w:val="13"/>
                <w:szCs w:val="13"/>
                <w:color w:val="auto"/>
              </w:rPr>
              <w:t>0.08</w:t>
            </w:r>
          </w:p>
        </w:tc>
        <w:tc>
          <w:tcPr>
            <w:tcW w:w="1440" w:type="dxa"/>
            <w:vAlign w:val="bottom"/>
            <w:gridSpan w:val="2"/>
          </w:tcPr>
          <w:p>
            <w:pPr>
              <w:jc w:val="right"/>
              <w:ind w:right="308"/>
              <w:spacing w:after="0"/>
              <w:rPr>
                <w:sz w:val="20"/>
                <w:szCs w:val="20"/>
                <w:color w:val="auto"/>
              </w:rPr>
            </w:pPr>
            <w:r>
              <w:rPr>
                <w:rFonts w:ascii="Arial" w:cs="Arial" w:eastAsia="Arial" w:hAnsi="Arial"/>
                <w:sz w:val="13"/>
                <w:szCs w:val="13"/>
                <w:color w:val="auto"/>
              </w:rPr>
              <w:t>0.19</w:t>
            </w:r>
          </w:p>
        </w:tc>
        <w:tc>
          <w:tcPr>
            <w:tcW w:w="1440" w:type="dxa"/>
            <w:vAlign w:val="bottom"/>
            <w:gridSpan w:val="2"/>
          </w:tcPr>
          <w:p>
            <w:pPr>
              <w:jc w:val="right"/>
              <w:ind w:right="328"/>
              <w:spacing w:after="0"/>
              <w:rPr>
                <w:sz w:val="20"/>
                <w:szCs w:val="20"/>
                <w:color w:val="auto"/>
              </w:rPr>
            </w:pPr>
            <w:r>
              <w:rPr>
                <w:rFonts w:ascii="Arial" w:cs="Arial" w:eastAsia="Arial" w:hAnsi="Arial"/>
                <w:sz w:val="13"/>
                <w:szCs w:val="13"/>
                <w:color w:val="auto"/>
              </w:rPr>
              <w:t>0.31</w:t>
            </w:r>
          </w:p>
        </w:tc>
        <w:tc>
          <w:tcPr>
            <w:tcW w:w="1360" w:type="dxa"/>
            <w:vAlign w:val="bottom"/>
            <w:gridSpan w:val="2"/>
          </w:tcPr>
          <w:p>
            <w:pPr>
              <w:jc w:val="right"/>
              <w:ind w:right="268"/>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 per share</w:t>
            </w:r>
          </w:p>
        </w:tc>
        <w:tc>
          <w:tcPr>
            <w:tcW w:w="11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0.08</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0.18</w:t>
            </w:r>
          </w:p>
        </w:tc>
        <w:tc>
          <w:tcPr>
            <w:tcW w:w="14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0.30</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b w:val="1"/>
                <w:bCs w:val="1"/>
                <w:color w:val="auto"/>
              </w:rPr>
              <w:t>2010</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1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$158,408</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$160,666</w:t>
            </w:r>
          </w:p>
        </w:tc>
        <w:tc>
          <w:tcPr>
            <w:tcW w:w="14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$156,364</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$212,642</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Income from operations</w:t>
            </w:r>
          </w:p>
        </w:tc>
        <w:tc>
          <w:tcPr>
            <w:tcW w:w="1100" w:type="dxa"/>
            <w:vAlign w:val="bottom"/>
          </w:tcPr>
          <w:p>
            <w:pPr>
              <w:jc w:val="right"/>
              <w:ind w:right="255"/>
              <w:spacing w:after="0"/>
              <w:rPr>
                <w:sz w:val="20"/>
                <w:szCs w:val="20"/>
                <w:color w:val="auto"/>
              </w:rPr>
            </w:pPr>
            <w:r>
              <w:rPr>
                <w:rFonts w:ascii="Arial" w:cs="Arial" w:eastAsia="Arial" w:hAnsi="Arial"/>
                <w:sz w:val="13"/>
                <w:szCs w:val="13"/>
                <w:color w:val="auto"/>
              </w:rPr>
              <w:t>11,271</w:t>
            </w:r>
          </w:p>
        </w:tc>
        <w:tc>
          <w:tcPr>
            <w:tcW w:w="1440" w:type="dxa"/>
            <w:vAlign w:val="bottom"/>
            <w:gridSpan w:val="2"/>
          </w:tcPr>
          <w:p>
            <w:pPr>
              <w:jc w:val="right"/>
              <w:ind w:right="308"/>
              <w:spacing w:after="0"/>
              <w:rPr>
                <w:sz w:val="20"/>
                <w:szCs w:val="20"/>
                <w:color w:val="auto"/>
              </w:rPr>
            </w:pPr>
            <w:r>
              <w:rPr>
                <w:rFonts w:ascii="Arial" w:cs="Arial" w:eastAsia="Arial" w:hAnsi="Arial"/>
                <w:sz w:val="13"/>
                <w:szCs w:val="13"/>
                <w:color w:val="auto"/>
              </w:rPr>
              <w:t>12,029</w:t>
            </w:r>
          </w:p>
        </w:tc>
        <w:tc>
          <w:tcPr>
            <w:tcW w:w="1440" w:type="dxa"/>
            <w:vAlign w:val="bottom"/>
            <w:gridSpan w:val="2"/>
          </w:tcPr>
          <w:p>
            <w:pPr>
              <w:jc w:val="right"/>
              <w:ind w:right="328"/>
              <w:spacing w:after="0"/>
              <w:rPr>
                <w:sz w:val="20"/>
                <w:szCs w:val="20"/>
                <w:color w:val="auto"/>
              </w:rPr>
            </w:pPr>
            <w:r>
              <w:rPr>
                <w:rFonts w:ascii="Arial" w:cs="Arial" w:eastAsia="Arial" w:hAnsi="Arial"/>
                <w:sz w:val="13"/>
                <w:szCs w:val="13"/>
                <w:color w:val="auto"/>
              </w:rPr>
              <w:t>1,862</w:t>
            </w:r>
          </w:p>
        </w:tc>
        <w:tc>
          <w:tcPr>
            <w:tcW w:w="1360" w:type="dxa"/>
            <w:vAlign w:val="bottom"/>
            <w:gridSpan w:val="2"/>
          </w:tcPr>
          <w:p>
            <w:pPr>
              <w:jc w:val="right"/>
              <w:ind w:right="268"/>
              <w:spacing w:after="0"/>
              <w:rPr>
                <w:sz w:val="20"/>
                <w:szCs w:val="20"/>
                <w:color w:val="auto"/>
              </w:rPr>
            </w:pPr>
            <w:r>
              <w:rPr>
                <w:rFonts w:ascii="Arial" w:cs="Arial" w:eastAsia="Arial" w:hAnsi="Arial"/>
                <w:sz w:val="13"/>
                <w:szCs w:val="13"/>
                <w:color w:val="auto"/>
              </w:rPr>
              <w:t>17,848</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1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8,292</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9,092</w:t>
            </w:r>
          </w:p>
        </w:tc>
        <w:tc>
          <w:tcPr>
            <w:tcW w:w="14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3,063</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10,392</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Net income attributable to ViaSat, Inc.</w:t>
            </w:r>
          </w:p>
        </w:tc>
        <w:tc>
          <w:tcPr>
            <w:tcW w:w="1100" w:type="dxa"/>
            <w:vAlign w:val="bottom"/>
          </w:tcPr>
          <w:p>
            <w:pPr>
              <w:jc w:val="right"/>
              <w:ind w:right="255"/>
              <w:spacing w:after="0"/>
              <w:rPr>
                <w:sz w:val="20"/>
                <w:szCs w:val="20"/>
                <w:color w:val="auto"/>
              </w:rPr>
            </w:pPr>
            <w:r>
              <w:rPr>
                <w:rFonts w:ascii="Arial" w:cs="Arial" w:eastAsia="Arial" w:hAnsi="Arial"/>
                <w:sz w:val="13"/>
                <w:szCs w:val="13"/>
                <w:color w:val="auto"/>
              </w:rPr>
              <w:t>8,269</w:t>
            </w:r>
          </w:p>
        </w:tc>
        <w:tc>
          <w:tcPr>
            <w:tcW w:w="1440" w:type="dxa"/>
            <w:vAlign w:val="bottom"/>
            <w:gridSpan w:val="2"/>
          </w:tcPr>
          <w:p>
            <w:pPr>
              <w:jc w:val="right"/>
              <w:ind w:right="308"/>
              <w:spacing w:after="0"/>
              <w:rPr>
                <w:sz w:val="20"/>
                <w:szCs w:val="20"/>
                <w:color w:val="auto"/>
              </w:rPr>
            </w:pPr>
            <w:r>
              <w:rPr>
                <w:rFonts w:ascii="Arial" w:cs="Arial" w:eastAsia="Arial" w:hAnsi="Arial"/>
                <w:sz w:val="13"/>
                <w:szCs w:val="13"/>
                <w:color w:val="auto"/>
              </w:rPr>
              <w:t>9,175</w:t>
            </w:r>
          </w:p>
        </w:tc>
        <w:tc>
          <w:tcPr>
            <w:tcW w:w="1440" w:type="dxa"/>
            <w:vAlign w:val="bottom"/>
            <w:gridSpan w:val="2"/>
          </w:tcPr>
          <w:p>
            <w:pPr>
              <w:jc w:val="right"/>
              <w:ind w:right="328"/>
              <w:spacing w:after="0"/>
              <w:rPr>
                <w:sz w:val="20"/>
                <w:szCs w:val="20"/>
                <w:color w:val="auto"/>
              </w:rPr>
            </w:pPr>
            <w:r>
              <w:rPr>
                <w:rFonts w:ascii="Arial" w:cs="Arial" w:eastAsia="Arial" w:hAnsi="Arial"/>
                <w:sz w:val="13"/>
                <w:szCs w:val="13"/>
                <w:color w:val="auto"/>
              </w:rPr>
              <w:t>3,246</w:t>
            </w:r>
          </w:p>
        </w:tc>
        <w:tc>
          <w:tcPr>
            <w:tcW w:w="1360" w:type="dxa"/>
            <w:vAlign w:val="bottom"/>
            <w:gridSpan w:val="2"/>
          </w:tcPr>
          <w:p>
            <w:pPr>
              <w:jc w:val="right"/>
              <w:ind w:right="268"/>
              <w:spacing w:after="0"/>
              <w:rPr>
                <w:sz w:val="20"/>
                <w:szCs w:val="20"/>
                <w:color w:val="auto"/>
              </w:rPr>
            </w:pPr>
            <w:r>
              <w:rPr>
                <w:rFonts w:ascii="Arial" w:cs="Arial" w:eastAsia="Arial" w:hAnsi="Arial"/>
                <w:sz w:val="13"/>
                <w:szCs w:val="13"/>
                <w:color w:val="auto"/>
              </w:rPr>
              <w:t>10,446</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11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0.27</w:t>
            </w:r>
          </w:p>
        </w:tc>
        <w:tc>
          <w:tcPr>
            <w:tcW w:w="14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0.29</w:t>
            </w:r>
          </w:p>
        </w:tc>
        <w:tc>
          <w:tcPr>
            <w:tcW w:w="14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0.10</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65"/>
        </w:trPr>
        <w:tc>
          <w:tcPr>
            <w:tcW w:w="4640" w:type="dxa"/>
            <w:vAlign w:val="bottom"/>
          </w:tcPr>
          <w:p>
            <w:pPr>
              <w:spacing w:after="0"/>
              <w:rPr>
                <w:sz w:val="20"/>
                <w:szCs w:val="20"/>
                <w:color w:val="auto"/>
              </w:rPr>
            </w:pPr>
            <w:r>
              <w:rPr>
                <w:rFonts w:ascii="Arial" w:cs="Arial" w:eastAsia="Arial" w:hAnsi="Arial"/>
                <w:sz w:val="13"/>
                <w:szCs w:val="13"/>
                <w:color w:val="auto"/>
              </w:rPr>
              <w:t>Diluted net income per share</w:t>
            </w:r>
          </w:p>
        </w:tc>
        <w:tc>
          <w:tcPr>
            <w:tcW w:w="1100" w:type="dxa"/>
            <w:vAlign w:val="bottom"/>
          </w:tcPr>
          <w:p>
            <w:pPr>
              <w:jc w:val="right"/>
              <w:ind w:right="255"/>
              <w:spacing w:after="0"/>
              <w:rPr>
                <w:sz w:val="20"/>
                <w:szCs w:val="20"/>
                <w:color w:val="auto"/>
              </w:rPr>
            </w:pPr>
            <w:r>
              <w:rPr>
                <w:rFonts w:ascii="Arial" w:cs="Arial" w:eastAsia="Arial" w:hAnsi="Arial"/>
                <w:sz w:val="13"/>
                <w:szCs w:val="13"/>
                <w:color w:val="auto"/>
              </w:rPr>
              <w:t>0.25</w:t>
            </w:r>
          </w:p>
        </w:tc>
        <w:tc>
          <w:tcPr>
            <w:tcW w:w="1440" w:type="dxa"/>
            <w:vAlign w:val="bottom"/>
            <w:gridSpan w:val="2"/>
          </w:tcPr>
          <w:p>
            <w:pPr>
              <w:jc w:val="right"/>
              <w:ind w:right="308"/>
              <w:spacing w:after="0"/>
              <w:rPr>
                <w:sz w:val="20"/>
                <w:szCs w:val="20"/>
                <w:color w:val="auto"/>
              </w:rPr>
            </w:pPr>
            <w:r>
              <w:rPr>
                <w:rFonts w:ascii="Arial" w:cs="Arial" w:eastAsia="Arial" w:hAnsi="Arial"/>
                <w:sz w:val="13"/>
                <w:szCs w:val="13"/>
                <w:color w:val="auto"/>
              </w:rPr>
              <w:t>0.28</w:t>
            </w:r>
          </w:p>
        </w:tc>
        <w:tc>
          <w:tcPr>
            <w:tcW w:w="1440" w:type="dxa"/>
            <w:vAlign w:val="bottom"/>
            <w:gridSpan w:val="2"/>
          </w:tcPr>
          <w:p>
            <w:pPr>
              <w:jc w:val="right"/>
              <w:ind w:right="328"/>
              <w:spacing w:after="0"/>
              <w:rPr>
                <w:sz w:val="20"/>
                <w:szCs w:val="20"/>
                <w:color w:val="auto"/>
              </w:rPr>
            </w:pPr>
            <w:r>
              <w:rPr>
                <w:rFonts w:ascii="Arial" w:cs="Arial" w:eastAsia="Arial" w:hAnsi="Arial"/>
                <w:sz w:val="13"/>
                <w:szCs w:val="13"/>
                <w:color w:val="auto"/>
              </w:rPr>
              <w:t>0.09</w:t>
            </w:r>
          </w:p>
        </w:tc>
        <w:tc>
          <w:tcPr>
            <w:tcW w:w="1360" w:type="dxa"/>
            <w:vAlign w:val="bottom"/>
            <w:gridSpan w:val="2"/>
          </w:tcPr>
          <w:p>
            <w:pPr>
              <w:jc w:val="right"/>
              <w:ind w:right="268"/>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Basic and diluted earnings per share are computed independently for each of the quarters presented. Therefore, the sum of quarterly basic and diluted per share information may not equal annual basic and diluted earnings per share.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right="320" w:firstLine="399"/>
        <w:spacing w:after="0" w:line="257" w:lineRule="auto"/>
        <w:rPr>
          <w:sz w:val="20"/>
          <w:szCs w:val="20"/>
          <w:color w:val="auto"/>
        </w:rPr>
      </w:pPr>
      <w:r>
        <w:rPr>
          <w:rFonts w:ascii="Arial" w:cs="Arial" w:eastAsia="Arial" w:hAnsi="Arial"/>
          <w:sz w:val="13"/>
          <w:szCs w:val="13"/>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required by SEC Rule 13a-15(b), we carried out an evaluation, with the participation of our management, including our Chief Executive Officer and Chief Financial Officer, of the effectiveness of our disclosure controls and procedures as of April 1, 2011, the end of the period covered by this Annual Report. Based upon the foregoing, our Chief Executive Officer and Chief Financial Officer concluded that our disclosure controls and procedures were effective at a reasonable assurance level as of April 1, 2011.</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April 1, 2011, there were no changes in our internal control over financial reporting that have materially affected, or are reasonably likely to materially affect, our internal control over financial reporting.</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principal executive officer and principal financial officer, the company conducted an evaluation of the effectiveness of its internal control over financial reporting based on criteria established in the framework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Based on this evaluation, the company’s management concluded that its internal control over financial reporting was effective as of April 1, 2011.</w:t>
      </w:r>
    </w:p>
    <w:p>
      <w:pPr>
        <w:spacing w:after="0" w:line="71"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company’s independent registered public accounting firm has audited the effectiveness of the company’s internal control over financial reporting as of April 1, 2011, as stated in their report which appears on page F-1.</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information required by this item is included in our definitive Proxy Statement to be filed with the SEC in connection with our 2011 Annual Meeting of Stockholders (the Proxy Statement) under the headings “Corporate Governance Principles and Board Matters,” “Election of Directors” and “Ownership of Securities,” and is incorporated herein by reference.</w:t>
      </w:r>
    </w:p>
    <w:p>
      <w:pPr>
        <w:spacing w:after="0" w:line="3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information required by this item relating to our executive officers is included under the caption “Executive Officers” in Part I of this Form 10-K and is incorporated herein by reference into this section.</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3"/>
          <w:szCs w:val="13"/>
          <w:i w:val="1"/>
          <w:iCs w:val="1"/>
          <w:color w:val="auto"/>
        </w:rPr>
        <w:t>www.viasat.com</w:t>
      </w:r>
      <w:r>
        <w:rPr>
          <w:rFonts w:ascii="Arial" w:cs="Arial" w:eastAsia="Arial" w:hAnsi="Arial"/>
          <w:sz w:val="13"/>
          <w:szCs w:val="13"/>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14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included in the Proxy Statement under the heading “Executive Compensation” and is incorporated herein by reference.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information required by this item is included in the Proxy Statement under the heading “Ratification of Appointment of Independent Registered Public Accounting Firm” and is incorporated herein by reference.</w:t>
      </w:r>
    </w:p>
    <w:p>
      <w:pPr>
        <w:spacing w:after="0" w:line="21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40" w:type="dxa"/>
            <w:vAlign w:val="bottom"/>
            <w:gridSpan w:val="4"/>
          </w:tcPr>
          <w:p>
            <w:pPr>
              <w:ind w:left="1040"/>
              <w:spacing w:after="0"/>
              <w:rPr>
                <w:sz w:val="20"/>
                <w:szCs w:val="20"/>
                <w:color w:val="auto"/>
              </w:rPr>
            </w:pPr>
            <w:r>
              <w:rPr>
                <w:rFonts w:ascii="Arial" w:cs="Arial" w:eastAsia="Arial" w:hAnsi="Arial"/>
                <w:sz w:val="13"/>
                <w:szCs w:val="13"/>
                <w:b w:val="1"/>
                <w:bCs w:val="1"/>
                <w:color w:val="auto"/>
              </w:rPr>
              <w:t>PART IV</w:t>
            </w:r>
          </w:p>
        </w:tc>
        <w:tc>
          <w:tcPr>
            <w:tcW w:w="540" w:type="dxa"/>
            <w:vAlign w:val="bottom"/>
          </w:tcPr>
          <w:p>
            <w:pPr>
              <w:spacing w:after="0"/>
              <w:rPr>
                <w:sz w:val="14"/>
                <w:szCs w:val="14"/>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ITEM 15.</w:t>
            </w:r>
          </w:p>
        </w:tc>
        <w:tc>
          <w:tcPr>
            <w:tcW w:w="8660" w:type="dxa"/>
            <w:vAlign w:val="bottom"/>
            <w:gridSpan w:val="8"/>
          </w:tcPr>
          <w:p>
            <w:pPr>
              <w:ind w:left="220"/>
              <w:spacing w:after="0"/>
              <w:rPr>
                <w:sz w:val="20"/>
                <w:szCs w:val="20"/>
                <w:color w:val="auto"/>
              </w:rPr>
            </w:pPr>
            <w:r>
              <w:rPr>
                <w:rFonts w:ascii="Arial" w:cs="Arial" w:eastAsia="Arial" w:hAnsi="Arial"/>
                <w:sz w:val="13"/>
                <w:szCs w:val="13"/>
                <w:b w:val="1"/>
                <w:bCs w:val="1"/>
                <w:i w:val="1"/>
                <w:iCs w:val="1"/>
                <w:color w:val="auto"/>
              </w:rPr>
              <w:t>EXHIBITS, FINANCIAL STATEMENT SCHEDULES</w:t>
            </w:r>
          </w:p>
        </w:tc>
        <w:tc>
          <w:tcPr>
            <w:tcW w:w="540" w:type="dxa"/>
            <w:vAlign w:val="bottom"/>
          </w:tcPr>
          <w:p>
            <w:pPr>
              <w:spacing w:after="0"/>
              <w:rPr>
                <w:sz w:val="24"/>
                <w:szCs w:val="24"/>
                <w:color w:val="auto"/>
              </w:rPr>
            </w:pPr>
          </w:p>
        </w:tc>
      </w:tr>
      <w:tr>
        <w:trPr>
          <w:trHeight w:val="246"/>
        </w:trPr>
        <w:tc>
          <w:tcPr>
            <w:tcW w:w="9440" w:type="dxa"/>
            <w:vAlign w:val="bottom"/>
            <w:gridSpan w:val="10"/>
          </w:tcPr>
          <w:p>
            <w:pPr>
              <w:spacing w:after="0"/>
              <w:rPr>
                <w:sz w:val="20"/>
                <w:szCs w:val="20"/>
                <w:color w:val="auto"/>
              </w:rPr>
            </w:pPr>
            <w:r>
              <w:rPr>
                <w:rFonts w:ascii="Arial" w:cs="Arial" w:eastAsia="Arial" w:hAnsi="Arial"/>
                <w:sz w:val="13"/>
                <w:szCs w:val="13"/>
                <w:b w:val="1"/>
                <w:bCs w:val="1"/>
                <w:color w:val="auto"/>
              </w:rPr>
              <w:t>Financial Statements</w:t>
            </w:r>
          </w:p>
        </w:tc>
        <w:tc>
          <w:tcPr>
            <w:tcW w:w="540" w:type="dxa"/>
            <w:vAlign w:val="bottom"/>
          </w:tcPr>
          <w:p>
            <w:pPr>
              <w:spacing w:after="0"/>
              <w:rPr>
                <w:sz w:val="21"/>
                <w:szCs w:val="21"/>
                <w:color w:val="auto"/>
              </w:rPr>
            </w:pPr>
          </w:p>
        </w:tc>
      </w:tr>
      <w:tr>
        <w:trPr>
          <w:trHeight w:val="269"/>
        </w:trPr>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540" w:type="dxa"/>
            <w:vAlign w:val="bottom"/>
          </w:tcPr>
          <w:p>
            <w:pPr>
              <w:jc w:val="right"/>
              <w:ind w:right="97"/>
              <w:spacing w:after="0"/>
              <w:rPr>
                <w:sz w:val="20"/>
                <w:szCs w:val="20"/>
                <w:color w:val="auto"/>
              </w:rPr>
            </w:pPr>
            <w:r>
              <w:rPr>
                <w:rFonts w:ascii="Arial" w:cs="Arial" w:eastAsia="Arial" w:hAnsi="Arial"/>
                <w:sz w:val="10"/>
                <w:szCs w:val="10"/>
                <w:b w:val="1"/>
                <w:bCs w:val="1"/>
                <w:color w:val="auto"/>
              </w:rPr>
              <w:t>Page</w:t>
            </w:r>
          </w:p>
        </w:tc>
      </w:tr>
      <w:tr>
        <w:trPr>
          <w:trHeight w:val="125"/>
        </w:trPr>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Number</w:t>
            </w:r>
          </w:p>
        </w:tc>
      </w:tr>
      <w:tr>
        <w:trPr>
          <w:trHeight w:val="157"/>
        </w:trPr>
        <w:tc>
          <w:tcPr>
            <w:tcW w:w="9440" w:type="dxa"/>
            <w:vAlign w:val="bottom"/>
            <w:gridSpan w:val="10"/>
          </w:tcPr>
          <w:p>
            <w:pPr>
              <w:spacing w:after="0"/>
              <w:rPr>
                <w:rFonts w:ascii="Arial" w:cs="Arial" w:eastAsia="Arial" w:hAnsi="Arial"/>
                <w:sz w:val="13"/>
                <w:szCs w:val="13"/>
                <w:color w:val="0000EE"/>
              </w:rPr>
            </w:pPr>
            <w:hyperlink w:anchor="page67">
              <w:r>
                <w:rPr>
                  <w:rFonts w:ascii="Arial" w:cs="Arial" w:eastAsia="Arial" w:hAnsi="Arial"/>
                  <w:sz w:val="13"/>
                  <w:szCs w:val="13"/>
                  <w:color w:val="0000EE"/>
                </w:rPr>
                <w:t>(1) Report of Independent Registered Public Accounting Firm</w:t>
              </w:r>
            </w:hyperlink>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F-1</w:t>
            </w:r>
          </w:p>
        </w:tc>
      </w:tr>
      <w:tr>
        <w:trPr>
          <w:trHeight w:val="20"/>
        </w:trPr>
        <w:tc>
          <w:tcPr>
            <w:tcW w:w="20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37"/>
        </w:trPr>
        <w:tc>
          <w:tcPr>
            <w:tcW w:w="200" w:type="dxa"/>
            <w:vAlign w:val="bottom"/>
          </w:tcPr>
          <w:p>
            <w:pPr>
              <w:spacing w:after="0"/>
              <w:rPr>
                <w:sz w:val="11"/>
                <w:szCs w:val="11"/>
                <w:color w:val="auto"/>
              </w:rPr>
            </w:pPr>
          </w:p>
        </w:tc>
        <w:tc>
          <w:tcPr>
            <w:tcW w:w="3500" w:type="dxa"/>
            <w:vAlign w:val="bottom"/>
            <w:tcBorders>
              <w:bottom w:val="single" w:sz="8" w:color="0000EE"/>
            </w:tcBorders>
            <w:gridSpan w:val="5"/>
          </w:tcPr>
          <w:p>
            <w:pPr>
              <w:spacing w:after="0" w:line="138" w:lineRule="exact"/>
              <w:rPr>
                <w:rFonts w:ascii="Arial" w:cs="Arial" w:eastAsia="Arial" w:hAnsi="Arial"/>
                <w:sz w:val="13"/>
                <w:szCs w:val="13"/>
                <w:color w:val="0000EE"/>
                <w:w w:val="91"/>
              </w:rPr>
            </w:pPr>
            <w:hyperlink w:anchor="page68">
              <w:r>
                <w:rPr>
                  <w:rFonts w:ascii="Arial" w:cs="Arial" w:eastAsia="Arial" w:hAnsi="Arial"/>
                  <w:sz w:val="13"/>
                  <w:szCs w:val="13"/>
                  <w:color w:val="0000EE"/>
                  <w:w w:val="91"/>
                </w:rPr>
                <w:t>Consolidated Balance Sheets as of April 1, 2011 and April 2, 2010</w:t>
              </w:r>
            </w:hyperlink>
          </w:p>
        </w:tc>
        <w:tc>
          <w:tcPr>
            <w:tcW w:w="5740" w:type="dxa"/>
            <w:vAlign w:val="bottom"/>
            <w:gridSpan w:val="4"/>
          </w:tcPr>
          <w:p>
            <w:pPr>
              <w:spacing w:after="0"/>
              <w:rPr>
                <w:sz w:val="11"/>
                <w:szCs w:val="11"/>
                <w:color w:val="auto"/>
              </w:rPr>
            </w:pPr>
          </w:p>
        </w:tc>
        <w:tc>
          <w:tcPr>
            <w:tcW w:w="5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F-2</w:t>
            </w:r>
          </w:p>
        </w:tc>
      </w:tr>
      <w:tr>
        <w:trPr>
          <w:trHeight w:val="137"/>
        </w:trPr>
        <w:tc>
          <w:tcPr>
            <w:tcW w:w="200" w:type="dxa"/>
            <w:vAlign w:val="bottom"/>
          </w:tcPr>
          <w:p>
            <w:pPr>
              <w:spacing w:after="0"/>
              <w:rPr>
                <w:sz w:val="11"/>
                <w:szCs w:val="11"/>
                <w:color w:val="auto"/>
              </w:rPr>
            </w:pPr>
          </w:p>
        </w:tc>
        <w:tc>
          <w:tcPr>
            <w:tcW w:w="5860" w:type="dxa"/>
            <w:vAlign w:val="bottom"/>
            <w:tcBorders>
              <w:bottom w:val="single" w:sz="8" w:color="0000EE"/>
            </w:tcBorders>
            <w:gridSpan w:val="6"/>
          </w:tcPr>
          <w:p>
            <w:pPr>
              <w:spacing w:after="0" w:line="138" w:lineRule="exact"/>
              <w:rPr>
                <w:rFonts w:ascii="Arial" w:cs="Arial" w:eastAsia="Arial" w:hAnsi="Arial"/>
                <w:sz w:val="13"/>
                <w:szCs w:val="13"/>
                <w:color w:val="0000EE"/>
                <w:w w:val="92"/>
              </w:rPr>
            </w:pPr>
            <w:hyperlink w:anchor="page69">
              <w:r>
                <w:rPr>
                  <w:rFonts w:ascii="Arial" w:cs="Arial" w:eastAsia="Arial" w:hAnsi="Arial"/>
                  <w:sz w:val="13"/>
                  <w:szCs w:val="13"/>
                  <w:color w:val="0000EE"/>
                  <w:w w:val="92"/>
                </w:rPr>
                <w:t>Consolidated Statements of Operations for the fiscal years ended April 1, 2011, April 2, 2010 and April 3, 2009</w:t>
              </w:r>
            </w:hyperlink>
          </w:p>
        </w:tc>
        <w:tc>
          <w:tcPr>
            <w:tcW w:w="3380" w:type="dxa"/>
            <w:vAlign w:val="bottom"/>
            <w:gridSpan w:val="3"/>
          </w:tcPr>
          <w:p>
            <w:pPr>
              <w:spacing w:after="0"/>
              <w:rPr>
                <w:sz w:val="11"/>
                <w:szCs w:val="11"/>
                <w:color w:val="auto"/>
              </w:rPr>
            </w:pPr>
          </w:p>
        </w:tc>
        <w:tc>
          <w:tcPr>
            <w:tcW w:w="5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F-3</w:t>
            </w:r>
          </w:p>
        </w:tc>
      </w:tr>
      <w:tr>
        <w:trPr>
          <w:trHeight w:val="137"/>
        </w:trPr>
        <w:tc>
          <w:tcPr>
            <w:tcW w:w="200" w:type="dxa"/>
            <w:vAlign w:val="bottom"/>
          </w:tcPr>
          <w:p>
            <w:pPr>
              <w:spacing w:after="0"/>
              <w:rPr>
                <w:sz w:val="11"/>
                <w:szCs w:val="11"/>
                <w:color w:val="auto"/>
              </w:rPr>
            </w:pPr>
          </w:p>
        </w:tc>
        <w:tc>
          <w:tcPr>
            <w:tcW w:w="5900" w:type="dxa"/>
            <w:vAlign w:val="bottom"/>
            <w:tcBorders>
              <w:bottom w:val="single" w:sz="8" w:color="0000EE"/>
            </w:tcBorders>
            <w:gridSpan w:val="7"/>
          </w:tcPr>
          <w:p>
            <w:pPr>
              <w:spacing w:after="0" w:line="138" w:lineRule="exact"/>
              <w:rPr>
                <w:rFonts w:ascii="Arial" w:cs="Arial" w:eastAsia="Arial" w:hAnsi="Arial"/>
                <w:sz w:val="13"/>
                <w:szCs w:val="13"/>
                <w:color w:val="0000EE"/>
                <w:w w:val="92"/>
              </w:rPr>
            </w:pPr>
            <w:hyperlink w:anchor="page70">
              <w:r>
                <w:rPr>
                  <w:rFonts w:ascii="Arial" w:cs="Arial" w:eastAsia="Arial" w:hAnsi="Arial"/>
                  <w:sz w:val="13"/>
                  <w:szCs w:val="13"/>
                  <w:color w:val="0000EE"/>
                  <w:w w:val="92"/>
                </w:rPr>
                <w:t>Consolidated Statements of Cash Flows for the fiscal years ended April 1, 2011, April 2, 2010 and April 3, 2009</w:t>
              </w:r>
            </w:hyperlink>
          </w:p>
        </w:tc>
        <w:tc>
          <w:tcPr>
            <w:tcW w:w="3340" w:type="dxa"/>
            <w:vAlign w:val="bottom"/>
            <w:gridSpan w:val="2"/>
          </w:tcPr>
          <w:p>
            <w:pPr>
              <w:spacing w:after="0"/>
              <w:rPr>
                <w:sz w:val="11"/>
                <w:szCs w:val="11"/>
                <w:color w:val="auto"/>
              </w:rPr>
            </w:pPr>
          </w:p>
        </w:tc>
        <w:tc>
          <w:tcPr>
            <w:tcW w:w="5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F-4</w:t>
            </w:r>
          </w:p>
        </w:tc>
      </w:tr>
      <w:tr>
        <w:trPr>
          <w:trHeight w:val="137"/>
        </w:trPr>
        <w:tc>
          <w:tcPr>
            <w:tcW w:w="200" w:type="dxa"/>
            <w:vAlign w:val="bottom"/>
          </w:tcPr>
          <w:p>
            <w:pPr>
              <w:spacing w:after="0"/>
              <w:rPr>
                <w:sz w:val="11"/>
                <w:szCs w:val="11"/>
                <w:color w:val="auto"/>
              </w:rPr>
            </w:pPr>
          </w:p>
        </w:tc>
        <w:tc>
          <w:tcPr>
            <w:tcW w:w="7140" w:type="dxa"/>
            <w:vAlign w:val="bottom"/>
            <w:tcBorders>
              <w:bottom w:val="single" w:sz="8" w:color="0000EE"/>
            </w:tcBorders>
            <w:gridSpan w:val="8"/>
          </w:tcPr>
          <w:p>
            <w:pPr>
              <w:spacing w:after="0" w:line="138" w:lineRule="exact"/>
              <w:rPr>
                <w:rFonts w:ascii="Arial" w:cs="Arial" w:eastAsia="Arial" w:hAnsi="Arial"/>
                <w:sz w:val="13"/>
                <w:szCs w:val="13"/>
                <w:color w:val="0000EE"/>
                <w:w w:val="92"/>
              </w:rPr>
            </w:pPr>
            <w:hyperlink w:anchor="page71">
              <w:r>
                <w:rPr>
                  <w:rFonts w:ascii="Arial" w:cs="Arial" w:eastAsia="Arial" w:hAnsi="Arial"/>
                  <w:sz w:val="13"/>
                  <w:szCs w:val="13"/>
                  <w:color w:val="0000EE"/>
                  <w:w w:val="92"/>
                </w:rPr>
                <w:t>Consolidated Statements of Equity and Comprehensive Income for the fiscal years ended April 1, 2011, April 2, 2010 and April 3, 2009</w:t>
              </w:r>
            </w:hyperlink>
          </w:p>
        </w:tc>
        <w:tc>
          <w:tcPr>
            <w:tcW w:w="2100" w:type="dxa"/>
            <w:vAlign w:val="bottom"/>
          </w:tcPr>
          <w:p>
            <w:pPr>
              <w:spacing w:after="0"/>
              <w:rPr>
                <w:sz w:val="11"/>
                <w:szCs w:val="11"/>
                <w:color w:val="auto"/>
              </w:rPr>
            </w:pPr>
          </w:p>
        </w:tc>
        <w:tc>
          <w:tcPr>
            <w:tcW w:w="5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F-5</w:t>
            </w:r>
          </w:p>
        </w:tc>
      </w:tr>
      <w:tr>
        <w:trPr>
          <w:trHeight w:val="137"/>
        </w:trPr>
        <w:tc>
          <w:tcPr>
            <w:tcW w:w="200" w:type="dxa"/>
            <w:vAlign w:val="bottom"/>
          </w:tcPr>
          <w:p>
            <w:pPr>
              <w:spacing w:after="0"/>
              <w:rPr>
                <w:sz w:val="11"/>
                <w:szCs w:val="11"/>
                <w:color w:val="auto"/>
              </w:rPr>
            </w:pPr>
          </w:p>
        </w:tc>
        <w:tc>
          <w:tcPr>
            <w:tcW w:w="9240" w:type="dxa"/>
            <w:vAlign w:val="bottom"/>
            <w:gridSpan w:val="9"/>
          </w:tcPr>
          <w:p>
            <w:pPr>
              <w:spacing w:after="0" w:line="138" w:lineRule="exact"/>
              <w:rPr>
                <w:rFonts w:ascii="Arial" w:cs="Arial" w:eastAsia="Arial" w:hAnsi="Arial"/>
                <w:sz w:val="13"/>
                <w:szCs w:val="13"/>
                <w:color w:val="0000EE"/>
              </w:rPr>
            </w:pPr>
            <w:hyperlink w:anchor="page72">
              <w:r>
                <w:rPr>
                  <w:rFonts w:ascii="Arial" w:cs="Arial" w:eastAsia="Arial" w:hAnsi="Arial"/>
                  <w:sz w:val="13"/>
                  <w:szCs w:val="13"/>
                  <w:color w:val="0000EE"/>
                </w:rPr>
                <w:t>Notes to the Consolidated Financial Statements</w:t>
              </w:r>
            </w:hyperlink>
          </w:p>
        </w:tc>
        <w:tc>
          <w:tcPr>
            <w:tcW w:w="5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F-6</w:t>
            </w:r>
          </w:p>
        </w:tc>
      </w:tr>
      <w:tr>
        <w:trPr>
          <w:trHeight w:val="20"/>
        </w:trPr>
        <w:tc>
          <w:tcPr>
            <w:tcW w:w="2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37"/>
        </w:trPr>
        <w:tc>
          <w:tcPr>
            <w:tcW w:w="9440" w:type="dxa"/>
            <w:vAlign w:val="bottom"/>
            <w:gridSpan w:val="10"/>
          </w:tcPr>
          <w:p>
            <w:pPr>
              <w:spacing w:after="0" w:line="138" w:lineRule="exact"/>
              <w:rPr>
                <w:rFonts w:ascii="Arial" w:cs="Arial" w:eastAsia="Arial" w:hAnsi="Arial"/>
                <w:sz w:val="13"/>
                <w:szCs w:val="13"/>
                <w:color w:val="0000EE"/>
              </w:rPr>
            </w:pPr>
            <w:hyperlink w:anchor="page115">
              <w:r>
                <w:rPr>
                  <w:rFonts w:ascii="Arial" w:cs="Arial" w:eastAsia="Arial" w:hAnsi="Arial"/>
                  <w:sz w:val="13"/>
                  <w:szCs w:val="13"/>
                  <w:color w:val="0000EE"/>
                </w:rPr>
                <w:t>(2) Schedule II — Valuation and Qualifying Accounts</w:t>
              </w:r>
            </w:hyperlink>
          </w:p>
        </w:tc>
        <w:tc>
          <w:tcPr>
            <w:tcW w:w="540" w:type="dxa"/>
            <w:vAlign w:val="bottom"/>
          </w:tcPr>
          <w:p>
            <w:pPr>
              <w:jc w:val="right"/>
              <w:ind w:right="77"/>
              <w:spacing w:after="0" w:line="138" w:lineRule="exact"/>
              <w:rPr>
                <w:sz w:val="20"/>
                <w:szCs w:val="20"/>
                <w:color w:val="auto"/>
              </w:rPr>
            </w:pPr>
            <w:r>
              <w:rPr>
                <w:rFonts w:ascii="Arial" w:cs="Arial" w:eastAsia="Arial" w:hAnsi="Arial"/>
                <w:sz w:val="13"/>
                <w:szCs w:val="13"/>
                <w:color w:val="auto"/>
              </w:rPr>
              <w:t>II-1</w:t>
            </w:r>
          </w:p>
        </w:tc>
      </w:tr>
      <w:tr>
        <w:trPr>
          <w:trHeight w:val="20"/>
        </w:trPr>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are omitted because they are not applicable or the required information is shown in the financial statements or notes thereto.</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Exhibits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 Index on page 61 is incorporated herein by reference as the list of exhibits required as part of this Annual Report.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VIASAT,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Chairman and Chief Executive Officer</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May 26, 2011</w:t>
      </w:r>
    </w:p>
    <w:p>
      <w:pPr>
        <w:spacing w:after="0" w:line="96"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Mark D. Dankberg and Ronald G. Wangerin, jointly and severally, his attorneys-in-fact, each with the full power of substitution, for him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73" w:lineRule="exact"/>
        <w:rPr>
          <w:sz w:val="20"/>
          <w:szCs w:val="20"/>
          <w:color w:val="auto"/>
        </w:rPr>
      </w:pPr>
    </w:p>
    <w:p>
      <w:pPr>
        <w:ind w:left="2620"/>
        <w:spacing w:after="0"/>
        <w:tabs>
          <w:tab w:leader="none" w:pos="7120" w:val="left"/>
          <w:tab w:leader="none" w:pos="9940" w:val="left"/>
        </w:tabs>
        <w:rPr>
          <w:sz w:val="20"/>
          <w:szCs w:val="20"/>
          <w:color w:val="auto"/>
        </w:rPr>
      </w:pPr>
      <w:r>
        <w:rPr>
          <w:rFonts w:ascii="Arial" w:cs="Arial" w:eastAsia="Arial" w:hAnsi="Arial"/>
          <w:sz w:val="10"/>
          <w:szCs w:val="10"/>
          <w:b w:val="1"/>
          <w:bCs w:val="1"/>
          <w:color w:val="auto"/>
        </w:rPr>
        <w:t>Signature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MARK D. DANKBERG</w:t>
            </w:r>
          </w:p>
        </w:tc>
        <w:tc>
          <w:tcPr>
            <w:tcW w:w="4060" w:type="dxa"/>
            <w:vAlign w:val="bottom"/>
          </w:tcPr>
          <w:p>
            <w:pPr>
              <w:jc w:val="center"/>
              <w:ind w:left="334"/>
              <w:spacing w:after="0"/>
              <w:rPr>
                <w:sz w:val="20"/>
                <w:szCs w:val="20"/>
                <w:color w:val="auto"/>
              </w:rPr>
            </w:pPr>
            <w:r>
              <w:rPr>
                <w:rFonts w:ascii="Arial" w:cs="Arial" w:eastAsia="Arial" w:hAnsi="Arial"/>
                <w:sz w:val="13"/>
                <w:szCs w:val="13"/>
                <w:color w:val="auto"/>
                <w:w w:val="90"/>
              </w:rPr>
              <w:t>Chairman of the Board and</w:t>
            </w:r>
          </w:p>
        </w:tc>
        <w:tc>
          <w:tcPr>
            <w:tcW w:w="2400" w:type="dxa"/>
            <w:vAlign w:val="bottom"/>
          </w:tcPr>
          <w:p>
            <w:pPr>
              <w:ind w:left="640"/>
              <w:spacing w:after="0"/>
              <w:rPr>
                <w:sz w:val="20"/>
                <w:szCs w:val="20"/>
                <w:color w:val="auto"/>
              </w:rPr>
            </w:pPr>
            <w:r>
              <w:rPr>
                <w:rFonts w:ascii="Arial" w:cs="Arial" w:eastAsia="Arial" w:hAnsi="Arial"/>
                <w:sz w:val="13"/>
                <w:szCs w:val="13"/>
                <w:color w:val="auto"/>
              </w:rPr>
              <w:t>May 26, 2011</w:t>
            </w:r>
          </w:p>
        </w:tc>
      </w:tr>
      <w:tr>
        <w:trPr>
          <w:trHeight w:val="130"/>
        </w:trPr>
        <w:tc>
          <w:tcPr>
            <w:tcW w:w="680" w:type="dxa"/>
            <w:vAlign w:val="bottom"/>
          </w:tcPr>
          <w:p>
            <w:pPr>
              <w:spacing w:after="0"/>
              <w:rPr>
                <w:sz w:val="11"/>
                <w:szCs w:val="11"/>
                <w:color w:val="auto"/>
              </w:rPr>
            </w:pPr>
          </w:p>
        </w:tc>
        <w:tc>
          <w:tcPr>
            <w:tcW w:w="4320" w:type="dxa"/>
            <w:vAlign w:val="bottom"/>
          </w:tcPr>
          <w:p>
            <w:pPr>
              <w:spacing w:after="0" w:line="130" w:lineRule="exact"/>
              <w:rPr>
                <w:sz w:val="20"/>
                <w:szCs w:val="20"/>
                <w:color w:val="auto"/>
              </w:rPr>
            </w:pPr>
            <w:r>
              <w:rPr>
                <w:rFonts w:ascii="Arial" w:cs="Arial" w:eastAsia="Arial" w:hAnsi="Arial"/>
                <w:sz w:val="13"/>
                <w:szCs w:val="13"/>
                <w:color w:val="auto"/>
              </w:rPr>
              <w:t>Mark D. Dankberg</w:t>
            </w:r>
          </w:p>
        </w:tc>
        <w:tc>
          <w:tcPr>
            <w:tcW w:w="4060" w:type="dxa"/>
            <w:vAlign w:val="bottom"/>
          </w:tcPr>
          <w:p>
            <w:pPr>
              <w:jc w:val="center"/>
              <w:ind w:left="334"/>
              <w:spacing w:after="0" w:line="130" w:lineRule="exact"/>
              <w:rPr>
                <w:sz w:val="20"/>
                <w:szCs w:val="20"/>
                <w:color w:val="auto"/>
              </w:rPr>
            </w:pPr>
            <w:r>
              <w:rPr>
                <w:rFonts w:ascii="Arial" w:cs="Arial" w:eastAsia="Arial" w:hAnsi="Arial"/>
                <w:sz w:val="13"/>
                <w:szCs w:val="13"/>
                <w:color w:val="auto"/>
                <w:w w:val="95"/>
              </w:rPr>
              <w:t>Chief Executive Officer</w:t>
            </w:r>
          </w:p>
        </w:tc>
        <w:tc>
          <w:tcPr>
            <w:tcW w:w="24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060" w:type="dxa"/>
            <w:vAlign w:val="bottom"/>
          </w:tcPr>
          <w:p>
            <w:pPr>
              <w:jc w:val="center"/>
              <w:ind w:left="354"/>
              <w:spacing w:after="0"/>
              <w:rPr>
                <w:sz w:val="20"/>
                <w:szCs w:val="20"/>
                <w:color w:val="auto"/>
              </w:rPr>
            </w:pPr>
            <w:r>
              <w:rPr>
                <w:rFonts w:ascii="Arial" w:cs="Arial" w:eastAsia="Arial" w:hAnsi="Arial"/>
                <w:sz w:val="13"/>
                <w:szCs w:val="13"/>
                <w:color w:val="auto"/>
                <w:w w:val="94"/>
              </w:rPr>
              <w:t>(Principal Executive Officer)</w:t>
            </w:r>
          </w:p>
        </w:tc>
        <w:tc>
          <w:tcPr>
            <w:tcW w:w="240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RONALD G. WANGERIN</w:t>
            </w:r>
          </w:p>
        </w:tc>
        <w:tc>
          <w:tcPr>
            <w:tcW w:w="4060" w:type="dxa"/>
            <w:vAlign w:val="bottom"/>
          </w:tcPr>
          <w:p>
            <w:pPr>
              <w:jc w:val="center"/>
              <w:ind w:left="314"/>
              <w:spacing w:after="0"/>
              <w:rPr>
                <w:sz w:val="20"/>
                <w:szCs w:val="20"/>
                <w:color w:val="auto"/>
              </w:rPr>
            </w:pPr>
            <w:r>
              <w:rPr>
                <w:rFonts w:ascii="Arial" w:cs="Arial" w:eastAsia="Arial" w:hAnsi="Arial"/>
                <w:sz w:val="13"/>
                <w:szCs w:val="13"/>
                <w:color w:val="auto"/>
                <w:w w:val="92"/>
              </w:rPr>
              <w:t>Vice President, Chief</w:t>
            </w:r>
          </w:p>
        </w:tc>
        <w:tc>
          <w:tcPr>
            <w:tcW w:w="2400" w:type="dxa"/>
            <w:vAlign w:val="bottom"/>
          </w:tcPr>
          <w:p>
            <w:pPr>
              <w:ind w:left="640"/>
              <w:spacing w:after="0"/>
              <w:rPr>
                <w:sz w:val="20"/>
                <w:szCs w:val="20"/>
                <w:color w:val="auto"/>
              </w:rPr>
            </w:pPr>
            <w:r>
              <w:rPr>
                <w:rFonts w:ascii="Arial" w:cs="Arial" w:eastAsia="Arial" w:hAnsi="Arial"/>
                <w:sz w:val="13"/>
                <w:szCs w:val="13"/>
                <w:color w:val="auto"/>
              </w:rPr>
              <w:t>May 26, 2011</w:t>
            </w:r>
          </w:p>
        </w:tc>
      </w:tr>
      <w:tr>
        <w:trPr>
          <w:trHeight w:val="130"/>
        </w:trPr>
        <w:tc>
          <w:tcPr>
            <w:tcW w:w="680" w:type="dxa"/>
            <w:vAlign w:val="bottom"/>
          </w:tcPr>
          <w:p>
            <w:pPr>
              <w:spacing w:after="0"/>
              <w:rPr>
                <w:sz w:val="11"/>
                <w:szCs w:val="11"/>
                <w:color w:val="auto"/>
              </w:rPr>
            </w:pPr>
          </w:p>
        </w:tc>
        <w:tc>
          <w:tcPr>
            <w:tcW w:w="4320" w:type="dxa"/>
            <w:vAlign w:val="bottom"/>
          </w:tcPr>
          <w:p>
            <w:pPr>
              <w:spacing w:after="0" w:line="130" w:lineRule="exact"/>
              <w:rPr>
                <w:sz w:val="20"/>
                <w:szCs w:val="20"/>
                <w:color w:val="auto"/>
              </w:rPr>
            </w:pPr>
            <w:r>
              <w:rPr>
                <w:rFonts w:ascii="Arial" w:cs="Arial" w:eastAsia="Arial" w:hAnsi="Arial"/>
                <w:sz w:val="13"/>
                <w:szCs w:val="13"/>
                <w:color w:val="auto"/>
              </w:rPr>
              <w:t>Ronald G. Wangerin</w:t>
            </w:r>
          </w:p>
        </w:tc>
        <w:tc>
          <w:tcPr>
            <w:tcW w:w="4060" w:type="dxa"/>
            <w:vAlign w:val="bottom"/>
          </w:tcPr>
          <w:p>
            <w:pPr>
              <w:jc w:val="center"/>
              <w:ind w:left="334"/>
              <w:spacing w:after="0" w:line="130" w:lineRule="exact"/>
              <w:rPr>
                <w:sz w:val="20"/>
                <w:szCs w:val="20"/>
                <w:color w:val="auto"/>
              </w:rPr>
            </w:pPr>
            <w:r>
              <w:rPr>
                <w:rFonts w:ascii="Arial" w:cs="Arial" w:eastAsia="Arial" w:hAnsi="Arial"/>
                <w:sz w:val="13"/>
                <w:szCs w:val="13"/>
                <w:color w:val="auto"/>
                <w:w w:val="95"/>
              </w:rPr>
              <w:t>Financial Officer</w:t>
            </w:r>
          </w:p>
        </w:tc>
        <w:tc>
          <w:tcPr>
            <w:tcW w:w="24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060" w:type="dxa"/>
            <w:vAlign w:val="bottom"/>
          </w:tcPr>
          <w:p>
            <w:pPr>
              <w:jc w:val="center"/>
              <w:ind w:left="354"/>
              <w:spacing w:after="0"/>
              <w:rPr>
                <w:sz w:val="20"/>
                <w:szCs w:val="20"/>
                <w:color w:val="auto"/>
              </w:rPr>
            </w:pPr>
            <w:r>
              <w:rPr>
                <w:rFonts w:ascii="Arial" w:cs="Arial" w:eastAsia="Arial" w:hAnsi="Arial"/>
                <w:sz w:val="13"/>
                <w:szCs w:val="13"/>
                <w:color w:val="auto"/>
                <w:w w:val="94"/>
              </w:rPr>
              <w:t>(Principal Financial and Accounting Officer)</w:t>
            </w:r>
          </w:p>
        </w:tc>
        <w:tc>
          <w:tcPr>
            <w:tcW w:w="240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W. JOHNSON</w:t>
            </w:r>
          </w:p>
        </w:tc>
        <w:tc>
          <w:tcPr>
            <w:tcW w:w="406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6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Robert W. Johnson</w:t>
            </w:r>
          </w:p>
        </w:tc>
        <w:tc>
          <w:tcPr>
            <w:tcW w:w="40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JEFFREY M. NASH</w:t>
            </w:r>
          </w:p>
        </w:tc>
        <w:tc>
          <w:tcPr>
            <w:tcW w:w="406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6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Jeffrey M. Nash</w:t>
            </w:r>
          </w:p>
        </w:tc>
        <w:tc>
          <w:tcPr>
            <w:tcW w:w="40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 ALLEN LAY</w:t>
            </w:r>
          </w:p>
        </w:tc>
        <w:tc>
          <w:tcPr>
            <w:tcW w:w="406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6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B. Allen Lay</w:t>
            </w:r>
          </w:p>
        </w:tc>
        <w:tc>
          <w:tcPr>
            <w:tcW w:w="40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B. TARGOFF</w:t>
            </w:r>
          </w:p>
        </w:tc>
        <w:tc>
          <w:tcPr>
            <w:tcW w:w="406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6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Michael B. Targoff</w:t>
            </w:r>
          </w:p>
        </w:tc>
        <w:tc>
          <w:tcPr>
            <w:tcW w:w="40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P. STENBIT</w:t>
            </w:r>
          </w:p>
        </w:tc>
        <w:tc>
          <w:tcPr>
            <w:tcW w:w="406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6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John P. Stenbit</w:t>
            </w:r>
          </w:p>
        </w:tc>
        <w:tc>
          <w:tcPr>
            <w:tcW w:w="40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HARVEY P. WHITE</w:t>
            </w:r>
          </w:p>
        </w:tc>
        <w:tc>
          <w:tcPr>
            <w:tcW w:w="406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6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Harvey P. White</w:t>
            </w:r>
          </w:p>
        </w:tc>
        <w:tc>
          <w:tcPr>
            <w:tcW w:w="40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60" w:type="dxa"/>
            <w:vAlign w:val="bottom"/>
          </w:tcPr>
          <w:p>
            <w:pPr>
              <w:jc w:val="right"/>
              <w:ind w:right="3254"/>
              <w:spacing w:after="0"/>
              <w:rPr>
                <w:sz w:val="20"/>
                <w:szCs w:val="20"/>
                <w:color w:val="auto"/>
              </w:rPr>
            </w:pPr>
            <w:r>
              <w:rPr>
                <w:rFonts w:ascii="Arial" w:cs="Arial" w:eastAsia="Arial" w:hAnsi="Arial"/>
                <w:sz w:val="13"/>
                <w:szCs w:val="13"/>
                <w:color w:val="auto"/>
              </w:rPr>
              <w:t>61</w:t>
            </w:r>
          </w:p>
        </w:tc>
        <w:tc>
          <w:tcPr>
            <w:tcW w:w="24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tcPr>
          <w:p>
            <w:pPr>
              <w:jc w:val="center"/>
              <w:ind w:left="2535"/>
              <w:spacing w:after="0"/>
              <w:rPr>
                <w:sz w:val="20"/>
                <w:szCs w:val="20"/>
                <w:color w:val="auto"/>
              </w:rPr>
            </w:pPr>
            <w:r>
              <w:rPr>
                <w:rFonts w:ascii="Arial" w:cs="Arial" w:eastAsia="Arial" w:hAnsi="Arial"/>
                <w:sz w:val="13"/>
                <w:szCs w:val="13"/>
                <w:b w:val="1"/>
                <w:bCs w:val="1"/>
                <w:color w:val="auto"/>
              </w:rPr>
              <w:t>EXHIBIT INDEX</w:t>
            </w:r>
          </w:p>
        </w:tc>
      </w:tr>
      <w:tr>
        <w:trPr>
          <w:trHeight w:val="293"/>
        </w:trPr>
        <w:tc>
          <w:tcPr>
            <w:tcW w:w="1540" w:type="dxa"/>
            <w:vAlign w:val="bottom"/>
          </w:tcPr>
          <w:p>
            <w:pPr>
              <w:jc w:val="right"/>
              <w:ind w:right="557"/>
              <w:spacing w:after="0"/>
              <w:rPr>
                <w:sz w:val="20"/>
                <w:szCs w:val="20"/>
                <w:color w:val="auto"/>
              </w:rPr>
            </w:pPr>
            <w:r>
              <w:rPr>
                <w:rFonts w:ascii="Arial" w:cs="Arial" w:eastAsia="Arial" w:hAnsi="Arial"/>
                <w:sz w:val="9"/>
                <w:szCs w:val="9"/>
                <w:b w:val="1"/>
                <w:bCs w:val="1"/>
                <w:color w:val="auto"/>
              </w:rPr>
              <w:t>Exhibit</w:t>
            </w:r>
          </w:p>
        </w:tc>
        <w:tc>
          <w:tcPr>
            <w:tcW w:w="2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11"/>
        </w:trPr>
        <w:tc>
          <w:tcPr>
            <w:tcW w:w="1540" w:type="dxa"/>
            <w:vAlign w:val="bottom"/>
            <w:tcBorders>
              <w:bottom w:val="single" w:sz="8" w:color="auto"/>
            </w:tcBorders>
          </w:tcPr>
          <w:p>
            <w:pPr>
              <w:jc w:val="right"/>
              <w:ind w:right="537"/>
              <w:spacing w:after="0"/>
              <w:rPr>
                <w:sz w:val="20"/>
                <w:szCs w:val="20"/>
                <w:color w:val="auto"/>
              </w:rPr>
            </w:pPr>
            <w:r>
              <w:rPr>
                <w:rFonts w:ascii="Arial" w:cs="Arial" w:eastAsia="Arial" w:hAnsi="Arial"/>
                <w:sz w:val="9"/>
                <w:szCs w:val="9"/>
                <w:b w:val="1"/>
                <w:bCs w:val="1"/>
                <w:color w:val="auto"/>
              </w:rPr>
              <w:t>Number</w:t>
            </w:r>
          </w:p>
        </w:tc>
        <w:tc>
          <w:tcPr>
            <w:tcW w:w="200" w:type="dxa"/>
            <w:vAlign w:val="bottom"/>
          </w:tcPr>
          <w:p>
            <w:pPr>
              <w:spacing w:after="0"/>
              <w:rPr>
                <w:sz w:val="9"/>
                <w:szCs w:val="9"/>
                <w:color w:val="auto"/>
              </w:rPr>
            </w:pPr>
          </w:p>
        </w:tc>
        <w:tc>
          <w:tcPr>
            <w:tcW w:w="3900" w:type="dxa"/>
            <w:vAlign w:val="bottom"/>
            <w:tcBorders>
              <w:bottom w:val="single" w:sz="8" w:color="auto"/>
            </w:tcBorders>
          </w:tcPr>
          <w:p>
            <w:pPr>
              <w:ind w:left="1580"/>
              <w:spacing w:after="0"/>
              <w:rPr>
                <w:sz w:val="20"/>
                <w:szCs w:val="20"/>
                <w:color w:val="auto"/>
              </w:rPr>
            </w:pPr>
            <w:r>
              <w:rPr>
                <w:rFonts w:ascii="Arial" w:cs="Arial" w:eastAsia="Arial" w:hAnsi="Arial"/>
                <w:sz w:val="9"/>
                <w:szCs w:val="9"/>
                <w:b w:val="1"/>
                <w:bCs w:val="1"/>
                <w:color w:val="auto"/>
              </w:rPr>
              <w:t>Exhibit Description</w:t>
            </w:r>
          </w:p>
        </w:tc>
      </w:tr>
      <w:tr>
        <w:trPr>
          <w:trHeight w:val="178"/>
        </w:trPr>
        <w:tc>
          <w:tcPr>
            <w:tcW w:w="1540" w:type="dxa"/>
            <w:vAlign w:val="bottom"/>
          </w:tcPr>
          <w:p>
            <w:pPr>
              <w:jc w:val="right"/>
              <w:ind w:right="537"/>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3"/>
              </w:rPr>
              <w:t>Agreement and Plan of Merger, dated as of September 30, 2009, by and</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5"/>
              </w:rPr>
              <w:t>among ViaSat, Inc., WildBlue Holding, Inc. and Aloha Merger Sub, Inc.</w:t>
            </w:r>
          </w:p>
        </w:tc>
      </w:tr>
      <w:tr>
        <w:trPr>
          <w:trHeight w:val="157"/>
        </w:trPr>
        <w:tc>
          <w:tcPr>
            <w:tcW w:w="1540" w:type="dxa"/>
            <w:vAlign w:val="bottom"/>
          </w:tcPr>
          <w:p>
            <w:pPr>
              <w:jc w:val="right"/>
              <w:ind w:right="537"/>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1"/>
              </w:rPr>
              <w:t>Second Amended and Restated Certificate of Incorporation of ViaSat, Inc.</w:t>
            </w:r>
          </w:p>
        </w:tc>
      </w:tr>
      <w:tr>
        <w:trPr>
          <w:trHeight w:val="157"/>
        </w:trPr>
        <w:tc>
          <w:tcPr>
            <w:tcW w:w="1540" w:type="dxa"/>
            <w:vAlign w:val="bottom"/>
          </w:tcPr>
          <w:p>
            <w:pPr>
              <w:jc w:val="right"/>
              <w:ind w:right="537"/>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First Amended and Restated Bylaws of ViaSat, Inc.</w:t>
            </w:r>
          </w:p>
        </w:tc>
      </w:tr>
      <w:tr>
        <w:trPr>
          <w:trHeight w:val="157"/>
        </w:trPr>
        <w:tc>
          <w:tcPr>
            <w:tcW w:w="1540" w:type="dxa"/>
            <w:vAlign w:val="bottom"/>
          </w:tcPr>
          <w:p>
            <w:pPr>
              <w:jc w:val="right"/>
              <w:ind w:right="537"/>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Form of Common Stock Certificate</w:t>
            </w:r>
          </w:p>
        </w:tc>
      </w:tr>
      <w:tr>
        <w:trPr>
          <w:trHeight w:val="157"/>
        </w:trPr>
        <w:tc>
          <w:tcPr>
            <w:tcW w:w="1540" w:type="dxa"/>
            <w:vAlign w:val="bottom"/>
          </w:tcPr>
          <w:p>
            <w:pPr>
              <w:jc w:val="right"/>
              <w:ind w:right="537"/>
              <w:spacing w:after="0"/>
              <w:rPr>
                <w:sz w:val="20"/>
                <w:szCs w:val="20"/>
                <w:color w:val="auto"/>
              </w:rPr>
            </w:pPr>
            <w:r>
              <w:rPr>
                <w:rFonts w:ascii="Arial" w:cs="Arial" w:eastAsia="Arial" w:hAnsi="Arial"/>
                <w:sz w:val="13"/>
                <w:szCs w:val="13"/>
                <w:color w:val="auto"/>
              </w:rPr>
              <w:t>4.2</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8"/>
              </w:rPr>
              <w:t>Indenture, dated as of October 22, 2009, by and among ViaSat, Inc.,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ViaSat Credit Corp., Enerdyne Technologies, Inc., ViaSat Satellite</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Ventures, LLC, VSV I Holdings, LLC, VSV II Holdings, LLC, ViaSat</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3"/>
              </w:rPr>
              <w:t>Satellite Ventures U.S. I, LLC, ViaSat Satellite Ventures U.S. II, LLC and</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Wilmington Trust FSB, as trustee</w:t>
            </w:r>
          </w:p>
        </w:tc>
      </w:tr>
      <w:tr>
        <w:trPr>
          <w:trHeight w:val="157"/>
        </w:trPr>
        <w:tc>
          <w:tcPr>
            <w:tcW w:w="1540" w:type="dxa"/>
            <w:vAlign w:val="bottom"/>
          </w:tcPr>
          <w:p>
            <w:pPr>
              <w:jc w:val="right"/>
              <w:ind w:right="537"/>
              <w:spacing w:after="0"/>
              <w:rPr>
                <w:sz w:val="20"/>
                <w:szCs w:val="20"/>
                <w:color w:val="auto"/>
              </w:rPr>
            </w:pPr>
            <w:r>
              <w:rPr>
                <w:rFonts w:ascii="Arial" w:cs="Arial" w:eastAsia="Arial" w:hAnsi="Arial"/>
                <w:sz w:val="13"/>
                <w:szCs w:val="13"/>
                <w:color w:val="auto"/>
              </w:rPr>
              <w:t>4.3</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Form of 8.875% Senior Note due 2016 of ViaSat, Inc. (attached as</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Exhibit A to the Indenture filed as Exhibit 4.2 hereto)</w:t>
            </w:r>
          </w:p>
        </w:tc>
      </w:tr>
      <w:tr>
        <w:trPr>
          <w:trHeight w:val="157"/>
        </w:trPr>
        <w:tc>
          <w:tcPr>
            <w:tcW w:w="1540" w:type="dxa"/>
            <w:vAlign w:val="bottom"/>
          </w:tcPr>
          <w:p>
            <w:pPr>
              <w:jc w:val="right"/>
              <w:ind w:right="537"/>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3"/>
              </w:rPr>
              <w:t>Form of Indemnification Agreement between ViaSat, Inc. and each of its</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directors and officers</w:t>
            </w:r>
          </w:p>
        </w:tc>
      </w:tr>
      <w:tr>
        <w:trPr>
          <w:trHeight w:val="157"/>
        </w:trPr>
        <w:tc>
          <w:tcPr>
            <w:tcW w:w="1540" w:type="dxa"/>
            <w:vAlign w:val="bottom"/>
          </w:tcPr>
          <w:p>
            <w:pPr>
              <w:jc w:val="right"/>
              <w:ind w:right="477"/>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3"/>
              </w:rPr>
              <w:t>ViaSat, Inc. Employee Stock Purchase Plan (as Amended and Restated</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Effective July 1, 2009)</w:t>
            </w:r>
          </w:p>
        </w:tc>
      </w:tr>
      <w:tr>
        <w:trPr>
          <w:trHeight w:val="157"/>
        </w:trPr>
        <w:tc>
          <w:tcPr>
            <w:tcW w:w="1540" w:type="dxa"/>
            <w:vAlign w:val="bottom"/>
          </w:tcPr>
          <w:p>
            <w:pPr>
              <w:jc w:val="right"/>
              <w:ind w:right="477"/>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2"/>
              </w:rPr>
              <w:t>1996 Equity Participation Plan of ViaSat, Inc. (As Amended and Restated</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Effective September 22, 2010)</w:t>
            </w:r>
          </w:p>
        </w:tc>
      </w:tr>
      <w:tr>
        <w:trPr>
          <w:trHeight w:val="157"/>
        </w:trPr>
        <w:tc>
          <w:tcPr>
            <w:tcW w:w="1540" w:type="dxa"/>
            <w:vAlign w:val="bottom"/>
          </w:tcPr>
          <w:p>
            <w:pPr>
              <w:jc w:val="right"/>
              <w:ind w:right="477"/>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5"/>
              </w:rPr>
              <w:t>Form of Stock Option Agreement for the 1996 Equity Participation Plan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of ViaSat, Inc.</w:t>
            </w:r>
          </w:p>
        </w:tc>
      </w:tr>
      <w:tr>
        <w:trPr>
          <w:trHeight w:val="157"/>
        </w:trPr>
        <w:tc>
          <w:tcPr>
            <w:tcW w:w="1540" w:type="dxa"/>
            <w:vAlign w:val="bottom"/>
          </w:tcPr>
          <w:p>
            <w:pPr>
              <w:jc w:val="right"/>
              <w:ind w:right="477"/>
              <w:spacing w:after="0"/>
              <w:rPr>
                <w:sz w:val="20"/>
                <w:szCs w:val="20"/>
                <w:color w:val="auto"/>
              </w:rPr>
            </w:pPr>
            <w:r>
              <w:rPr>
                <w:rFonts w:ascii="Arial" w:cs="Arial" w:eastAsia="Arial" w:hAnsi="Arial"/>
                <w:sz w:val="13"/>
                <w:szCs w:val="13"/>
                <w:color w:val="auto"/>
              </w:rPr>
              <w:t>10.5*</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9"/>
              </w:rPr>
              <w:t>Form of Restricted Stock Unit Award Agreement for the 1996 Equity</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Participation Plan of ViaSat, Inc.</w:t>
            </w:r>
          </w:p>
        </w:tc>
      </w:tr>
      <w:tr>
        <w:trPr>
          <w:trHeight w:val="157"/>
        </w:trPr>
        <w:tc>
          <w:tcPr>
            <w:tcW w:w="1540" w:type="dxa"/>
            <w:vAlign w:val="bottom"/>
          </w:tcPr>
          <w:p>
            <w:pPr>
              <w:jc w:val="right"/>
              <w:ind w:right="477"/>
              <w:spacing w:after="0"/>
              <w:rPr>
                <w:sz w:val="20"/>
                <w:szCs w:val="20"/>
                <w:color w:val="auto"/>
              </w:rPr>
            </w:pPr>
            <w:r>
              <w:rPr>
                <w:rFonts w:ascii="Arial" w:cs="Arial" w:eastAsia="Arial" w:hAnsi="Arial"/>
                <w:sz w:val="13"/>
                <w:szCs w:val="13"/>
                <w:color w:val="auto"/>
              </w:rPr>
              <w:t>10.6*</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4"/>
              </w:rPr>
              <w:t>Form of Executive Restricted Stock Unit Award Agreement for the 1996</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Equity Participation Plan of ViaSat, Inc.</w:t>
            </w:r>
          </w:p>
        </w:tc>
      </w:tr>
      <w:tr>
        <w:trPr>
          <w:trHeight w:val="157"/>
        </w:trPr>
        <w:tc>
          <w:tcPr>
            <w:tcW w:w="1540" w:type="dxa"/>
            <w:vAlign w:val="bottom"/>
          </w:tcPr>
          <w:p>
            <w:pPr>
              <w:jc w:val="right"/>
              <w:ind w:right="477"/>
              <w:spacing w:after="0"/>
              <w:rPr>
                <w:sz w:val="20"/>
                <w:szCs w:val="20"/>
                <w:color w:val="auto"/>
              </w:rPr>
            </w:pPr>
            <w:r>
              <w:rPr>
                <w:rFonts w:ascii="Arial" w:cs="Arial" w:eastAsia="Arial" w:hAnsi="Arial"/>
                <w:sz w:val="13"/>
                <w:szCs w:val="13"/>
                <w:color w:val="auto"/>
              </w:rPr>
              <w:t>10.7*</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3"/>
              </w:rPr>
              <w:t>Form of Non-Employee Director Restricted Stock Unit Award Agreement</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for the 1996 Equity Participation Plan of ViaSat, Inc.</w:t>
            </w:r>
          </w:p>
        </w:tc>
      </w:tr>
      <w:tr>
        <w:trPr>
          <w:trHeight w:val="157"/>
        </w:trPr>
        <w:tc>
          <w:tcPr>
            <w:tcW w:w="1540" w:type="dxa"/>
            <w:vAlign w:val="bottom"/>
          </w:tcPr>
          <w:p>
            <w:pPr>
              <w:jc w:val="right"/>
              <w:ind w:right="477"/>
              <w:spacing w:after="0"/>
              <w:rPr>
                <w:sz w:val="20"/>
                <w:szCs w:val="20"/>
                <w:color w:val="auto"/>
              </w:rPr>
            </w:pPr>
            <w:r>
              <w:rPr>
                <w:rFonts w:ascii="Arial" w:cs="Arial" w:eastAsia="Arial" w:hAnsi="Arial"/>
                <w:sz w:val="13"/>
                <w:szCs w:val="13"/>
                <w:color w:val="auto"/>
              </w:rPr>
              <w:t>10.8*</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4"/>
              </w:rPr>
              <w:t>Form of Change in Control Severance Agreement between ViaSat, Inc.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and each of its executive officers</w:t>
            </w:r>
          </w:p>
        </w:tc>
      </w:tr>
      <w:tr>
        <w:trPr>
          <w:trHeight w:val="157"/>
        </w:trPr>
        <w:tc>
          <w:tcPr>
            <w:tcW w:w="1540" w:type="dxa"/>
            <w:vAlign w:val="bottom"/>
          </w:tcPr>
          <w:p>
            <w:pPr>
              <w:jc w:val="right"/>
              <w:ind w:right="537"/>
              <w:spacing w:after="0"/>
              <w:rPr>
                <w:sz w:val="20"/>
                <w:szCs w:val="20"/>
                <w:color w:val="auto"/>
              </w:rPr>
            </w:pPr>
            <w:r>
              <w:rPr>
                <w:rFonts w:ascii="Arial" w:cs="Arial" w:eastAsia="Arial" w:hAnsi="Arial"/>
                <w:sz w:val="13"/>
                <w:szCs w:val="13"/>
                <w:color w:val="auto"/>
              </w:rPr>
              <w:t>10.9</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3"/>
              </w:rPr>
              <w:t>Fourth Amended and Restated Revolving Loan Agreement dated July 1,</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4"/>
              </w:rPr>
              <w:t>2009 by and among ViaSat, Inc., Banc of America Securities LLC, Bank</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6"/>
              </w:rPr>
              <w:t>of America, N.A., JPMorgan Chase Bank, N.A., Union Bank, N.A. and</w:t>
            </w:r>
          </w:p>
        </w:tc>
      </w:tr>
      <w:tr>
        <w:trPr>
          <w:trHeight w:val="165"/>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the other lenders party thereto</w:t>
            </w:r>
          </w:p>
        </w:tc>
      </w:tr>
      <w:tr>
        <w:trPr>
          <w:trHeight w:val="452"/>
        </w:trPr>
        <w:tc>
          <w:tcPr>
            <w:tcW w:w="1540" w:type="dxa"/>
            <w:vAlign w:val="bottom"/>
          </w:tcPr>
          <w:p>
            <w:pPr>
              <w:spacing w:after="0"/>
              <w:rPr>
                <w:sz w:val="24"/>
                <w:szCs w:val="24"/>
                <w:color w:val="auto"/>
              </w:rPr>
            </w:pPr>
          </w:p>
        </w:tc>
        <w:tc>
          <w:tcPr>
            <w:tcW w:w="4100" w:type="dxa"/>
            <w:vAlign w:val="bottom"/>
            <w:gridSpan w:val="2"/>
          </w:tcPr>
          <w:p>
            <w:pPr>
              <w:jc w:val="right"/>
              <w:ind w:right="515"/>
              <w:spacing w:after="0"/>
              <w:rPr>
                <w:sz w:val="20"/>
                <w:szCs w:val="20"/>
                <w:color w:val="auto"/>
              </w:rPr>
            </w:pPr>
            <w:r>
              <w:rPr>
                <w:rFonts w:ascii="Arial" w:cs="Arial" w:eastAsia="Arial" w:hAnsi="Arial"/>
                <w:sz w:val="13"/>
                <w:szCs w:val="13"/>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jc w:val="right"/>
              <w:ind w:right="220"/>
              <w:spacing w:after="0"/>
              <w:rPr>
                <w:sz w:val="20"/>
                <w:szCs w:val="20"/>
                <w:color w:val="auto"/>
              </w:rPr>
            </w:pPr>
            <w:r>
              <w:rPr>
                <w:rFonts w:ascii="Arial" w:cs="Arial" w:eastAsia="Arial" w:hAnsi="Arial"/>
                <w:sz w:val="9"/>
                <w:szCs w:val="9"/>
                <w:b w:val="1"/>
                <w:bCs w:val="1"/>
                <w:color w:val="auto"/>
              </w:rPr>
              <w:t>Incorporated by Reference</w:t>
            </w: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8"/>
              </w:rPr>
              <w:t>Filed or</w:t>
            </w:r>
          </w:p>
        </w:tc>
        <w:tc>
          <w:tcPr>
            <w:tcW w:w="0" w:type="dxa"/>
            <w:vAlign w:val="bottom"/>
          </w:tcPr>
          <w:p>
            <w:pPr>
              <w:spacing w:after="0"/>
              <w:rPr>
                <w:sz w:val="1"/>
                <w:szCs w:val="1"/>
                <w:color w:val="auto"/>
              </w:rPr>
            </w:pPr>
          </w:p>
        </w:tc>
      </w:tr>
      <w:tr>
        <w:trPr>
          <w:trHeight w:val="102"/>
        </w:trPr>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4"/>
            <w:vMerge w:val="continue"/>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1"/>
              </w:rPr>
              <w:t>Furnished</w:t>
            </w:r>
          </w:p>
        </w:tc>
        <w:tc>
          <w:tcPr>
            <w:tcW w:w="0" w:type="dxa"/>
            <w:vAlign w:val="bottom"/>
          </w:tcPr>
          <w:p>
            <w:pPr>
              <w:spacing w:after="0"/>
              <w:rPr>
                <w:sz w:val="1"/>
                <w:szCs w:val="1"/>
                <w:color w:val="auto"/>
              </w:rPr>
            </w:pPr>
          </w:p>
        </w:tc>
      </w:tr>
      <w:tr>
        <w:trPr>
          <w:trHeight w:val="88"/>
        </w:trPr>
        <w:tc>
          <w:tcPr>
            <w:tcW w:w="500" w:type="dxa"/>
            <w:vAlign w:val="bottom"/>
            <w:tcBorders>
              <w:bottom w:val="single" w:sz="8" w:color="auto"/>
            </w:tcBorders>
          </w:tcPr>
          <w:p>
            <w:pPr>
              <w:ind w:left="140"/>
              <w:spacing w:after="0" w:line="88" w:lineRule="exact"/>
              <w:rPr>
                <w:sz w:val="20"/>
                <w:szCs w:val="20"/>
                <w:color w:val="auto"/>
              </w:rPr>
            </w:pPr>
            <w:r>
              <w:rPr>
                <w:rFonts w:ascii="Arial" w:cs="Arial" w:eastAsia="Arial" w:hAnsi="Arial"/>
                <w:sz w:val="9"/>
                <w:szCs w:val="9"/>
                <w:b w:val="1"/>
                <w:bCs w:val="1"/>
                <w:color w:val="auto"/>
              </w:rPr>
              <w:t>Form</w:t>
            </w:r>
          </w:p>
        </w:tc>
        <w:tc>
          <w:tcPr>
            <w:tcW w:w="200" w:type="dxa"/>
            <w:vAlign w:val="bottom"/>
          </w:tcPr>
          <w:p>
            <w:pPr>
              <w:spacing w:after="0"/>
              <w:rPr>
                <w:sz w:val="7"/>
                <w:szCs w:val="7"/>
                <w:color w:val="auto"/>
              </w:rPr>
            </w:pPr>
          </w:p>
        </w:tc>
        <w:tc>
          <w:tcPr>
            <w:tcW w:w="1000" w:type="dxa"/>
            <w:vAlign w:val="bottom"/>
            <w:tcBorders>
              <w:bottom w:val="single" w:sz="8" w:color="auto"/>
            </w:tcBorders>
          </w:tcPr>
          <w:p>
            <w:pPr>
              <w:ind w:left="340"/>
              <w:spacing w:after="0" w:line="88" w:lineRule="exact"/>
              <w:rPr>
                <w:sz w:val="20"/>
                <w:szCs w:val="20"/>
                <w:color w:val="auto"/>
              </w:rPr>
            </w:pPr>
            <w:r>
              <w:rPr>
                <w:rFonts w:ascii="Arial" w:cs="Arial" w:eastAsia="Arial" w:hAnsi="Arial"/>
                <w:sz w:val="9"/>
                <w:szCs w:val="9"/>
                <w:b w:val="1"/>
                <w:bCs w:val="1"/>
                <w:color w:val="auto"/>
              </w:rPr>
              <w:t>File No.</w:t>
            </w:r>
          </w:p>
        </w:tc>
        <w:tc>
          <w:tcPr>
            <w:tcW w:w="200" w:type="dxa"/>
            <w:vAlign w:val="bottom"/>
          </w:tcPr>
          <w:p>
            <w:pPr>
              <w:spacing w:after="0"/>
              <w:rPr>
                <w:sz w:val="7"/>
                <w:szCs w:val="7"/>
                <w:color w:val="auto"/>
              </w:rPr>
            </w:pPr>
          </w:p>
        </w:tc>
        <w:tc>
          <w:tcPr>
            <w:tcW w:w="3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Exhibit</w:t>
            </w:r>
          </w:p>
        </w:tc>
        <w:tc>
          <w:tcPr>
            <w:tcW w:w="200" w:type="dxa"/>
            <w:vAlign w:val="bottom"/>
          </w:tcPr>
          <w:p>
            <w:pPr>
              <w:spacing w:after="0"/>
              <w:rPr>
                <w:sz w:val="7"/>
                <w:szCs w:val="7"/>
                <w:color w:val="auto"/>
              </w:rPr>
            </w:pPr>
          </w:p>
        </w:tc>
        <w:tc>
          <w:tcPr>
            <w:tcW w:w="920" w:type="dxa"/>
            <w:vAlign w:val="bottom"/>
            <w:tcBorders>
              <w:bottom w:val="single" w:sz="8" w:color="auto"/>
            </w:tcBorders>
          </w:tcPr>
          <w:p>
            <w:pPr>
              <w:jc w:val="right"/>
              <w:ind w:right="176"/>
              <w:spacing w:after="0" w:line="88" w:lineRule="exact"/>
              <w:rPr>
                <w:sz w:val="20"/>
                <w:szCs w:val="20"/>
                <w:color w:val="auto"/>
              </w:rPr>
            </w:pPr>
            <w:r>
              <w:rPr>
                <w:rFonts w:ascii="Arial" w:cs="Arial" w:eastAsia="Arial" w:hAnsi="Arial"/>
                <w:sz w:val="9"/>
                <w:szCs w:val="9"/>
                <w:b w:val="1"/>
                <w:bCs w:val="1"/>
                <w:color w:val="auto"/>
              </w:rPr>
              <w:t>Filing Date</w:t>
            </w:r>
          </w:p>
        </w:tc>
        <w:tc>
          <w:tcPr>
            <w:tcW w:w="200" w:type="dxa"/>
            <w:vAlign w:val="bottom"/>
          </w:tcPr>
          <w:p>
            <w:pPr>
              <w:spacing w:after="0"/>
              <w:rPr>
                <w:sz w:val="7"/>
                <w:szCs w:val="7"/>
                <w:color w:val="auto"/>
              </w:rPr>
            </w:pPr>
          </w:p>
        </w:tc>
        <w:tc>
          <w:tcPr>
            <w:tcW w:w="6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4"/>
              </w:rPr>
              <w:t>Herewith</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2.1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10/02/2009</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500" w:type="dxa"/>
            <w:vAlign w:val="bottom"/>
          </w:tcPr>
          <w:p>
            <w:pPr>
              <w:spacing w:after="0"/>
              <w:rPr>
                <w:sz w:val="20"/>
                <w:szCs w:val="20"/>
                <w:color w:val="auto"/>
              </w:rPr>
            </w:pPr>
            <w:r>
              <w:rPr>
                <w:rFonts w:ascii="Arial" w:cs="Arial" w:eastAsia="Arial" w:hAnsi="Arial"/>
                <w:sz w:val="13"/>
                <w:szCs w:val="13"/>
                <w:color w:val="auto"/>
              </w:rPr>
              <w:t>10-Q</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3.1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11/14/2000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00" w:type="dxa"/>
            <w:vAlign w:val="bottom"/>
          </w:tcPr>
          <w:p>
            <w:pPr>
              <w:spacing w:after="0"/>
              <w:rPr>
                <w:sz w:val="20"/>
                <w:szCs w:val="20"/>
                <w:color w:val="auto"/>
              </w:rPr>
            </w:pPr>
            <w:r>
              <w:rPr>
                <w:rFonts w:ascii="Arial" w:cs="Arial" w:eastAsia="Arial" w:hAnsi="Arial"/>
                <w:sz w:val="13"/>
                <w:szCs w:val="13"/>
                <w:color w:val="auto"/>
              </w:rPr>
              <w:t>S-3</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333-116468</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3.2</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06/14/2004</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spacing w:after="0"/>
              <w:rPr>
                <w:sz w:val="20"/>
                <w:szCs w:val="20"/>
                <w:color w:val="auto"/>
              </w:rPr>
            </w:pPr>
            <w:r>
              <w:rPr>
                <w:rFonts w:ascii="Arial" w:cs="Arial" w:eastAsia="Arial" w:hAnsi="Arial"/>
                <w:sz w:val="13"/>
                <w:szCs w:val="13"/>
                <w:color w:val="auto"/>
              </w:rPr>
              <w:t>S-1/A</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333-13183</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4.1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11/05/1996</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4.1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10/22/2009</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6"/>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4.1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10/22/2009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99.1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03/07/2008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10/05/2009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09/24/2010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10.2</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10/02/2008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10.3</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10/02/2008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10.4</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10/02/2008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10.3</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10/05/2009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10.1</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08/04/2010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10-Q</w:t>
            </w: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10.2</w:t>
            </w:r>
          </w:p>
        </w:tc>
        <w:tc>
          <w:tcPr>
            <w:tcW w:w="920" w:type="dxa"/>
            <w:vAlign w:val="bottom"/>
          </w:tcPr>
          <w:p>
            <w:pPr>
              <w:jc w:val="right"/>
              <w:ind w:right="256"/>
              <w:spacing w:after="0"/>
              <w:rPr>
                <w:sz w:val="20"/>
                <w:szCs w:val="20"/>
                <w:color w:val="auto"/>
              </w:rPr>
            </w:pPr>
            <w:r>
              <w:rPr>
                <w:rFonts w:ascii="Arial" w:cs="Arial" w:eastAsia="Arial" w:hAnsi="Arial"/>
                <w:sz w:val="13"/>
                <w:szCs w:val="13"/>
                <w:color w:val="auto"/>
                <w:w w:val="89"/>
              </w:rPr>
              <w:t>08/12/2009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320" w:space="200"/>
            <w:col w:w="414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3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540" w:type="dxa"/>
            <w:vAlign w:val="bottom"/>
          </w:tcPr>
          <w:p>
            <w:pPr>
              <w:jc w:val="right"/>
              <w:ind w:right="559"/>
              <w:spacing w:after="0"/>
              <w:rPr>
                <w:sz w:val="20"/>
                <w:szCs w:val="20"/>
                <w:color w:val="auto"/>
              </w:rPr>
            </w:pPr>
            <w:r>
              <w:rPr>
                <w:rFonts w:ascii="Arial" w:cs="Arial" w:eastAsia="Arial" w:hAnsi="Arial"/>
                <w:sz w:val="9"/>
                <w:szCs w:val="9"/>
                <w:b w:val="1"/>
                <w:bCs w:val="1"/>
                <w:color w:val="auto"/>
              </w:rPr>
              <w:t>Exhibit</w:t>
            </w:r>
          </w:p>
        </w:tc>
        <w:tc>
          <w:tcPr>
            <w:tcW w:w="200" w:type="dxa"/>
            <w:vAlign w:val="bottom"/>
          </w:tcPr>
          <w:p>
            <w:pPr>
              <w:spacing w:after="0"/>
              <w:rPr>
                <w:sz w:val="8"/>
                <w:szCs w:val="8"/>
                <w:color w:val="auto"/>
              </w:rPr>
            </w:pPr>
          </w:p>
        </w:tc>
        <w:tc>
          <w:tcPr>
            <w:tcW w:w="3900" w:type="dxa"/>
            <w:vAlign w:val="bottom"/>
          </w:tcPr>
          <w:p>
            <w:pPr>
              <w:spacing w:after="0"/>
              <w:rPr>
                <w:sz w:val="8"/>
                <w:szCs w:val="8"/>
                <w:color w:val="auto"/>
              </w:rPr>
            </w:pPr>
          </w:p>
        </w:tc>
      </w:tr>
      <w:tr>
        <w:trPr>
          <w:trHeight w:val="111"/>
        </w:trPr>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9"/>
                <w:szCs w:val="9"/>
                <w:b w:val="1"/>
                <w:bCs w:val="1"/>
                <w:color w:val="auto"/>
              </w:rPr>
              <w:t>Number</w:t>
            </w:r>
          </w:p>
        </w:tc>
        <w:tc>
          <w:tcPr>
            <w:tcW w:w="200" w:type="dxa"/>
            <w:vAlign w:val="bottom"/>
          </w:tcPr>
          <w:p>
            <w:pPr>
              <w:spacing w:after="0"/>
              <w:rPr>
                <w:sz w:val="9"/>
                <w:szCs w:val="9"/>
                <w:color w:val="auto"/>
              </w:rPr>
            </w:pPr>
          </w:p>
        </w:tc>
        <w:tc>
          <w:tcPr>
            <w:tcW w:w="3900" w:type="dxa"/>
            <w:vAlign w:val="bottom"/>
            <w:tcBorders>
              <w:bottom w:val="single" w:sz="8" w:color="auto"/>
            </w:tcBorders>
          </w:tcPr>
          <w:p>
            <w:pPr>
              <w:ind w:left="1580"/>
              <w:spacing w:after="0"/>
              <w:rPr>
                <w:sz w:val="20"/>
                <w:szCs w:val="20"/>
                <w:color w:val="auto"/>
              </w:rPr>
            </w:pPr>
            <w:r>
              <w:rPr>
                <w:rFonts w:ascii="Arial" w:cs="Arial" w:eastAsia="Arial" w:hAnsi="Arial"/>
                <w:sz w:val="9"/>
                <w:szCs w:val="9"/>
                <w:b w:val="1"/>
                <w:bCs w:val="1"/>
                <w:color w:val="auto"/>
              </w:rPr>
              <w:t>Exhibit Description</w:t>
            </w:r>
          </w:p>
        </w:tc>
      </w:tr>
      <w:tr>
        <w:trPr>
          <w:trHeight w:val="178"/>
        </w:trPr>
        <w:tc>
          <w:tcPr>
            <w:tcW w:w="1540" w:type="dxa"/>
            <w:vAlign w:val="bottom"/>
          </w:tcPr>
          <w:p>
            <w:pPr>
              <w:jc w:val="right"/>
              <w:ind w:right="479"/>
              <w:spacing w:after="0"/>
              <w:rPr>
                <w:sz w:val="20"/>
                <w:szCs w:val="20"/>
                <w:color w:val="auto"/>
              </w:rPr>
            </w:pPr>
            <w:r>
              <w:rPr>
                <w:rFonts w:ascii="Arial" w:cs="Arial" w:eastAsia="Arial" w:hAnsi="Arial"/>
                <w:sz w:val="13"/>
                <w:szCs w:val="13"/>
                <w:color w:val="auto"/>
              </w:rPr>
              <w:t>10.10</w:t>
            </w:r>
          </w:p>
        </w:tc>
        <w:tc>
          <w:tcPr>
            <w:tcW w:w="20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9"/>
              </w:rPr>
              <w:t>First Amendment to Fourth Amended and Restated Revolving Loan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2"/>
              </w:rPr>
              <w:t>Agreement, dated as of September 30, 2009, by and among ViaSat, Inc.,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Banc of America Securities LLC, Bank of America, N.A., JPMorgan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3"/>
              </w:rPr>
              <w:t>Chase Bank, N.A., Union Bank, N.A., and the other lenders party thereto</w:t>
            </w:r>
          </w:p>
        </w:tc>
      </w:tr>
      <w:tr>
        <w:trPr>
          <w:trHeight w:val="157"/>
        </w:trPr>
        <w:tc>
          <w:tcPr>
            <w:tcW w:w="1540" w:type="dxa"/>
            <w:vAlign w:val="bottom"/>
          </w:tcPr>
          <w:p>
            <w:pPr>
              <w:jc w:val="right"/>
              <w:ind w:right="479"/>
              <w:spacing w:after="0"/>
              <w:rPr>
                <w:sz w:val="20"/>
                <w:szCs w:val="20"/>
                <w:color w:val="auto"/>
              </w:rPr>
            </w:pPr>
            <w:r>
              <w:rPr>
                <w:rFonts w:ascii="Arial" w:cs="Arial" w:eastAsia="Arial" w:hAnsi="Arial"/>
                <w:sz w:val="13"/>
                <w:szCs w:val="13"/>
                <w:color w:val="auto"/>
              </w:rPr>
              <w:t>10.11</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5"/>
              </w:rPr>
              <w:t>Second Amendment to Fourth Amended and Restated Revolving Loan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0"/>
              </w:rPr>
              <w:t>Agreement, dated as of October 6, 2009, by and among ViaSat, Inc., Banc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8"/>
              </w:rPr>
              <w:t>of America Securities LLC, Bank of America, N.A., JPMorgan Chase</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6"/>
              </w:rPr>
              <w:t>Bank, N.A., Union Bank, N.A., Wells Fargo Bank, National Association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and the other lenders party thereto</w:t>
            </w:r>
          </w:p>
        </w:tc>
      </w:tr>
      <w:tr>
        <w:trPr>
          <w:trHeight w:val="157"/>
        </w:trPr>
        <w:tc>
          <w:tcPr>
            <w:tcW w:w="1540" w:type="dxa"/>
            <w:vAlign w:val="bottom"/>
          </w:tcPr>
          <w:p>
            <w:pPr>
              <w:jc w:val="right"/>
              <w:ind w:right="479"/>
              <w:spacing w:after="0"/>
              <w:rPr>
                <w:sz w:val="20"/>
                <w:szCs w:val="20"/>
                <w:color w:val="auto"/>
              </w:rPr>
            </w:pPr>
            <w:r>
              <w:rPr>
                <w:rFonts w:ascii="Arial" w:cs="Arial" w:eastAsia="Arial" w:hAnsi="Arial"/>
                <w:sz w:val="13"/>
                <w:szCs w:val="13"/>
                <w:color w:val="auto"/>
              </w:rPr>
              <w:t>10.12</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8"/>
              </w:rPr>
              <w:t>Third Amendment to Fourth Amended and Restated Revolving Loan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3"/>
              </w:rPr>
              <w:t>Agreement, dated as of December 14, 2009, by and among ViaSat, Inc.,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Union Bank, N.A., and the other lenders party thereto</w:t>
            </w:r>
          </w:p>
        </w:tc>
      </w:tr>
      <w:tr>
        <w:trPr>
          <w:trHeight w:val="157"/>
        </w:trPr>
        <w:tc>
          <w:tcPr>
            <w:tcW w:w="1540" w:type="dxa"/>
            <w:vAlign w:val="bottom"/>
          </w:tcPr>
          <w:p>
            <w:pPr>
              <w:jc w:val="right"/>
              <w:ind w:right="479"/>
              <w:spacing w:after="0"/>
              <w:rPr>
                <w:sz w:val="20"/>
                <w:szCs w:val="20"/>
                <w:color w:val="auto"/>
              </w:rPr>
            </w:pPr>
            <w:r>
              <w:rPr>
                <w:rFonts w:ascii="Arial" w:cs="Arial" w:eastAsia="Arial" w:hAnsi="Arial"/>
                <w:sz w:val="13"/>
                <w:szCs w:val="13"/>
                <w:color w:val="auto"/>
              </w:rPr>
              <w:t>10.13</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6"/>
              </w:rPr>
              <w:t>Fourth Amendment to Fourth Amended and Restated Revolving Loan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1"/>
              </w:rPr>
              <w:t>Agreement, dated as of March 15, 2010, by and among ViaSat, Inc., Banc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8"/>
              </w:rPr>
              <w:t>of America Securities LLC, Bank of America, N.A., JPMorgan Chase</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6"/>
              </w:rPr>
              <w:t>Bank, N.A., Union Bank, N.A., Wells Fargo Bank, National Association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and the other lenders party thereto</w:t>
            </w:r>
          </w:p>
        </w:tc>
      </w:tr>
      <w:tr>
        <w:trPr>
          <w:trHeight w:val="157"/>
        </w:trPr>
        <w:tc>
          <w:tcPr>
            <w:tcW w:w="1540" w:type="dxa"/>
            <w:vAlign w:val="bottom"/>
          </w:tcPr>
          <w:p>
            <w:pPr>
              <w:jc w:val="right"/>
              <w:ind w:right="479"/>
              <w:spacing w:after="0"/>
              <w:rPr>
                <w:sz w:val="20"/>
                <w:szCs w:val="20"/>
                <w:color w:val="auto"/>
              </w:rPr>
            </w:pPr>
            <w:r>
              <w:rPr>
                <w:rFonts w:ascii="Arial" w:cs="Arial" w:eastAsia="Arial" w:hAnsi="Arial"/>
                <w:sz w:val="13"/>
                <w:szCs w:val="13"/>
                <w:color w:val="auto"/>
              </w:rPr>
              <w:t>10.14</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9"/>
              </w:rPr>
              <w:t>Fifth Amendment to Fourth Amended and Restated Revolving Loan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8"/>
              </w:rPr>
              <w:t>Agreement, dated as of March 31, 2010, by and among ViaSat, Inc.,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4"/>
              </w:rPr>
              <w:t>Union Bank, N.A., Bank of America, N.A., JPMorgan Chase Bank, N.A.,</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1"/>
              </w:rPr>
              <w:t>Compass Bank and Wells Fargo Bank, National Association and the other</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lenders party thereto</w:t>
            </w:r>
          </w:p>
        </w:tc>
      </w:tr>
      <w:tr>
        <w:trPr>
          <w:trHeight w:val="157"/>
        </w:trPr>
        <w:tc>
          <w:tcPr>
            <w:tcW w:w="1540" w:type="dxa"/>
            <w:vAlign w:val="bottom"/>
          </w:tcPr>
          <w:p>
            <w:pPr>
              <w:jc w:val="right"/>
              <w:ind w:right="479"/>
              <w:spacing w:after="0"/>
              <w:rPr>
                <w:sz w:val="20"/>
                <w:szCs w:val="20"/>
                <w:color w:val="auto"/>
              </w:rPr>
            </w:pPr>
            <w:r>
              <w:rPr>
                <w:rFonts w:ascii="Arial" w:cs="Arial" w:eastAsia="Arial" w:hAnsi="Arial"/>
                <w:sz w:val="13"/>
                <w:szCs w:val="13"/>
                <w:color w:val="auto"/>
              </w:rPr>
              <w:t>10.15</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9"/>
              </w:rPr>
              <w:t>Sixth Amendment to Fourth Amended and Restated Revolving Loan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6"/>
              </w:rPr>
              <w:t>Agreement, dated as of October 12, 2010, by and among ViaSat, Inc.,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Union Bank, N.A., and the other lenders party thereto</w:t>
            </w:r>
          </w:p>
        </w:tc>
      </w:tr>
      <w:tr>
        <w:trPr>
          <w:trHeight w:val="157"/>
        </w:trPr>
        <w:tc>
          <w:tcPr>
            <w:tcW w:w="1540" w:type="dxa"/>
            <w:vAlign w:val="bottom"/>
          </w:tcPr>
          <w:p>
            <w:pPr>
              <w:jc w:val="right"/>
              <w:ind w:right="479"/>
              <w:spacing w:after="0"/>
              <w:rPr>
                <w:sz w:val="20"/>
                <w:szCs w:val="20"/>
                <w:color w:val="auto"/>
              </w:rPr>
            </w:pPr>
            <w:r>
              <w:rPr>
                <w:rFonts w:ascii="Arial" w:cs="Arial" w:eastAsia="Arial" w:hAnsi="Arial"/>
                <w:sz w:val="13"/>
                <w:szCs w:val="13"/>
                <w:color w:val="auto"/>
              </w:rPr>
              <w:t>10.16</w:t>
            </w: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4"/>
              </w:rPr>
              <w:t>Seventh Amendment to Fourth Amended and Restated Revolving Loan</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6"/>
              </w:rPr>
              <w:t>Agreement, dated as of January 25, 2011, by and among ViaSat, Inc.,</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4"/>
              </w:rPr>
              <w:t>Bank of America, N.A., Union Bank, N.A., JPMorgan Chase Bank, N.A.,</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5"/>
              </w:rPr>
              <w:t>Wells Fargo Bank, National Association, Compass Bank, Credit Suisse</w:t>
            </w:r>
          </w:p>
        </w:tc>
      </w:tr>
      <w:tr>
        <w:trPr>
          <w:trHeight w:val="157"/>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w w:val="94"/>
              </w:rPr>
              <w:t>AG, Cayman Islands Branch, Bank of the West, and other lenders party</w:t>
            </w:r>
          </w:p>
        </w:tc>
      </w:tr>
      <w:tr>
        <w:trPr>
          <w:trHeight w:val="165"/>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thereto</w:t>
            </w:r>
          </w:p>
        </w:tc>
      </w:tr>
      <w:tr>
        <w:trPr>
          <w:trHeight w:val="295"/>
        </w:trPr>
        <w:tc>
          <w:tcPr>
            <w:tcW w:w="1540" w:type="dxa"/>
            <w:vAlign w:val="bottom"/>
          </w:tcPr>
          <w:p>
            <w:pPr>
              <w:spacing w:after="0"/>
              <w:rPr>
                <w:sz w:val="24"/>
                <w:szCs w:val="24"/>
                <w:color w:val="auto"/>
              </w:rPr>
            </w:pPr>
          </w:p>
        </w:tc>
        <w:tc>
          <w:tcPr>
            <w:tcW w:w="4100" w:type="dxa"/>
            <w:vAlign w:val="bottom"/>
            <w:gridSpan w:val="2"/>
          </w:tcPr>
          <w:p>
            <w:pPr>
              <w:jc w:val="right"/>
              <w:ind w:right="515"/>
              <w:spacing w:after="0"/>
              <w:rPr>
                <w:sz w:val="20"/>
                <w:szCs w:val="20"/>
                <w:color w:val="auto"/>
              </w:rPr>
            </w:pPr>
            <w:r>
              <w:rPr>
                <w:rFonts w:ascii="Arial" w:cs="Arial" w:eastAsia="Arial" w:hAnsi="Arial"/>
                <w:sz w:val="13"/>
                <w:szCs w:val="13"/>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Incorporated by Reference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500" w:type="dxa"/>
            <w:vAlign w:val="bottom"/>
            <w:tcBorders>
              <w:top w:val="single" w:sz="8" w:color="auto"/>
              <w:bottom w:val="single" w:sz="8" w:color="auto"/>
            </w:tcBorders>
          </w:tcPr>
          <w:p>
            <w:pPr>
              <w:ind w:left="140"/>
              <w:spacing w:after="0" w:line="88" w:lineRule="exact"/>
              <w:rPr>
                <w:sz w:val="20"/>
                <w:szCs w:val="20"/>
                <w:color w:val="auto"/>
              </w:rPr>
            </w:pPr>
            <w:r>
              <w:rPr>
                <w:rFonts w:ascii="Arial" w:cs="Arial" w:eastAsia="Arial" w:hAnsi="Arial"/>
                <w:sz w:val="9"/>
                <w:szCs w:val="9"/>
                <w:b w:val="1"/>
                <w:bCs w:val="1"/>
                <w:color w:val="auto"/>
              </w:rPr>
              <w:t>Form</w:t>
            </w:r>
          </w:p>
        </w:tc>
        <w:tc>
          <w:tcPr>
            <w:tcW w:w="200" w:type="dxa"/>
            <w:vAlign w:val="bottom"/>
            <w:tcBorders>
              <w:top w:val="single" w:sz="8" w:color="auto"/>
            </w:tcBorders>
          </w:tcPr>
          <w:p>
            <w:pPr>
              <w:spacing w:after="0"/>
              <w:rPr>
                <w:sz w:val="7"/>
                <w:szCs w:val="7"/>
                <w:color w:val="auto"/>
              </w:rPr>
            </w:pPr>
          </w:p>
        </w:tc>
        <w:tc>
          <w:tcPr>
            <w:tcW w:w="1000" w:type="dxa"/>
            <w:vAlign w:val="bottom"/>
            <w:tcBorders>
              <w:top w:val="single" w:sz="8" w:color="auto"/>
              <w:bottom w:val="single" w:sz="8" w:color="auto"/>
            </w:tcBorders>
          </w:tcPr>
          <w:p>
            <w:pPr>
              <w:jc w:val="right"/>
              <w:ind w:right="314"/>
              <w:spacing w:after="0" w:line="88" w:lineRule="exact"/>
              <w:rPr>
                <w:sz w:val="20"/>
                <w:szCs w:val="20"/>
                <w:color w:val="auto"/>
              </w:rPr>
            </w:pPr>
            <w:r>
              <w:rPr>
                <w:rFonts w:ascii="Arial" w:cs="Arial" w:eastAsia="Arial" w:hAnsi="Arial"/>
                <w:sz w:val="9"/>
                <w:szCs w:val="9"/>
                <w:b w:val="1"/>
                <w:bCs w:val="1"/>
                <w:color w:val="auto"/>
              </w:rPr>
              <w:t>File No.</w:t>
            </w:r>
          </w:p>
        </w:tc>
        <w:tc>
          <w:tcPr>
            <w:tcW w:w="20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93"/>
              </w:rPr>
              <w:t>Exhibit</w:t>
            </w: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jc w:val="right"/>
              <w:ind w:right="178"/>
              <w:spacing w:after="0" w:line="88" w:lineRule="exact"/>
              <w:rPr>
                <w:sz w:val="20"/>
                <w:szCs w:val="20"/>
                <w:color w:val="auto"/>
              </w:rPr>
            </w:pPr>
            <w:r>
              <w:rPr>
                <w:rFonts w:ascii="Arial" w:cs="Arial" w:eastAsia="Arial" w:hAnsi="Arial"/>
                <w:sz w:val="9"/>
                <w:szCs w:val="9"/>
                <w:b w:val="1"/>
                <w:bCs w:val="1"/>
                <w:color w:val="auto"/>
              </w:rPr>
              <w:t>Filing Date</w:t>
            </w:r>
          </w:p>
        </w:tc>
      </w:tr>
      <w:tr>
        <w:trPr>
          <w:trHeight w:val="185"/>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jc w:val="right"/>
              <w:ind w:right="394"/>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10.1</w:t>
            </w:r>
          </w:p>
        </w:tc>
        <w:tc>
          <w:tcPr>
            <w:tcW w:w="920" w:type="dxa"/>
            <w:vAlign w:val="bottom"/>
          </w:tcPr>
          <w:p>
            <w:pPr>
              <w:jc w:val="right"/>
              <w:ind w:right="258"/>
              <w:spacing w:after="0"/>
              <w:rPr>
                <w:sz w:val="20"/>
                <w:szCs w:val="20"/>
                <w:color w:val="auto"/>
              </w:rPr>
            </w:pPr>
            <w:r>
              <w:rPr>
                <w:rFonts w:ascii="Arial" w:cs="Arial" w:eastAsia="Arial" w:hAnsi="Arial"/>
                <w:sz w:val="13"/>
                <w:szCs w:val="13"/>
                <w:color w:val="auto"/>
                <w:w w:val="89"/>
              </w:rPr>
              <w:t>10/02/2009</w:t>
            </w:r>
          </w:p>
        </w:tc>
      </w:tr>
      <w:tr>
        <w:trPr>
          <w:trHeight w:val="629"/>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jc w:val="right"/>
              <w:ind w:right="394"/>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10.1</w:t>
            </w:r>
          </w:p>
        </w:tc>
        <w:tc>
          <w:tcPr>
            <w:tcW w:w="920" w:type="dxa"/>
            <w:vAlign w:val="bottom"/>
          </w:tcPr>
          <w:p>
            <w:pPr>
              <w:jc w:val="right"/>
              <w:ind w:right="258"/>
              <w:spacing w:after="0"/>
              <w:rPr>
                <w:sz w:val="20"/>
                <w:szCs w:val="20"/>
                <w:color w:val="auto"/>
              </w:rPr>
            </w:pPr>
            <w:r>
              <w:rPr>
                <w:rFonts w:ascii="Arial" w:cs="Arial" w:eastAsia="Arial" w:hAnsi="Arial"/>
                <w:sz w:val="13"/>
                <w:szCs w:val="13"/>
                <w:color w:val="auto"/>
                <w:w w:val="89"/>
              </w:rPr>
              <w:t>10/09/2009</w:t>
            </w:r>
          </w:p>
        </w:tc>
      </w:tr>
      <w:tr>
        <w:trPr>
          <w:trHeight w:val="786"/>
        </w:trPr>
        <w:tc>
          <w:tcPr>
            <w:tcW w:w="500" w:type="dxa"/>
            <w:vAlign w:val="bottom"/>
          </w:tcPr>
          <w:p>
            <w:pPr>
              <w:spacing w:after="0"/>
              <w:rPr>
                <w:sz w:val="20"/>
                <w:szCs w:val="20"/>
                <w:color w:val="auto"/>
              </w:rPr>
            </w:pPr>
            <w:r>
              <w:rPr>
                <w:rFonts w:ascii="Arial" w:cs="Arial" w:eastAsia="Arial" w:hAnsi="Arial"/>
                <w:sz w:val="13"/>
                <w:szCs w:val="13"/>
                <w:color w:val="auto"/>
              </w:rPr>
              <w:t>10-Q</w:t>
            </w:r>
          </w:p>
        </w:tc>
        <w:tc>
          <w:tcPr>
            <w:tcW w:w="1200" w:type="dxa"/>
            <w:vAlign w:val="bottom"/>
            <w:gridSpan w:val="2"/>
          </w:tcPr>
          <w:p>
            <w:pPr>
              <w:jc w:val="right"/>
              <w:ind w:right="394"/>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10.2</w:t>
            </w:r>
          </w:p>
        </w:tc>
        <w:tc>
          <w:tcPr>
            <w:tcW w:w="920" w:type="dxa"/>
            <w:vAlign w:val="bottom"/>
          </w:tcPr>
          <w:p>
            <w:pPr>
              <w:jc w:val="right"/>
              <w:ind w:right="258"/>
              <w:spacing w:after="0"/>
              <w:rPr>
                <w:sz w:val="20"/>
                <w:szCs w:val="20"/>
                <w:color w:val="auto"/>
              </w:rPr>
            </w:pPr>
            <w:r>
              <w:rPr>
                <w:rFonts w:ascii="Arial" w:cs="Arial" w:eastAsia="Arial" w:hAnsi="Arial"/>
                <w:sz w:val="13"/>
                <w:szCs w:val="13"/>
                <w:color w:val="auto"/>
                <w:w w:val="89"/>
              </w:rPr>
              <w:t>02/10/2010</w:t>
            </w:r>
          </w:p>
        </w:tc>
      </w:tr>
      <w:tr>
        <w:trPr>
          <w:trHeight w:val="472"/>
        </w:trPr>
        <w:tc>
          <w:tcPr>
            <w:tcW w:w="50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gridSpan w:val="2"/>
          </w:tcPr>
          <w:p>
            <w:pPr>
              <w:jc w:val="right"/>
              <w:ind w:right="394"/>
              <w:spacing w:after="0"/>
              <w:rPr>
                <w:sz w:val="20"/>
                <w:szCs w:val="20"/>
                <w:color w:val="auto"/>
              </w:rPr>
            </w:pPr>
            <w:r>
              <w:rPr>
                <w:rFonts w:ascii="Arial" w:cs="Arial" w:eastAsia="Arial" w:hAnsi="Arial"/>
                <w:sz w:val="13"/>
                <w:szCs w:val="13"/>
                <w:color w:val="auto"/>
              </w:rPr>
              <w:t>000-21767</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10.1</w:t>
            </w:r>
          </w:p>
        </w:tc>
        <w:tc>
          <w:tcPr>
            <w:tcW w:w="920" w:type="dxa"/>
            <w:vAlign w:val="bottom"/>
          </w:tcPr>
          <w:p>
            <w:pPr>
              <w:jc w:val="right"/>
              <w:ind w:right="258"/>
              <w:spacing w:after="0"/>
              <w:rPr>
                <w:sz w:val="20"/>
                <w:szCs w:val="20"/>
                <w:color w:val="auto"/>
              </w:rPr>
            </w:pPr>
            <w:r>
              <w:rPr>
                <w:rFonts w:ascii="Arial" w:cs="Arial" w:eastAsia="Arial" w:hAnsi="Arial"/>
                <w:sz w:val="13"/>
                <w:szCs w:val="13"/>
                <w:color w:val="auto"/>
                <w:w w:val="89"/>
              </w:rPr>
              <w:t>03/17/2010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10-Q</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000-21767</w:t>
            </w: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10.1</w:t>
            </w:r>
          </w:p>
        </w:tc>
        <w:tc>
          <w:tcPr>
            <w:tcW w:w="700" w:type="dxa"/>
            <w:vAlign w:val="bottom"/>
          </w:tcPr>
          <w:p>
            <w:pPr>
              <w:jc w:val="right"/>
              <w:spacing w:after="0"/>
              <w:rPr>
                <w:sz w:val="20"/>
                <w:szCs w:val="20"/>
                <w:color w:val="auto"/>
              </w:rPr>
            </w:pPr>
            <w:r>
              <w:rPr>
                <w:rFonts w:ascii="Arial" w:cs="Arial" w:eastAsia="Arial" w:hAnsi="Arial"/>
                <w:sz w:val="13"/>
                <w:szCs w:val="13"/>
                <w:color w:val="auto"/>
              </w:rPr>
              <w:t>02/09/2011</w:t>
            </w:r>
          </w:p>
        </w:tc>
      </w:tr>
      <w:tr>
        <w:trPr>
          <w:trHeight w:val="472"/>
        </w:trPr>
        <w:tc>
          <w:tcPr>
            <w:tcW w:w="480" w:type="dxa"/>
            <w:vAlign w:val="bottom"/>
          </w:tcPr>
          <w:p>
            <w:pPr>
              <w:spacing w:after="0"/>
              <w:rPr>
                <w:sz w:val="20"/>
                <w:szCs w:val="20"/>
                <w:color w:val="auto"/>
              </w:rPr>
            </w:pPr>
            <w:r>
              <w:rPr>
                <w:rFonts w:ascii="Arial" w:cs="Arial" w:eastAsia="Arial" w:hAnsi="Arial"/>
                <w:sz w:val="13"/>
                <w:szCs w:val="13"/>
                <w:color w:val="auto"/>
              </w:rPr>
              <w:t>8-K</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000-21767</w:t>
            </w: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10.1</w:t>
            </w:r>
          </w:p>
        </w:tc>
        <w:tc>
          <w:tcPr>
            <w:tcW w:w="700" w:type="dxa"/>
            <w:vAlign w:val="bottom"/>
          </w:tcPr>
          <w:p>
            <w:pPr>
              <w:jc w:val="right"/>
              <w:spacing w:after="0"/>
              <w:rPr>
                <w:sz w:val="20"/>
                <w:szCs w:val="20"/>
                <w:color w:val="auto"/>
              </w:rPr>
            </w:pPr>
            <w:r>
              <w:rPr>
                <w:rFonts w:ascii="Arial" w:cs="Arial" w:eastAsia="Arial" w:hAnsi="Arial"/>
                <w:sz w:val="13"/>
                <w:szCs w:val="13"/>
                <w:color w:val="auto"/>
              </w:rPr>
              <w:t>01/28/2011</w:t>
            </w: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9"/>
          <w:szCs w:val="9"/>
          <w:b w:val="1"/>
          <w:bCs w:val="1"/>
          <w:color w:val="auto"/>
        </w:rPr>
        <w:t>Filed or</w:t>
      </w:r>
    </w:p>
    <w:p>
      <w:pPr>
        <w:spacing w:after="0" w:line="14" w:lineRule="exact"/>
        <w:rPr>
          <w:sz w:val="20"/>
          <w:szCs w:val="20"/>
          <w:color w:val="auto"/>
        </w:rPr>
      </w:pPr>
    </w:p>
    <w:p>
      <w:pPr>
        <w:ind w:left="120" w:hanging="18"/>
        <w:spacing w:after="0" w:line="298" w:lineRule="auto"/>
        <w:rPr>
          <w:sz w:val="20"/>
          <w:szCs w:val="20"/>
          <w:color w:val="auto"/>
        </w:rPr>
      </w:pPr>
      <w:r>
        <w:rPr>
          <w:rFonts w:ascii="Arial" w:cs="Arial" w:eastAsia="Arial" w:hAnsi="Arial"/>
          <w:sz w:val="8"/>
          <w:szCs w:val="8"/>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8671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67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ectPr>
          <w:pgSz w:w="11900" w:h="16838" w:orient="portrait"/>
          <w:cols w:equalWidth="0" w:num="3">
            <w:col w:w="6320" w:space="200"/>
            <w:col w:w="3340" w:space="200"/>
            <w:col w:w="500"/>
          </w:cols>
          <w:pgMar w:left="220" w:top="343" w:right="11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31"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580" w:type="dxa"/>
            <w:vAlign w:val="bottom"/>
          </w:tcPr>
          <w:p>
            <w:pPr>
              <w:ind w:left="640"/>
              <w:spacing w:after="0"/>
              <w:rPr>
                <w:sz w:val="20"/>
                <w:szCs w:val="20"/>
                <w:color w:val="auto"/>
              </w:rPr>
            </w:pPr>
            <w:r>
              <w:rPr>
                <w:rFonts w:ascii="Arial" w:cs="Arial" w:eastAsia="Arial" w:hAnsi="Arial"/>
                <w:sz w:val="9"/>
                <w:szCs w:val="9"/>
                <w:b w:val="1"/>
                <w:bCs w:val="1"/>
                <w:color w:val="auto"/>
              </w:rPr>
              <w:t>Exhibit</w:t>
            </w:r>
          </w:p>
        </w:tc>
        <w:tc>
          <w:tcPr>
            <w:tcW w:w="2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3"/>
          </w:tcPr>
          <w:p>
            <w:pPr>
              <w:ind w:left="460"/>
              <w:spacing w:after="0"/>
              <w:rPr>
                <w:sz w:val="20"/>
                <w:szCs w:val="20"/>
                <w:color w:val="auto"/>
              </w:rPr>
            </w:pPr>
            <w:r>
              <w:rPr>
                <w:rFonts w:ascii="Arial" w:cs="Arial" w:eastAsia="Arial" w:hAnsi="Arial"/>
                <w:sz w:val="9"/>
                <w:szCs w:val="9"/>
                <w:b w:val="1"/>
                <w:bCs w:val="1"/>
                <w:color w:val="auto"/>
                <w:w w:val="96"/>
              </w:rPr>
              <w:t>Incorporated by Reference</w:t>
            </w: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88"/>
        </w:trPr>
        <w:tc>
          <w:tcPr>
            <w:tcW w:w="1580" w:type="dxa"/>
            <w:vAlign w:val="bottom"/>
            <w:tcBorders>
              <w:bottom w:val="single" w:sz="8" w:color="auto"/>
            </w:tcBorders>
          </w:tcPr>
          <w:p>
            <w:pPr>
              <w:ind w:left="640"/>
              <w:spacing w:after="0" w:line="88" w:lineRule="exact"/>
              <w:rPr>
                <w:sz w:val="20"/>
                <w:szCs w:val="20"/>
                <w:color w:val="auto"/>
              </w:rPr>
            </w:pPr>
            <w:r>
              <w:rPr>
                <w:rFonts w:ascii="Arial" w:cs="Arial" w:eastAsia="Arial" w:hAnsi="Arial"/>
                <w:sz w:val="9"/>
                <w:szCs w:val="9"/>
                <w:b w:val="1"/>
                <w:bCs w:val="1"/>
                <w:color w:val="auto"/>
              </w:rPr>
              <w:t>Number</w:t>
            </w:r>
          </w:p>
        </w:tc>
        <w:tc>
          <w:tcPr>
            <w:tcW w:w="200" w:type="dxa"/>
            <w:vAlign w:val="bottom"/>
          </w:tcPr>
          <w:p>
            <w:pPr>
              <w:spacing w:after="0"/>
              <w:rPr>
                <w:sz w:val="7"/>
                <w:szCs w:val="7"/>
                <w:color w:val="auto"/>
              </w:rPr>
            </w:pPr>
          </w:p>
        </w:tc>
        <w:tc>
          <w:tcPr>
            <w:tcW w:w="3840" w:type="dxa"/>
            <w:vAlign w:val="bottom"/>
            <w:tcBorders>
              <w:bottom w:val="single" w:sz="8" w:color="auto"/>
            </w:tcBorders>
          </w:tcPr>
          <w:p>
            <w:pPr>
              <w:ind w:left="1540"/>
              <w:spacing w:after="0" w:line="88" w:lineRule="exact"/>
              <w:rPr>
                <w:sz w:val="20"/>
                <w:szCs w:val="20"/>
                <w:color w:val="auto"/>
              </w:rPr>
            </w:pPr>
            <w:r>
              <w:rPr>
                <w:rFonts w:ascii="Arial" w:cs="Arial" w:eastAsia="Arial" w:hAnsi="Arial"/>
                <w:sz w:val="9"/>
                <w:szCs w:val="9"/>
                <w:b w:val="1"/>
                <w:bCs w:val="1"/>
                <w:color w:val="auto"/>
              </w:rPr>
              <w:t>Exhibit Description</w:t>
            </w:r>
          </w:p>
        </w:tc>
        <w:tc>
          <w:tcPr>
            <w:tcW w:w="200" w:type="dxa"/>
            <w:vAlign w:val="bottom"/>
          </w:tcPr>
          <w:p>
            <w:pPr>
              <w:spacing w:after="0"/>
              <w:rPr>
                <w:sz w:val="7"/>
                <w:szCs w:val="7"/>
                <w:color w:val="auto"/>
              </w:rPr>
            </w:pPr>
          </w:p>
        </w:tc>
        <w:tc>
          <w:tcPr>
            <w:tcW w:w="500" w:type="dxa"/>
            <w:vAlign w:val="bottom"/>
            <w:tcBorders>
              <w:bottom w:val="single" w:sz="8" w:color="auto"/>
            </w:tcBorders>
          </w:tcPr>
          <w:p>
            <w:pPr>
              <w:ind w:left="140"/>
              <w:spacing w:after="0" w:line="88" w:lineRule="exact"/>
              <w:rPr>
                <w:sz w:val="20"/>
                <w:szCs w:val="20"/>
                <w:color w:val="auto"/>
              </w:rPr>
            </w:pPr>
            <w:r>
              <w:rPr>
                <w:rFonts w:ascii="Arial" w:cs="Arial" w:eastAsia="Arial" w:hAnsi="Arial"/>
                <w:sz w:val="9"/>
                <w:szCs w:val="9"/>
                <w:b w:val="1"/>
                <w:bCs w:val="1"/>
                <w:color w:val="auto"/>
              </w:rPr>
              <w:t>Form</w:t>
            </w:r>
          </w:p>
        </w:tc>
        <w:tc>
          <w:tcPr>
            <w:tcW w:w="200" w:type="dxa"/>
            <w:vAlign w:val="bottom"/>
          </w:tcPr>
          <w:p>
            <w:pPr>
              <w:spacing w:after="0"/>
              <w:rPr>
                <w:sz w:val="7"/>
                <w:szCs w:val="7"/>
                <w:color w:val="auto"/>
              </w:rPr>
            </w:pPr>
          </w:p>
        </w:tc>
        <w:tc>
          <w:tcPr>
            <w:tcW w:w="980" w:type="dxa"/>
            <w:vAlign w:val="bottom"/>
            <w:tcBorders>
              <w:bottom w:val="single" w:sz="8" w:color="auto"/>
            </w:tcBorders>
          </w:tcPr>
          <w:p>
            <w:pPr>
              <w:jc w:val="right"/>
              <w:ind w:right="294"/>
              <w:spacing w:after="0" w:line="88" w:lineRule="exact"/>
              <w:rPr>
                <w:sz w:val="20"/>
                <w:szCs w:val="20"/>
                <w:color w:val="auto"/>
              </w:rPr>
            </w:pPr>
            <w:r>
              <w:rPr>
                <w:rFonts w:ascii="Arial" w:cs="Arial" w:eastAsia="Arial" w:hAnsi="Arial"/>
                <w:sz w:val="9"/>
                <w:szCs w:val="9"/>
                <w:b w:val="1"/>
                <w:bCs w:val="1"/>
                <w:color w:val="auto"/>
              </w:rPr>
              <w:t>File No.</w:t>
            </w:r>
          </w:p>
        </w:tc>
        <w:tc>
          <w:tcPr>
            <w:tcW w:w="200" w:type="dxa"/>
            <w:vAlign w:val="bottom"/>
          </w:tcPr>
          <w:p>
            <w:pPr>
              <w:spacing w:after="0"/>
              <w:rPr>
                <w:sz w:val="7"/>
                <w:szCs w:val="7"/>
                <w:color w:val="auto"/>
              </w:rPr>
            </w:pPr>
          </w:p>
        </w:tc>
        <w:tc>
          <w:tcPr>
            <w:tcW w:w="400" w:type="dxa"/>
            <w:vAlign w:val="bottom"/>
            <w:tcBorders>
              <w:bottom w:val="single" w:sz="8" w:color="auto"/>
            </w:tcBorders>
          </w:tcPr>
          <w:p>
            <w:pPr>
              <w:ind w:left="60"/>
              <w:spacing w:after="0" w:line="88" w:lineRule="exact"/>
              <w:rPr>
                <w:sz w:val="20"/>
                <w:szCs w:val="20"/>
                <w:color w:val="auto"/>
              </w:rPr>
            </w:pPr>
            <w:r>
              <w:rPr>
                <w:rFonts w:ascii="Arial" w:cs="Arial" w:eastAsia="Arial" w:hAnsi="Arial"/>
                <w:sz w:val="9"/>
                <w:szCs w:val="9"/>
                <w:b w:val="1"/>
                <w:bCs w:val="1"/>
                <w:color w:val="auto"/>
              </w:rPr>
              <w:t>Exhibit</w:t>
            </w:r>
          </w:p>
        </w:tc>
        <w:tc>
          <w:tcPr>
            <w:tcW w:w="200" w:type="dxa"/>
            <w:vAlign w:val="bottom"/>
          </w:tcPr>
          <w:p>
            <w:pPr>
              <w:spacing w:after="0"/>
              <w:rPr>
                <w:sz w:val="7"/>
                <w:szCs w:val="7"/>
                <w:color w:val="auto"/>
              </w:rPr>
            </w:pPr>
          </w:p>
        </w:tc>
        <w:tc>
          <w:tcPr>
            <w:tcW w:w="900" w:type="dxa"/>
            <w:vAlign w:val="bottom"/>
            <w:tcBorders>
              <w:bottom w:val="single" w:sz="8" w:color="auto"/>
            </w:tcBorders>
          </w:tcPr>
          <w:p>
            <w:pPr>
              <w:jc w:val="right"/>
              <w:ind w:right="194"/>
              <w:spacing w:after="0" w:line="88" w:lineRule="exact"/>
              <w:rPr>
                <w:sz w:val="20"/>
                <w:szCs w:val="20"/>
                <w:color w:val="auto"/>
              </w:rPr>
            </w:pPr>
            <w:r>
              <w:rPr>
                <w:rFonts w:ascii="Arial" w:cs="Arial" w:eastAsia="Arial" w:hAnsi="Arial"/>
                <w:sz w:val="9"/>
                <w:szCs w:val="9"/>
                <w:b w:val="1"/>
                <w:bCs w:val="1"/>
                <w:color w:val="auto"/>
              </w:rPr>
              <w:t>Filing Date</w:t>
            </w:r>
          </w:p>
        </w:tc>
      </w:tr>
      <w:tr>
        <w:trPr>
          <w:trHeight w:val="178"/>
        </w:trPr>
        <w:tc>
          <w:tcPr>
            <w:tcW w:w="1580" w:type="dxa"/>
            <w:vAlign w:val="bottom"/>
          </w:tcPr>
          <w:p>
            <w:pPr>
              <w:ind w:left="760"/>
              <w:spacing w:after="0"/>
              <w:rPr>
                <w:sz w:val="20"/>
                <w:szCs w:val="20"/>
                <w:color w:val="auto"/>
              </w:rPr>
            </w:pPr>
            <w:r>
              <w:rPr>
                <w:rFonts w:ascii="Arial" w:cs="Arial" w:eastAsia="Arial" w:hAnsi="Arial"/>
                <w:sz w:val="13"/>
                <w:szCs w:val="13"/>
                <w:color w:val="auto"/>
              </w:rPr>
              <w:t>10.17</w:t>
            </w:r>
          </w:p>
        </w:tc>
        <w:tc>
          <w:tcPr>
            <w:tcW w:w="20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Lease, dated March 24, 1998, by and between W9/LNP Real Estate</w:t>
            </w:r>
          </w:p>
        </w:tc>
        <w:tc>
          <w:tcPr>
            <w:tcW w:w="500" w:type="dxa"/>
            <w:vAlign w:val="bottom"/>
          </w:tcPr>
          <w:p>
            <w:pPr>
              <w:spacing w:after="0"/>
              <w:rPr>
                <w:sz w:val="20"/>
                <w:szCs w:val="20"/>
                <w:color w:val="auto"/>
              </w:rPr>
            </w:pPr>
            <w:r>
              <w:rPr>
                <w:rFonts w:ascii="Arial" w:cs="Arial" w:eastAsia="Arial" w:hAnsi="Arial"/>
                <w:sz w:val="13"/>
                <w:szCs w:val="13"/>
                <w:color w:val="auto"/>
              </w:rPr>
              <w:t>10-K</w:t>
            </w:r>
          </w:p>
        </w:tc>
        <w:tc>
          <w:tcPr>
            <w:tcW w:w="1180" w:type="dxa"/>
            <w:vAlign w:val="bottom"/>
            <w:gridSpan w:val="2"/>
          </w:tcPr>
          <w:p>
            <w:pPr>
              <w:jc w:val="right"/>
              <w:ind w:right="374"/>
              <w:spacing w:after="0"/>
              <w:rPr>
                <w:sz w:val="20"/>
                <w:szCs w:val="20"/>
                <w:color w:val="auto"/>
              </w:rPr>
            </w:pPr>
            <w:r>
              <w:rPr>
                <w:rFonts w:ascii="Arial" w:cs="Arial" w:eastAsia="Arial" w:hAnsi="Arial"/>
                <w:sz w:val="13"/>
                <w:szCs w:val="13"/>
                <w:color w:val="auto"/>
              </w:rPr>
              <w:t>000-21767</w:t>
            </w: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85"/>
              </w:rPr>
              <w:t>10.27</w:t>
            </w:r>
          </w:p>
        </w:tc>
        <w:tc>
          <w:tcPr>
            <w:tcW w:w="1100" w:type="dxa"/>
            <w:vAlign w:val="bottom"/>
            <w:gridSpan w:val="2"/>
          </w:tcPr>
          <w:p>
            <w:pPr>
              <w:jc w:val="right"/>
              <w:ind w:right="254"/>
              <w:spacing w:after="0"/>
              <w:rPr>
                <w:sz w:val="20"/>
                <w:szCs w:val="20"/>
                <w:color w:val="auto"/>
              </w:rPr>
            </w:pPr>
            <w:r>
              <w:rPr>
                <w:rFonts w:ascii="Arial" w:cs="Arial" w:eastAsia="Arial" w:hAnsi="Arial"/>
                <w:sz w:val="13"/>
                <w:szCs w:val="13"/>
                <w:color w:val="auto"/>
              </w:rPr>
              <w:t>06/29/1998</w:t>
            </w: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Limited Partnership and ViaSat, Inc. (6155 El Camino Real, Carlsbad,</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California)</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10.18</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Amendment to Lease, dated June 17, 2004, by and between Levine</w:t>
            </w:r>
          </w:p>
        </w:tc>
        <w:tc>
          <w:tcPr>
            <w:tcW w:w="500" w:type="dxa"/>
            <w:vAlign w:val="bottom"/>
          </w:tcPr>
          <w:p>
            <w:pPr>
              <w:spacing w:after="0"/>
              <w:rPr>
                <w:sz w:val="20"/>
                <w:szCs w:val="20"/>
                <w:color w:val="auto"/>
              </w:rPr>
            </w:pPr>
            <w:r>
              <w:rPr>
                <w:rFonts w:ascii="Arial" w:cs="Arial" w:eastAsia="Arial" w:hAnsi="Arial"/>
                <w:sz w:val="13"/>
                <w:szCs w:val="13"/>
                <w:color w:val="auto"/>
              </w:rPr>
              <w:t>10-Q</w:t>
            </w:r>
          </w:p>
        </w:tc>
        <w:tc>
          <w:tcPr>
            <w:tcW w:w="1180" w:type="dxa"/>
            <w:vAlign w:val="bottom"/>
            <w:gridSpan w:val="2"/>
          </w:tcPr>
          <w:p>
            <w:pPr>
              <w:jc w:val="right"/>
              <w:ind w:right="374"/>
              <w:spacing w:after="0"/>
              <w:rPr>
                <w:sz w:val="20"/>
                <w:szCs w:val="20"/>
                <w:color w:val="auto"/>
              </w:rPr>
            </w:pPr>
            <w:r>
              <w:rPr>
                <w:rFonts w:ascii="Arial" w:cs="Arial" w:eastAsia="Arial" w:hAnsi="Arial"/>
                <w:sz w:val="13"/>
                <w:szCs w:val="13"/>
                <w:color w:val="auto"/>
              </w:rPr>
              <w:t>000-21767</w:t>
            </w: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10.1</w:t>
            </w:r>
          </w:p>
        </w:tc>
        <w:tc>
          <w:tcPr>
            <w:tcW w:w="1100" w:type="dxa"/>
            <w:vAlign w:val="bottom"/>
            <w:gridSpan w:val="2"/>
          </w:tcPr>
          <w:p>
            <w:pPr>
              <w:jc w:val="right"/>
              <w:ind w:right="254"/>
              <w:spacing w:after="0"/>
              <w:rPr>
                <w:sz w:val="20"/>
                <w:szCs w:val="20"/>
                <w:color w:val="auto"/>
              </w:rPr>
            </w:pPr>
            <w:r>
              <w:rPr>
                <w:rFonts w:ascii="Arial" w:cs="Arial" w:eastAsia="Arial" w:hAnsi="Arial"/>
                <w:sz w:val="13"/>
                <w:szCs w:val="13"/>
                <w:color w:val="auto"/>
              </w:rPr>
              <w:t>08/10/2004</w:t>
            </w: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6"/>
              </w:rPr>
              <w:t>Investments Limited Partnership and ViaSat, Inc. (6155 El Camino Real,</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Carlsbad, CA)</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10.19†</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Contract for the ViaSat Satellite Program dated as of January 7, 2008</w:t>
            </w:r>
          </w:p>
        </w:tc>
        <w:tc>
          <w:tcPr>
            <w:tcW w:w="500" w:type="dxa"/>
            <w:vAlign w:val="bottom"/>
          </w:tcPr>
          <w:p>
            <w:pPr>
              <w:spacing w:after="0"/>
              <w:rPr>
                <w:sz w:val="20"/>
                <w:szCs w:val="20"/>
                <w:color w:val="auto"/>
              </w:rPr>
            </w:pPr>
            <w:r>
              <w:rPr>
                <w:rFonts w:ascii="Arial" w:cs="Arial" w:eastAsia="Arial" w:hAnsi="Arial"/>
                <w:sz w:val="13"/>
                <w:szCs w:val="13"/>
                <w:color w:val="auto"/>
              </w:rPr>
              <w:t>10-Q</w:t>
            </w:r>
          </w:p>
        </w:tc>
        <w:tc>
          <w:tcPr>
            <w:tcW w:w="1180" w:type="dxa"/>
            <w:vAlign w:val="bottom"/>
            <w:gridSpan w:val="2"/>
          </w:tcPr>
          <w:p>
            <w:pPr>
              <w:jc w:val="right"/>
              <w:ind w:right="374"/>
              <w:spacing w:after="0"/>
              <w:rPr>
                <w:sz w:val="20"/>
                <w:szCs w:val="20"/>
                <w:color w:val="auto"/>
              </w:rPr>
            </w:pPr>
            <w:r>
              <w:rPr>
                <w:rFonts w:ascii="Arial" w:cs="Arial" w:eastAsia="Arial" w:hAnsi="Arial"/>
                <w:sz w:val="13"/>
                <w:szCs w:val="13"/>
                <w:color w:val="auto"/>
              </w:rPr>
              <w:t>000-21767</w:t>
            </w: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10.1</w:t>
            </w:r>
          </w:p>
        </w:tc>
        <w:tc>
          <w:tcPr>
            <w:tcW w:w="1100" w:type="dxa"/>
            <w:vAlign w:val="bottom"/>
            <w:gridSpan w:val="2"/>
          </w:tcPr>
          <w:p>
            <w:pPr>
              <w:jc w:val="right"/>
              <w:ind w:right="254"/>
              <w:spacing w:after="0"/>
              <w:rPr>
                <w:sz w:val="20"/>
                <w:szCs w:val="20"/>
                <w:color w:val="auto"/>
              </w:rPr>
            </w:pPr>
            <w:r>
              <w:rPr>
                <w:rFonts w:ascii="Arial" w:cs="Arial" w:eastAsia="Arial" w:hAnsi="Arial"/>
                <w:sz w:val="13"/>
                <w:szCs w:val="13"/>
                <w:color w:val="auto"/>
              </w:rPr>
              <w:t>02/06/2008</w:t>
            </w: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between ViaSat, Inc. and Space Systems/Loral, Inc.</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10.20</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7"/>
              </w:rPr>
              <w:t>Beam Sharing Agreement dated January 11, 2008 between ViaSat, Inc.</w:t>
            </w:r>
          </w:p>
        </w:tc>
        <w:tc>
          <w:tcPr>
            <w:tcW w:w="500" w:type="dxa"/>
            <w:vAlign w:val="bottom"/>
          </w:tcPr>
          <w:p>
            <w:pPr>
              <w:spacing w:after="0"/>
              <w:rPr>
                <w:sz w:val="20"/>
                <w:szCs w:val="20"/>
                <w:color w:val="auto"/>
              </w:rPr>
            </w:pPr>
            <w:r>
              <w:rPr>
                <w:rFonts w:ascii="Arial" w:cs="Arial" w:eastAsia="Arial" w:hAnsi="Arial"/>
                <w:sz w:val="13"/>
                <w:szCs w:val="13"/>
                <w:color w:val="auto"/>
              </w:rPr>
              <w:t>10-Q</w:t>
            </w:r>
          </w:p>
        </w:tc>
        <w:tc>
          <w:tcPr>
            <w:tcW w:w="1180" w:type="dxa"/>
            <w:vAlign w:val="bottom"/>
            <w:gridSpan w:val="2"/>
          </w:tcPr>
          <w:p>
            <w:pPr>
              <w:jc w:val="right"/>
              <w:ind w:right="374"/>
              <w:spacing w:after="0"/>
              <w:rPr>
                <w:sz w:val="20"/>
                <w:szCs w:val="20"/>
                <w:color w:val="auto"/>
              </w:rPr>
            </w:pPr>
            <w:r>
              <w:rPr>
                <w:rFonts w:ascii="Arial" w:cs="Arial" w:eastAsia="Arial" w:hAnsi="Arial"/>
                <w:sz w:val="13"/>
                <w:szCs w:val="13"/>
                <w:color w:val="auto"/>
              </w:rPr>
              <w:t>000-21767</w:t>
            </w: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10.2</w:t>
            </w:r>
          </w:p>
        </w:tc>
        <w:tc>
          <w:tcPr>
            <w:tcW w:w="1100" w:type="dxa"/>
            <w:vAlign w:val="bottom"/>
            <w:gridSpan w:val="2"/>
          </w:tcPr>
          <w:p>
            <w:pPr>
              <w:jc w:val="right"/>
              <w:ind w:right="254"/>
              <w:spacing w:after="0"/>
              <w:rPr>
                <w:sz w:val="20"/>
                <w:szCs w:val="20"/>
                <w:color w:val="auto"/>
              </w:rPr>
            </w:pPr>
            <w:r>
              <w:rPr>
                <w:rFonts w:ascii="Arial" w:cs="Arial" w:eastAsia="Arial" w:hAnsi="Arial"/>
                <w:sz w:val="13"/>
                <w:szCs w:val="13"/>
                <w:color w:val="auto"/>
              </w:rPr>
              <w:t>02/06/2008</w:t>
            </w: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and Loral Space &amp; Communications, Inc.</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10.21†</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6"/>
              </w:rPr>
              <w:t>Amended and Restated Launch Services Agreement dated May 7, 2009</w:t>
            </w:r>
          </w:p>
        </w:tc>
        <w:tc>
          <w:tcPr>
            <w:tcW w:w="500" w:type="dxa"/>
            <w:vAlign w:val="bottom"/>
          </w:tcPr>
          <w:p>
            <w:pPr>
              <w:spacing w:after="0"/>
              <w:rPr>
                <w:sz w:val="20"/>
                <w:szCs w:val="20"/>
                <w:color w:val="auto"/>
              </w:rPr>
            </w:pPr>
            <w:r>
              <w:rPr>
                <w:rFonts w:ascii="Arial" w:cs="Arial" w:eastAsia="Arial" w:hAnsi="Arial"/>
                <w:sz w:val="13"/>
                <w:szCs w:val="13"/>
                <w:color w:val="auto"/>
              </w:rPr>
              <w:t>10-K</w:t>
            </w:r>
          </w:p>
        </w:tc>
        <w:tc>
          <w:tcPr>
            <w:tcW w:w="1180" w:type="dxa"/>
            <w:vAlign w:val="bottom"/>
            <w:gridSpan w:val="2"/>
          </w:tcPr>
          <w:p>
            <w:pPr>
              <w:jc w:val="right"/>
              <w:ind w:right="374"/>
              <w:spacing w:after="0"/>
              <w:rPr>
                <w:sz w:val="20"/>
                <w:szCs w:val="20"/>
                <w:color w:val="auto"/>
              </w:rPr>
            </w:pPr>
            <w:r>
              <w:rPr>
                <w:rFonts w:ascii="Arial" w:cs="Arial" w:eastAsia="Arial" w:hAnsi="Arial"/>
                <w:sz w:val="13"/>
                <w:szCs w:val="13"/>
                <w:color w:val="auto"/>
              </w:rPr>
              <w:t>000-21767</w:t>
            </w: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85"/>
              </w:rPr>
              <w:t>10.13</w:t>
            </w:r>
          </w:p>
        </w:tc>
        <w:tc>
          <w:tcPr>
            <w:tcW w:w="1100" w:type="dxa"/>
            <w:vAlign w:val="bottom"/>
            <w:gridSpan w:val="2"/>
          </w:tcPr>
          <w:p>
            <w:pPr>
              <w:jc w:val="right"/>
              <w:ind w:right="254"/>
              <w:spacing w:after="0"/>
              <w:rPr>
                <w:sz w:val="20"/>
                <w:szCs w:val="20"/>
                <w:color w:val="auto"/>
              </w:rPr>
            </w:pPr>
            <w:r>
              <w:rPr>
                <w:rFonts w:ascii="Arial" w:cs="Arial" w:eastAsia="Arial" w:hAnsi="Arial"/>
                <w:sz w:val="13"/>
                <w:szCs w:val="13"/>
                <w:color w:val="auto"/>
              </w:rPr>
              <w:t>05/28/2009</w:t>
            </w: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between ViaSat, Inc. and Arianespace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10.22†</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7"/>
              </w:rPr>
              <w:t>Contract for Launch Services dated March 5, 2009 between ViaSat, Inc.</w:t>
            </w:r>
          </w:p>
        </w:tc>
        <w:tc>
          <w:tcPr>
            <w:tcW w:w="500" w:type="dxa"/>
            <w:vAlign w:val="bottom"/>
          </w:tcPr>
          <w:p>
            <w:pPr>
              <w:spacing w:after="0"/>
              <w:rPr>
                <w:sz w:val="20"/>
                <w:szCs w:val="20"/>
                <w:color w:val="auto"/>
              </w:rPr>
            </w:pPr>
            <w:r>
              <w:rPr>
                <w:rFonts w:ascii="Arial" w:cs="Arial" w:eastAsia="Arial" w:hAnsi="Arial"/>
                <w:sz w:val="13"/>
                <w:szCs w:val="13"/>
                <w:color w:val="auto"/>
              </w:rPr>
              <w:t>10-K</w:t>
            </w:r>
          </w:p>
        </w:tc>
        <w:tc>
          <w:tcPr>
            <w:tcW w:w="1180" w:type="dxa"/>
            <w:vAlign w:val="bottom"/>
            <w:gridSpan w:val="2"/>
          </w:tcPr>
          <w:p>
            <w:pPr>
              <w:jc w:val="right"/>
              <w:ind w:right="374"/>
              <w:spacing w:after="0"/>
              <w:rPr>
                <w:sz w:val="20"/>
                <w:szCs w:val="20"/>
                <w:color w:val="auto"/>
              </w:rPr>
            </w:pPr>
            <w:r>
              <w:rPr>
                <w:rFonts w:ascii="Arial" w:cs="Arial" w:eastAsia="Arial" w:hAnsi="Arial"/>
                <w:sz w:val="13"/>
                <w:szCs w:val="13"/>
                <w:color w:val="auto"/>
              </w:rPr>
              <w:t>000-21767</w:t>
            </w: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85"/>
              </w:rPr>
              <w:t>10.14</w:t>
            </w:r>
          </w:p>
        </w:tc>
        <w:tc>
          <w:tcPr>
            <w:tcW w:w="1100" w:type="dxa"/>
            <w:vAlign w:val="bottom"/>
            <w:gridSpan w:val="2"/>
          </w:tcPr>
          <w:p>
            <w:pPr>
              <w:jc w:val="right"/>
              <w:ind w:right="254"/>
              <w:spacing w:after="0"/>
              <w:rPr>
                <w:sz w:val="20"/>
                <w:szCs w:val="20"/>
                <w:color w:val="auto"/>
              </w:rPr>
            </w:pPr>
            <w:r>
              <w:rPr>
                <w:rFonts w:ascii="Arial" w:cs="Arial" w:eastAsia="Arial" w:hAnsi="Arial"/>
                <w:sz w:val="13"/>
                <w:szCs w:val="13"/>
                <w:color w:val="auto"/>
              </w:rPr>
              <w:t>05/28/2009</w:t>
            </w: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and ILS International Launch Services, Inc.</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10.23†</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8"/>
              </w:rPr>
              <w:t>Award/Contract dated March 10, 2010 between ViaSat, Inc. and Space</w:t>
            </w:r>
          </w:p>
        </w:tc>
        <w:tc>
          <w:tcPr>
            <w:tcW w:w="500" w:type="dxa"/>
            <w:vAlign w:val="bottom"/>
          </w:tcPr>
          <w:p>
            <w:pPr>
              <w:spacing w:after="0"/>
              <w:rPr>
                <w:sz w:val="20"/>
                <w:szCs w:val="20"/>
                <w:color w:val="auto"/>
              </w:rPr>
            </w:pPr>
            <w:r>
              <w:rPr>
                <w:rFonts w:ascii="Arial" w:cs="Arial" w:eastAsia="Arial" w:hAnsi="Arial"/>
                <w:sz w:val="13"/>
                <w:szCs w:val="13"/>
                <w:color w:val="auto"/>
              </w:rPr>
              <w:t>10-K</w:t>
            </w:r>
          </w:p>
        </w:tc>
        <w:tc>
          <w:tcPr>
            <w:tcW w:w="1180" w:type="dxa"/>
            <w:vAlign w:val="bottom"/>
            <w:gridSpan w:val="2"/>
          </w:tcPr>
          <w:p>
            <w:pPr>
              <w:jc w:val="right"/>
              <w:ind w:right="374"/>
              <w:spacing w:after="0"/>
              <w:rPr>
                <w:sz w:val="20"/>
                <w:szCs w:val="20"/>
                <w:color w:val="auto"/>
              </w:rPr>
            </w:pPr>
            <w:r>
              <w:rPr>
                <w:rFonts w:ascii="Arial" w:cs="Arial" w:eastAsia="Arial" w:hAnsi="Arial"/>
                <w:sz w:val="13"/>
                <w:szCs w:val="13"/>
                <w:color w:val="auto"/>
              </w:rPr>
              <w:t>000-21767</w:t>
            </w: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85"/>
              </w:rPr>
              <w:t>10.14</w:t>
            </w:r>
          </w:p>
        </w:tc>
        <w:tc>
          <w:tcPr>
            <w:tcW w:w="1100" w:type="dxa"/>
            <w:vAlign w:val="bottom"/>
            <w:gridSpan w:val="2"/>
          </w:tcPr>
          <w:p>
            <w:pPr>
              <w:jc w:val="right"/>
              <w:ind w:right="254"/>
              <w:spacing w:after="0"/>
              <w:rPr>
                <w:sz w:val="20"/>
                <w:szCs w:val="20"/>
                <w:color w:val="auto"/>
              </w:rPr>
            </w:pPr>
            <w:r>
              <w:rPr>
                <w:rFonts w:ascii="Arial" w:cs="Arial" w:eastAsia="Arial" w:hAnsi="Arial"/>
                <w:sz w:val="13"/>
                <w:szCs w:val="13"/>
                <w:color w:val="auto"/>
              </w:rPr>
              <w:t>06/01/2010</w:t>
            </w: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and Naval Warfare Systems</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21.1</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Subsidiaries</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23.1</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4"/>
              </w:rPr>
              <w:t>Consent of PricewaterhouseCoopers LLP, Independent Registered Public</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Accounting Firm</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24.1</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Power of Attorney (see signature page)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31.1</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7"/>
              </w:rPr>
              <w:t>Certification Pursuant to Section 302 of the Sarbanes-Oxley Act of 2002</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of Chief Executive Officer</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31.2</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7"/>
              </w:rPr>
              <w:t>Certification Pursuant to Section 302 of the Sarbanes-Oxley Act of 2002</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of Chief Financial Officer</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760"/>
              <w:spacing w:after="0"/>
              <w:rPr>
                <w:sz w:val="20"/>
                <w:szCs w:val="20"/>
                <w:color w:val="auto"/>
              </w:rPr>
            </w:pPr>
            <w:r>
              <w:rPr>
                <w:rFonts w:ascii="Arial" w:cs="Arial" w:eastAsia="Arial" w:hAnsi="Arial"/>
                <w:sz w:val="13"/>
                <w:szCs w:val="13"/>
                <w:color w:val="auto"/>
              </w:rPr>
              <w:t>32.1</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w w:val="97"/>
              </w:rPr>
              <w:t>Certifications Pursuant to 18 U.S.C. Section 1350, as Adopted Pursuant</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to Section 906 of the Sarbanes-Oxley Act of 2002</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680"/>
              <w:spacing w:after="0"/>
              <w:rPr>
                <w:sz w:val="20"/>
                <w:szCs w:val="20"/>
                <w:color w:val="auto"/>
              </w:rPr>
            </w:pPr>
            <w:r>
              <w:rPr>
                <w:rFonts w:ascii="Arial" w:cs="Arial" w:eastAsia="Arial" w:hAnsi="Arial"/>
                <w:sz w:val="13"/>
                <w:szCs w:val="13"/>
                <w:color w:val="auto"/>
              </w:rPr>
              <w:t>101.INS**</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XBRL Instance Document</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680"/>
              <w:spacing w:after="0"/>
              <w:rPr>
                <w:sz w:val="20"/>
                <w:szCs w:val="20"/>
                <w:color w:val="auto"/>
              </w:rPr>
            </w:pPr>
            <w:r>
              <w:rPr>
                <w:rFonts w:ascii="Arial" w:cs="Arial" w:eastAsia="Arial" w:hAnsi="Arial"/>
                <w:sz w:val="13"/>
                <w:szCs w:val="13"/>
                <w:color w:val="auto"/>
              </w:rPr>
              <w:t>101.SCH**</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XBRL Taxonomy Extension Schema</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680"/>
              <w:spacing w:after="0"/>
              <w:rPr>
                <w:sz w:val="20"/>
                <w:szCs w:val="20"/>
                <w:color w:val="auto"/>
              </w:rPr>
            </w:pPr>
            <w:r>
              <w:rPr>
                <w:rFonts w:ascii="Arial" w:cs="Arial" w:eastAsia="Arial" w:hAnsi="Arial"/>
                <w:sz w:val="13"/>
                <w:szCs w:val="13"/>
                <w:color w:val="auto"/>
              </w:rPr>
              <w:t>101.CAL**</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XBRL Taxonomy Extension Calculation Linkbase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680"/>
              <w:spacing w:after="0"/>
              <w:rPr>
                <w:sz w:val="20"/>
                <w:szCs w:val="20"/>
                <w:color w:val="auto"/>
              </w:rPr>
            </w:pPr>
            <w:r>
              <w:rPr>
                <w:rFonts w:ascii="Arial" w:cs="Arial" w:eastAsia="Arial" w:hAnsi="Arial"/>
                <w:sz w:val="13"/>
                <w:szCs w:val="13"/>
                <w:color w:val="auto"/>
              </w:rPr>
              <w:t>101.LAB**</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XBRL Taxonomy Extension Labels Linkbase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1580" w:type="dxa"/>
            <w:vAlign w:val="bottom"/>
          </w:tcPr>
          <w:p>
            <w:pPr>
              <w:ind w:left="680"/>
              <w:spacing w:after="0"/>
              <w:rPr>
                <w:sz w:val="20"/>
                <w:szCs w:val="20"/>
                <w:color w:val="auto"/>
              </w:rPr>
            </w:pPr>
            <w:r>
              <w:rPr>
                <w:rFonts w:ascii="Arial" w:cs="Arial" w:eastAsia="Arial" w:hAnsi="Arial"/>
                <w:sz w:val="13"/>
                <w:szCs w:val="13"/>
                <w:color w:val="auto"/>
              </w:rPr>
              <w:t>101.PRE**</w:t>
            </w:r>
          </w:p>
        </w:tc>
        <w:tc>
          <w:tcPr>
            <w:tcW w:w="200" w:type="dxa"/>
            <w:vAlign w:val="bottom"/>
          </w:tcPr>
          <w:p>
            <w:pPr>
              <w:spacing w:after="0"/>
              <w:rPr>
                <w:sz w:val="13"/>
                <w:szCs w:val="13"/>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XBRL Taxonomy Extension Presentation Linkbase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1580" w:type="dxa"/>
            <w:vAlign w:val="bottom"/>
          </w:tcPr>
          <w:p>
            <w:pPr>
              <w:ind w:left="680"/>
              <w:spacing w:after="0"/>
              <w:rPr>
                <w:sz w:val="20"/>
                <w:szCs w:val="20"/>
                <w:color w:val="auto"/>
              </w:rPr>
            </w:pPr>
            <w:r>
              <w:rPr>
                <w:rFonts w:ascii="Arial" w:cs="Arial" w:eastAsia="Arial" w:hAnsi="Arial"/>
                <w:sz w:val="13"/>
                <w:szCs w:val="13"/>
                <w:color w:val="auto"/>
              </w:rPr>
              <w:t>101.DEF**</w:t>
            </w:r>
          </w:p>
        </w:tc>
        <w:tc>
          <w:tcPr>
            <w:tcW w:w="200" w:type="dxa"/>
            <w:vAlign w:val="bottom"/>
          </w:tcPr>
          <w:p>
            <w:pPr>
              <w:spacing w:after="0"/>
              <w:rPr>
                <w:sz w:val="14"/>
                <w:szCs w:val="14"/>
                <w:color w:val="auto"/>
              </w:rPr>
            </w:pPr>
          </w:p>
        </w:tc>
        <w:tc>
          <w:tcPr>
            <w:tcW w:w="4040" w:type="dxa"/>
            <w:vAlign w:val="bottom"/>
            <w:gridSpan w:val="2"/>
          </w:tcPr>
          <w:p>
            <w:pPr>
              <w:spacing w:after="0"/>
              <w:rPr>
                <w:sz w:val="20"/>
                <w:szCs w:val="20"/>
                <w:color w:val="auto"/>
              </w:rPr>
            </w:pPr>
            <w:r>
              <w:rPr>
                <w:rFonts w:ascii="Arial" w:cs="Arial" w:eastAsia="Arial" w:hAnsi="Arial"/>
                <w:sz w:val="13"/>
                <w:szCs w:val="13"/>
                <w:color w:val="auto"/>
              </w:rPr>
              <w:t>XBRL Taxonomy Extension Definition Linkbase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Indicates management contract, compensatory plan or arrangement.</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9"/>
          <w:szCs w:val="9"/>
          <w:b w:val="1"/>
          <w:bCs w:val="1"/>
          <w:color w:val="auto"/>
        </w:rPr>
        <w:t>Filed or</w:t>
      </w:r>
    </w:p>
    <w:p>
      <w:pPr>
        <w:spacing w:after="0" w:line="14" w:lineRule="exact"/>
        <w:rPr>
          <w:sz w:val="20"/>
          <w:szCs w:val="20"/>
          <w:color w:val="auto"/>
        </w:rPr>
      </w:pPr>
    </w:p>
    <w:p>
      <w:pPr>
        <w:ind w:left="100" w:hanging="18"/>
        <w:spacing w:after="0" w:line="298" w:lineRule="auto"/>
        <w:rPr>
          <w:sz w:val="20"/>
          <w:szCs w:val="20"/>
          <w:color w:val="auto"/>
        </w:rPr>
      </w:pPr>
      <w:r>
        <w:rPr>
          <w:rFonts w:ascii="Arial" w:cs="Arial" w:eastAsia="Arial" w:hAnsi="Arial"/>
          <w:sz w:val="8"/>
          <w:szCs w:val="8"/>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746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46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X</w:t>
      </w:r>
    </w:p>
    <w:p>
      <w:pPr>
        <w:sectPr>
          <w:pgSz w:w="11900" w:h="16838" w:orient="portrait"/>
          <w:cols w:equalWidth="0" w:num="2">
            <w:col w:w="9880" w:space="200"/>
            <w:col w:w="500"/>
          </w:cols>
          <w:pgMar w:left="220" w:top="343" w:right="109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right="240" w:hanging="313"/>
        <w:spacing w:after="0" w:line="276"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and separately filed with the Commission pursuant to a request for confidential treatment pursuant to Rule 24b-2 under the Securities Exchange Act of 1934.</w:t>
      </w:r>
    </w:p>
    <w:p>
      <w:pPr>
        <w:spacing w:after="0" w:line="10" w:lineRule="exact"/>
        <w:rPr>
          <w:sz w:val="20"/>
          <w:szCs w:val="20"/>
          <w:color w:val="auto"/>
        </w:rPr>
      </w:pPr>
    </w:p>
    <w:p>
      <w:pPr>
        <w:ind w:left="1000" w:hanging="313"/>
        <w:spacing w:after="0" w:line="282" w:lineRule="auto"/>
        <w:tabs>
          <w:tab w:leader="none" w:pos="10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Attached as Exhibit 101 to this report are documents formatted in XBRL (Extensible Business Reporting Language). 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of Regulation S-T, these interactive data files are deemed not filed for purposes of Section 18 of the Securities Exchange Act of 1934, as amended, are deemed not filed or part of any registration statement or prospectus for purposes of Sections 11 or 12 of the Securities Act of 1933, as amended, and are otherwise not subject to liability under these sections.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Shareholders of ViaSat, Inc.:</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In our opinion, the accompanying consolidated financial statements listed in the index appearing under Item 15(1) present fairly, in all material respects, the financial position of ViaSat, Inc. and its subsidiaries at April 1, 2011 and April 2, 2010, and the results of their operations and their cash flows for each of the three years in the period ended April 1, 2011 in conformity with accounting principles generally accepted in the United States of America. In addition, in our opinion, the financial statement schedule listed in the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April 1, 2011,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7"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Diego,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2011</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w w:val="95"/>
              </w:rPr>
              <w:t>As of</w:t>
            </w:r>
          </w:p>
        </w:tc>
        <w:tc>
          <w:tcPr>
            <w:tcW w:w="16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As of</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468"/>
              <w:spacing w:after="0" w:line="108" w:lineRule="exact"/>
              <w:rPr>
                <w:sz w:val="20"/>
                <w:szCs w:val="20"/>
                <w:color w:val="auto"/>
              </w:rPr>
            </w:pPr>
            <w:r>
              <w:rPr>
                <w:rFonts w:ascii="Arial" w:cs="Arial" w:eastAsia="Arial" w:hAnsi="Arial"/>
                <w:sz w:val="10"/>
                <w:szCs w:val="10"/>
                <w:b w:val="1"/>
                <w:bCs w:val="1"/>
                <w:color w:val="auto"/>
              </w:rPr>
              <w:t>April 1,</w:t>
            </w:r>
          </w:p>
        </w:tc>
        <w:tc>
          <w:tcPr>
            <w:tcW w:w="160" w:type="dxa"/>
            <w:vAlign w:val="bottom"/>
          </w:tcPr>
          <w:p>
            <w:pPr>
              <w:spacing w:after="0"/>
              <w:rPr>
                <w:sz w:val="9"/>
                <w:szCs w:val="9"/>
                <w:color w:val="auto"/>
              </w:rPr>
            </w:pPr>
          </w:p>
        </w:tc>
        <w:tc>
          <w:tcPr>
            <w:tcW w:w="7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rPr>
              <w:t>April 2,</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89"/>
              </w:rPr>
              <w:t>2011</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except</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w w:val="93"/>
              </w:rPr>
              <w:t>(In thousands,</w:t>
            </w:r>
          </w:p>
        </w:tc>
        <w:tc>
          <w:tcPr>
            <w:tcW w:w="380" w:type="dxa"/>
            <w:vAlign w:val="bottom"/>
            <w:vMerge w:val="continue"/>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40,490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89,631</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191,889</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176,351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98,555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82,962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18,805</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17,346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28,857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370,880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395,147</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Satellites, net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533,000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495,689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233,139</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155,804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Other acquired intangible assets, net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81,889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89,389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83,532</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75,024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103,308</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82,499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4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1,405,748</w:t>
            </w:r>
          </w:p>
        </w:tc>
        <w:tc>
          <w:tcPr>
            <w:tcW w:w="3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1,293,552</w:t>
            </w: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416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71,712</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78,355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130,583</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102,251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other long-term debt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203,423</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180,606</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Senior Notes due 2016, net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272,296</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271,801</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Other long-term debt</w:t>
            </w: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61,946</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60,000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23,842</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24,395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4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561,507</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536,802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(Notes 11 and 12)</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Equity:</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ViaSat, Inc. stockholders’ equity</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00" w:type="dxa"/>
            <w:vAlign w:val="bottom"/>
          </w:tcPr>
          <w:p>
            <w:pPr>
              <w:ind w:left="140"/>
              <w:spacing w:after="0" w:line="149" w:lineRule="exact"/>
              <w:rPr>
                <w:sz w:val="20"/>
                <w:szCs w:val="20"/>
                <w:color w:val="auto"/>
              </w:rPr>
            </w:pPr>
            <w:r>
              <w:rPr>
                <w:rFonts w:ascii="Arial" w:cs="Arial" w:eastAsia="Arial" w:hAnsi="Arial"/>
                <w:sz w:val="13"/>
                <w:szCs w:val="13"/>
                <w:color w:val="auto"/>
                <w:w w:val="96"/>
              </w:rPr>
              <w:t>Series A, convertible preferred stock, $.0001 par value; 5,000,000 shares authorized; no shares issued and outstanding at April 1, 2011 and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00" w:type="dxa"/>
            <w:vAlign w:val="bottom"/>
          </w:tcPr>
          <w:p>
            <w:pPr>
              <w:ind w:left="280"/>
              <w:spacing w:after="0"/>
              <w:rPr>
                <w:sz w:val="20"/>
                <w:szCs w:val="20"/>
                <w:color w:val="auto"/>
              </w:rPr>
            </w:pPr>
            <w:r>
              <w:rPr>
                <w:rFonts w:ascii="Arial" w:cs="Arial" w:eastAsia="Arial" w:hAnsi="Arial"/>
                <w:sz w:val="13"/>
                <w:szCs w:val="13"/>
                <w:color w:val="auto"/>
              </w:rPr>
              <w:t>April 2, 2010, respectively</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4"/>
              </w:rPr>
              <w:t>Common stock, $.0001 par value, 100,000,000 shares authorized; 41,664,767 and 39,792,633 shares outstanding at April 1, 2011 and April 2,</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2010, respectively</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Paid-in capital</w:t>
            </w: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601,029</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545,962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254,722</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218,607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Common stock held in treasury, at cost, 560,363 and 407,137 shares at April 1, 2011 and April 2, 2010, respectively</w:t>
            </w:r>
          </w:p>
        </w:tc>
        <w:tc>
          <w:tcPr>
            <w:tcW w:w="140" w:type="dxa"/>
            <w:vAlign w:val="bottom"/>
          </w:tcPr>
          <w:p>
            <w:pPr>
              <w:spacing w:after="0"/>
              <w:rPr>
                <w:sz w:val="13"/>
                <w:szCs w:val="13"/>
                <w:color w:val="auto"/>
              </w:rPr>
            </w:pPr>
          </w:p>
        </w:tc>
        <w:tc>
          <w:tcPr>
            <w:tcW w:w="1040" w:type="dxa"/>
            <w:vAlign w:val="bottom"/>
            <w:gridSpan w:val="2"/>
          </w:tcPr>
          <w:p>
            <w:pPr>
              <w:jc w:val="right"/>
              <w:ind w:right="288"/>
              <w:spacing w:after="0"/>
              <w:rPr>
                <w:sz w:val="20"/>
                <w:szCs w:val="20"/>
                <w:color w:val="auto"/>
              </w:rPr>
            </w:pPr>
            <w:r>
              <w:rPr>
                <w:rFonts w:ascii="Arial" w:cs="Arial" w:eastAsia="Arial" w:hAnsi="Arial"/>
                <w:sz w:val="13"/>
                <w:szCs w:val="13"/>
                <w:color w:val="auto"/>
              </w:rPr>
              <w:t>(17,907)</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(12,027)</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2,277</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40"/>
              <w:spacing w:after="0"/>
              <w:rPr>
                <w:sz w:val="20"/>
                <w:szCs w:val="20"/>
                <w:color w:val="auto"/>
              </w:rPr>
            </w:pPr>
            <w:r>
              <w:rPr>
                <w:rFonts w:ascii="Arial" w:cs="Arial" w:eastAsia="Arial" w:hAnsi="Arial"/>
                <w:sz w:val="13"/>
                <w:szCs w:val="13"/>
                <w:color w:val="auto"/>
              </w:rPr>
              <w:t>Total ViaSat, Inc. stockholders’ equity</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840,125</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753,005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 in subsidiary</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4,116</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
              <w:spacing w:after="0"/>
              <w:rPr>
                <w:sz w:val="20"/>
                <w:szCs w:val="20"/>
                <w:color w:val="auto"/>
              </w:rPr>
            </w:pPr>
            <w:r>
              <w:rPr>
                <w:rFonts w:ascii="Arial" w:cs="Arial" w:eastAsia="Arial" w:hAnsi="Arial"/>
                <w:sz w:val="13"/>
                <w:szCs w:val="13"/>
                <w:color w:val="auto"/>
              </w:rPr>
              <w:t>Total equity</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844,241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756,750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 and equity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1,405,748</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1,293,552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April 1, 2011</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35"/>
              <w:spacing w:after="0" w:line="98" w:lineRule="exact"/>
              <w:rPr>
                <w:sz w:val="20"/>
                <w:szCs w:val="20"/>
                <w:color w:val="auto"/>
              </w:rPr>
            </w:pPr>
            <w:r>
              <w:rPr>
                <w:rFonts w:ascii="Arial" w:cs="Arial" w:eastAsia="Arial" w:hAnsi="Arial"/>
                <w:sz w:val="10"/>
                <w:szCs w:val="10"/>
                <w:b w:val="1"/>
                <w:bCs w:val="1"/>
                <w:color w:val="auto"/>
                <w:w w:val="98"/>
              </w:rPr>
              <w:t>April 2, 2010</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April 3, 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7"/>
          </w:tcPr>
          <w:p>
            <w:pPr>
              <w:jc w:val="center"/>
              <w:ind w:left="536"/>
              <w:spacing w:after="0"/>
              <w:rPr>
                <w:sz w:val="20"/>
                <w:szCs w:val="20"/>
                <w:color w:val="auto"/>
              </w:rPr>
            </w:pPr>
            <w:r>
              <w:rPr>
                <w:rFonts w:ascii="Arial" w:cs="Arial" w:eastAsia="Arial" w:hAnsi="Arial"/>
                <w:sz w:val="10"/>
                <w:szCs w:val="10"/>
                <w:b w:val="1"/>
                <w:bCs w:val="1"/>
                <w:color w:val="auto"/>
                <w:w w:val="93"/>
              </w:rPr>
              <w:t>(In thousands, except per share data)</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Product revenues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523,938</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584,074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595,342</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revenues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278,268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104,006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32,837</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3"/>
                <w:szCs w:val="13"/>
                <w:color w:val="auto"/>
              </w:rPr>
              <w:t>Total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802,206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688,080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628,179</w:t>
            </w: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Cost of product revenues</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389,945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408,526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424,620</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 revenues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160,623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66,830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22,204</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164,265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132,895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98,624</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Independent research and development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28,711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27,325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29,622</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Amortization of acquired intangible assets</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19,409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9,494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8,822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39,253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43,010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44,287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1,463</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(3,154)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(7,354)</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36,422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36,277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45,241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3"/>
                <w:szCs w:val="13"/>
                <w:color w:val="auto"/>
              </w:rPr>
              <w:t>(Benefit from) provision for income taxes</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5,438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6,794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36,424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30,839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38,447</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Less: Net income (loss) attributable to the noncontrolling interest, net of tax</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309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ViaSat, Inc.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36,115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38,331</w:t>
            </w:r>
          </w:p>
        </w:tc>
        <w:tc>
          <w:tcPr>
            <w:tcW w:w="0" w:type="dxa"/>
            <w:vAlign w:val="bottom"/>
          </w:tcPr>
          <w:p>
            <w:pPr>
              <w:spacing w:after="0"/>
              <w:rPr>
                <w:sz w:val="1"/>
                <w:szCs w:val="1"/>
                <w:color w:val="auto"/>
              </w:rPr>
            </w:pPr>
          </w:p>
        </w:tc>
      </w:tr>
      <w:tr>
        <w:trPr>
          <w:trHeight w:val="225"/>
        </w:trPr>
        <w:tc>
          <w:tcPr>
            <w:tcW w:w="6700" w:type="dxa"/>
            <w:vAlign w:val="bottom"/>
          </w:tcPr>
          <w:p>
            <w:pPr>
              <w:spacing w:after="0"/>
              <w:rPr>
                <w:sz w:val="20"/>
                <w:szCs w:val="20"/>
                <w:color w:val="auto"/>
              </w:rPr>
            </w:pPr>
            <w:r>
              <w:rPr>
                <w:rFonts w:ascii="Arial" w:cs="Arial" w:eastAsia="Arial" w:hAnsi="Arial"/>
                <w:sz w:val="13"/>
                <w:szCs w:val="13"/>
                <w:color w:val="auto"/>
              </w:rPr>
              <w:t>Net income per share attributable to ViaSat, Inc. common stockholders: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net income per share attributable to ViaSat, Inc.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5"/>
        </w:trPr>
        <w:tc>
          <w:tcPr>
            <w:tcW w:w="6700" w:type="dxa"/>
            <w:vAlign w:val="bottom"/>
          </w:tcPr>
          <w:p>
            <w:pPr>
              <w:ind w:left="140"/>
              <w:spacing w:after="0"/>
              <w:rPr>
                <w:sz w:val="20"/>
                <w:szCs w:val="20"/>
                <w:color w:val="auto"/>
              </w:rPr>
            </w:pPr>
            <w:r>
              <w:rPr>
                <w:rFonts w:ascii="Arial" w:cs="Arial" w:eastAsia="Arial" w:hAnsi="Arial"/>
                <w:sz w:val="13"/>
                <w:szCs w:val="13"/>
                <w:color w:val="auto"/>
              </w:rPr>
              <w:t>Diluted net income per share attributable to ViaSat, Inc. common stockholders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0.84</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0.89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52"/>
        </w:trPr>
        <w:tc>
          <w:tcPr>
            <w:tcW w:w="6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used in computing basic net income per share</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40,858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33,020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30,772</w:t>
            </w:r>
          </w:p>
        </w:tc>
        <w:tc>
          <w:tcPr>
            <w:tcW w:w="0" w:type="dxa"/>
            <w:vAlign w:val="bottom"/>
          </w:tcPr>
          <w:p>
            <w:pPr>
              <w:spacing w:after="0"/>
              <w:rPr>
                <w:sz w:val="1"/>
                <w:szCs w:val="1"/>
                <w:color w:val="auto"/>
              </w:rPr>
            </w:pPr>
          </w:p>
        </w:tc>
      </w:tr>
      <w:tr>
        <w:trPr>
          <w:trHeight w:val="165"/>
        </w:trPr>
        <w:tc>
          <w:tcPr>
            <w:tcW w:w="6700" w:type="dxa"/>
            <w:vAlign w:val="bottom"/>
          </w:tcPr>
          <w:p>
            <w:pPr>
              <w:ind w:left="140"/>
              <w:spacing w:after="0"/>
              <w:rPr>
                <w:sz w:val="20"/>
                <w:szCs w:val="20"/>
                <w:color w:val="auto"/>
              </w:rPr>
            </w:pPr>
            <w:r>
              <w:rPr>
                <w:rFonts w:ascii="Arial" w:cs="Arial" w:eastAsia="Arial" w:hAnsi="Arial"/>
                <w:sz w:val="13"/>
                <w:szCs w:val="13"/>
                <w:color w:val="auto"/>
              </w:rPr>
              <w:t>Shares used in computing diluted net income per share</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43,059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34,839</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31,884</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7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9"/>
                <w:szCs w:val="9"/>
                <w:b w:val="1"/>
                <w:bCs w:val="1"/>
                <w:color w:val="auto"/>
              </w:rPr>
              <w:t>Fiscal Years Ended</w:t>
            </w: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7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4"/>
              </w:rPr>
              <w:t>April 1, 2011</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tcPr>
          <w:p>
            <w:pPr>
              <w:jc w:val="right"/>
              <w:ind w:right="380"/>
              <w:spacing w:after="0" w:line="88" w:lineRule="exact"/>
              <w:rPr>
                <w:sz w:val="20"/>
                <w:szCs w:val="20"/>
                <w:color w:val="auto"/>
              </w:rPr>
            </w:pPr>
            <w:r>
              <w:rPr>
                <w:rFonts w:ascii="Arial" w:cs="Arial" w:eastAsia="Arial" w:hAnsi="Arial"/>
                <w:sz w:val="9"/>
                <w:szCs w:val="9"/>
                <w:b w:val="1"/>
                <w:bCs w:val="1"/>
                <w:color w:val="auto"/>
                <w:w w:val="97"/>
              </w:rPr>
              <w:t>April 2, 2010</w:t>
            </w:r>
          </w:p>
        </w:tc>
        <w:tc>
          <w:tcPr>
            <w:tcW w:w="80" w:type="dxa"/>
            <w:vAlign w:val="bottom"/>
          </w:tcPr>
          <w:p>
            <w:pPr>
              <w:spacing w:after="0"/>
              <w:rPr>
                <w:sz w:val="7"/>
                <w:szCs w:val="7"/>
                <w:color w:val="auto"/>
              </w:rPr>
            </w:pPr>
          </w:p>
        </w:tc>
        <w:tc>
          <w:tcPr>
            <w:tcW w:w="600" w:type="dxa"/>
            <w:vAlign w:val="bottom"/>
          </w:tcPr>
          <w:p>
            <w:pPr>
              <w:jc w:val="right"/>
              <w:ind w:right="28"/>
              <w:spacing w:after="0" w:line="88" w:lineRule="exact"/>
              <w:rPr>
                <w:sz w:val="20"/>
                <w:szCs w:val="20"/>
                <w:color w:val="auto"/>
              </w:rPr>
            </w:pPr>
            <w:r>
              <w:rPr>
                <w:rFonts w:ascii="Arial" w:cs="Arial" w:eastAsia="Arial" w:hAnsi="Arial"/>
                <w:sz w:val="9"/>
                <w:szCs w:val="9"/>
                <w:b w:val="1"/>
                <w:bCs w:val="1"/>
                <w:color w:val="auto"/>
                <w:w w:val="94"/>
              </w:rPr>
              <w:t>April 3, 2009</w:t>
            </w:r>
          </w:p>
        </w:tc>
        <w:tc>
          <w:tcPr>
            <w:tcW w:w="100" w:type="dxa"/>
            <w:vAlign w:val="bottom"/>
          </w:tcPr>
          <w:p>
            <w:pPr>
              <w:spacing w:after="0"/>
              <w:rPr>
                <w:sz w:val="7"/>
                <w:szCs w:val="7"/>
                <w:color w:val="auto"/>
              </w:rPr>
            </w:pPr>
          </w:p>
        </w:tc>
      </w:tr>
      <w:tr>
        <w:trPr>
          <w:trHeight w:val="117"/>
        </w:trPr>
        <w:tc>
          <w:tcPr>
            <w:tcW w:w="7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9"/>
                <w:szCs w:val="9"/>
                <w:b w:val="1"/>
                <w:bCs w:val="1"/>
                <w:color w:val="auto"/>
                <w:w w:val="93"/>
              </w:rPr>
              <w:t>(In thousands)</w:t>
            </w: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72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36,424</w:t>
            </w:r>
          </w:p>
        </w:tc>
        <w:tc>
          <w:tcPr>
            <w:tcW w:w="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30,839</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38,447</w:t>
            </w:r>
          </w:p>
        </w:tc>
      </w:tr>
      <w:tr>
        <w:trPr>
          <w:trHeight w:val="91"/>
        </w:trPr>
        <w:tc>
          <w:tcPr>
            <w:tcW w:w="7200" w:type="dxa"/>
            <w:vAlign w:val="bottom"/>
            <w:shd w:val="clear" w:color="auto" w:fill="CCEEFF"/>
          </w:tcPr>
          <w:p>
            <w:pPr>
              <w:spacing w:after="0" w:line="92" w:lineRule="exact"/>
              <w:rPr>
                <w:sz w:val="20"/>
                <w:szCs w:val="20"/>
                <w:color w:val="auto"/>
              </w:rPr>
            </w:pPr>
            <w:r>
              <w:rPr>
                <w:rFonts w:ascii="Arial" w:cs="Arial" w:eastAsia="Arial" w:hAnsi="Arial"/>
                <w:sz w:val="10"/>
                <w:szCs w:val="10"/>
                <w:b w:val="1"/>
                <w:bCs w:val="1"/>
                <w:color w:val="auto"/>
              </w:rPr>
              <w:t>Adjustments to reconcile net income to net cash provided by operating</w:t>
            </w: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25"/>
        </w:trPr>
        <w:tc>
          <w:tcPr>
            <w:tcW w:w="7200" w:type="dxa"/>
            <w:vAlign w:val="bottom"/>
            <w:shd w:val="clear" w:color="auto" w:fill="CCEEFF"/>
          </w:tcPr>
          <w:p>
            <w:pPr>
              <w:ind w:left="120"/>
              <w:spacing w:after="0"/>
              <w:rPr>
                <w:sz w:val="20"/>
                <w:szCs w:val="20"/>
                <w:color w:val="auto"/>
              </w:rPr>
            </w:pPr>
            <w:r>
              <w:rPr>
                <w:rFonts w:ascii="Arial" w:cs="Arial" w:eastAsia="Arial" w:hAnsi="Arial"/>
                <w:sz w:val="10"/>
                <w:szCs w:val="10"/>
                <w:b w:val="1"/>
                <w:bCs w:val="1"/>
                <w:color w:val="auto"/>
              </w:rPr>
              <w:t>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Depreciation</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83,629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37,373</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18,658</w:t>
            </w: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Amortization of intangible assets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19,424</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9,582</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9,952</w:t>
            </w: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Stock-based compensation expense</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17,440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12,212</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9,837</w:t>
            </w: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Loss on disposition of fixed assets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6,999</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594</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193</w:t>
            </w: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Deferred income taxes</w:t>
            </w:r>
          </w:p>
        </w:tc>
        <w:tc>
          <w:tcPr>
            <w:tcW w:w="80" w:type="dxa"/>
            <w:vAlign w:val="bottom"/>
          </w:tcPr>
          <w:p>
            <w:pPr>
              <w:spacing w:after="0"/>
              <w:rPr>
                <w:sz w:val="9"/>
                <w:szCs w:val="9"/>
                <w:color w:val="auto"/>
              </w:rPr>
            </w:pPr>
          </w:p>
        </w:tc>
        <w:tc>
          <w:tcPr>
            <w:tcW w:w="7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(4,098)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4,229</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(5,285)</w:t>
            </w: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Other non-cash adjustments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503</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2,483</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211</w:t>
            </w: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Increase (decrease) in cash resulting from changes in operating assets and liabilities, net of effects of acquisitions:</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(14,138)</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(1,117)</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(9,103)</w:t>
            </w: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Inventories</w:t>
            </w:r>
          </w:p>
        </w:tc>
        <w:tc>
          <w:tcPr>
            <w:tcW w:w="80" w:type="dxa"/>
            <w:vAlign w:val="bottom"/>
          </w:tcPr>
          <w:p>
            <w:pPr>
              <w:spacing w:after="0"/>
              <w:rPr>
                <w:sz w:val="9"/>
                <w:szCs w:val="9"/>
                <w:color w:val="auto"/>
              </w:rPr>
            </w:pPr>
          </w:p>
        </w:tc>
        <w:tc>
          <w:tcPr>
            <w:tcW w:w="7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(14,030)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(9,367)</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(5,338)</w:t>
            </w: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Other assets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3,151</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1,504</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(2,653)</w:t>
            </w: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6,644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2,965</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1,740</w:t>
            </w: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Accrued liabilities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32,441</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20,612</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2,654</w:t>
            </w: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Other liabilities</w:t>
            </w:r>
          </w:p>
        </w:tc>
        <w:tc>
          <w:tcPr>
            <w:tcW w:w="80" w:type="dxa"/>
            <w:vAlign w:val="bottom"/>
          </w:tcPr>
          <w:p>
            <w:pPr>
              <w:spacing w:after="0"/>
              <w:rPr>
                <w:sz w:val="9"/>
                <w:szCs w:val="9"/>
                <w:color w:val="auto"/>
              </w:rPr>
            </w:pPr>
          </w:p>
        </w:tc>
        <w:tc>
          <w:tcPr>
            <w:tcW w:w="7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(4,772)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637</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2,629</w:t>
            </w:r>
          </w:p>
        </w:tc>
      </w:tr>
      <w:tr>
        <w:trPr>
          <w:trHeight w:val="20"/>
        </w:trPr>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Net cash provided by operating activities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169,617</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112,546</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61,942</w:t>
            </w:r>
          </w:p>
        </w:tc>
      </w:tr>
      <w:tr>
        <w:trPr>
          <w:trHeight w:val="108"/>
        </w:trPr>
        <w:tc>
          <w:tcPr>
            <w:tcW w:w="7200" w:type="dxa"/>
            <w:vAlign w:val="bottom"/>
          </w:tcPr>
          <w:p>
            <w:pPr>
              <w:spacing w:after="0" w:line="108" w:lineRule="exact"/>
              <w:rPr>
                <w:sz w:val="20"/>
                <w:szCs w:val="20"/>
                <w:color w:val="auto"/>
              </w:rPr>
            </w:pPr>
            <w:r>
              <w:rPr>
                <w:rFonts w:ascii="Arial" w:cs="Arial" w:eastAsia="Arial" w:hAnsi="Arial"/>
                <w:sz w:val="10"/>
                <w:szCs w:val="10"/>
                <w:b w:val="1"/>
                <w:bCs w:val="1"/>
                <w:color w:val="auto"/>
              </w:rPr>
              <w:t>Cash flows from investing activities:</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property, equipment and satellites, net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(208,285)</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(134,543)</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(117,194)</w:t>
            </w: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Cash paid for patents, licenses and other assets</w:t>
            </w:r>
          </w:p>
        </w:tc>
        <w:tc>
          <w:tcPr>
            <w:tcW w:w="80" w:type="dxa"/>
            <w:vAlign w:val="bottom"/>
          </w:tcPr>
          <w:p>
            <w:pPr>
              <w:spacing w:after="0"/>
              <w:rPr>
                <w:sz w:val="9"/>
                <w:szCs w:val="9"/>
                <w:color w:val="auto"/>
              </w:rPr>
            </w:pPr>
          </w:p>
        </w:tc>
        <w:tc>
          <w:tcPr>
            <w:tcW w:w="7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(15,986)</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(13,796)</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(8,028)</w:t>
            </w:r>
          </w:p>
        </w:tc>
      </w:tr>
      <w:tr>
        <w:trPr>
          <w:trHeight w:val="108"/>
        </w:trPr>
        <w:tc>
          <w:tcPr>
            <w:tcW w:w="7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Payments related to acquisition of businesses, net of cash acquired</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(13,456)</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(377,987)</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(925)</w:t>
            </w: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Change in restricted cash, net</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7,298</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2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Net cash used in investing activities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(237,727)</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(519,028)</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(126,147)</w:t>
            </w:r>
          </w:p>
        </w:tc>
      </w:tr>
      <w:tr>
        <w:trPr>
          <w:trHeight w:val="108"/>
        </w:trPr>
        <w:tc>
          <w:tcPr>
            <w:tcW w:w="7200" w:type="dxa"/>
            <w:vAlign w:val="bottom"/>
          </w:tcPr>
          <w:p>
            <w:pPr>
              <w:spacing w:after="0" w:line="108" w:lineRule="exact"/>
              <w:rPr>
                <w:sz w:val="20"/>
                <w:szCs w:val="20"/>
                <w:color w:val="auto"/>
              </w:rPr>
            </w:pPr>
            <w:r>
              <w:rPr>
                <w:rFonts w:ascii="Arial" w:cs="Arial" w:eastAsia="Arial" w:hAnsi="Arial"/>
                <w:sz w:val="10"/>
                <w:szCs w:val="10"/>
                <w:b w:val="1"/>
                <w:bCs w:val="1"/>
                <w:color w:val="auto"/>
              </w:rPr>
              <w:t>Cash flows from financing activities:</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line of credit borrowings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40,000</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263,000</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10,000</w:t>
            </w: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Payments on line of credit</w:t>
            </w:r>
          </w:p>
        </w:tc>
        <w:tc>
          <w:tcPr>
            <w:tcW w:w="80" w:type="dxa"/>
            <w:vAlign w:val="bottom"/>
          </w:tcPr>
          <w:p>
            <w:pPr>
              <w:spacing w:after="0"/>
              <w:rPr>
                <w:sz w:val="9"/>
                <w:szCs w:val="9"/>
                <w:color w:val="auto"/>
              </w:rPr>
            </w:pPr>
          </w:p>
        </w:tc>
        <w:tc>
          <w:tcPr>
            <w:tcW w:w="7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(40,000)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(203,000)</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(10,000)</w:t>
            </w:r>
          </w:p>
        </w:tc>
      </w:tr>
      <w:tr>
        <w:trPr>
          <w:trHeight w:val="108"/>
        </w:trPr>
        <w:tc>
          <w:tcPr>
            <w:tcW w:w="7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issuance of Senior Notes due 2016, net of discount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271,582</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Payment of debt issuance costs</w:t>
            </w:r>
          </w:p>
        </w:tc>
        <w:tc>
          <w:tcPr>
            <w:tcW w:w="80" w:type="dxa"/>
            <w:vAlign w:val="bottom"/>
          </w:tcPr>
          <w:p>
            <w:pPr>
              <w:spacing w:after="0"/>
              <w:rPr>
                <w:sz w:val="9"/>
                <w:szCs w:val="9"/>
                <w:color w:val="auto"/>
              </w:rPr>
            </w:pPr>
          </w:p>
        </w:tc>
        <w:tc>
          <w:tcPr>
            <w:tcW w:w="7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(2,775)</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(12,781)</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issuance of common stock under equity plans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26,398</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23,085</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6,742</w:t>
            </w: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common stock issued under public offering, net of issuance costs</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100,533</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common stock in treasury</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(5,880)</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(10,326)</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(667)</w:t>
            </w: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Incremental tax benefits from stock-based compensation</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867</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346</w:t>
            </w:r>
          </w:p>
        </w:tc>
      </w:tr>
      <w:tr>
        <w:trPr>
          <w:trHeight w:val="108"/>
        </w:trPr>
        <w:tc>
          <w:tcPr>
            <w:tcW w:w="7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Payment on secured borrowing</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(4,720)</w:t>
            </w:r>
          </w:p>
        </w:tc>
      </w:tr>
      <w:tr>
        <w:trPr>
          <w:trHeight w:val="108"/>
        </w:trPr>
        <w:tc>
          <w:tcPr>
            <w:tcW w:w="72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 of stock of majority-owned subsidiary</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1,500</w:t>
            </w:r>
          </w:p>
        </w:tc>
      </w:tr>
      <w:tr>
        <w:trPr>
          <w:trHeight w:val="20"/>
        </w:trPr>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Net cash provided by financing activities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18,610</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432,093</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3,201</w:t>
            </w:r>
          </w:p>
        </w:tc>
      </w:tr>
      <w:tr>
        <w:trPr>
          <w:trHeight w:val="108"/>
        </w:trPr>
        <w:tc>
          <w:tcPr>
            <w:tcW w:w="72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359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529</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(681)</w:t>
            </w:r>
          </w:p>
        </w:tc>
      </w:tr>
      <w:tr>
        <w:trPr>
          <w:trHeight w:val="20"/>
        </w:trPr>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(decrease) increase in cash and cash equivalents</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(49,141)</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26,140</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(61,685)</w:t>
            </w:r>
          </w:p>
        </w:tc>
      </w:tr>
      <w:tr>
        <w:trPr>
          <w:trHeight w:val="108"/>
        </w:trPr>
        <w:tc>
          <w:tcPr>
            <w:tcW w:w="72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fiscal year</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89,631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63,491</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125,176</w:t>
            </w:r>
          </w:p>
        </w:tc>
      </w:tr>
      <w:tr>
        <w:trPr>
          <w:trHeight w:val="20"/>
        </w:trPr>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7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fiscal year</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40,490</w:t>
            </w:r>
          </w:p>
        </w:tc>
        <w:tc>
          <w:tcPr>
            <w:tcW w:w="2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89,631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63,491</w:t>
            </w:r>
          </w:p>
        </w:tc>
      </w:tr>
      <w:tr>
        <w:trPr>
          <w:trHeight w:val="118"/>
        </w:trPr>
        <w:tc>
          <w:tcPr>
            <w:tcW w:w="7200" w:type="dxa"/>
            <w:vAlign w:val="bottom"/>
          </w:tcPr>
          <w:p>
            <w:pPr>
              <w:spacing w:after="0"/>
              <w:rPr>
                <w:sz w:val="20"/>
                <w:szCs w:val="20"/>
                <w:color w:val="auto"/>
              </w:rPr>
            </w:pPr>
            <w:r>
              <w:rPr>
                <w:rFonts w:ascii="Arial" w:cs="Arial" w:eastAsia="Arial" w:hAnsi="Arial"/>
                <w:sz w:val="10"/>
                <w:szCs w:val="10"/>
                <w:b w:val="1"/>
                <w:bCs w:val="1"/>
                <w:color w:val="auto"/>
              </w:rPr>
              <w:t>Supplemental information:</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7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paid for interest (net of amounts capitalized)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2,797</w:t>
            </w:r>
          </w:p>
        </w:tc>
        <w:tc>
          <w:tcPr>
            <w:tcW w:w="2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6,287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413</w:t>
            </w:r>
          </w:p>
        </w:tc>
      </w:tr>
      <w:tr>
        <w:trPr>
          <w:trHeight w:val="132"/>
        </w:trPr>
        <w:tc>
          <w:tcPr>
            <w:tcW w:w="7200" w:type="dxa"/>
            <w:vAlign w:val="bottom"/>
          </w:tcPr>
          <w:p>
            <w:pPr>
              <w:ind w:left="120"/>
              <w:spacing w:after="0"/>
              <w:rPr>
                <w:sz w:val="20"/>
                <w:szCs w:val="20"/>
                <w:color w:val="auto"/>
              </w:rPr>
            </w:pPr>
            <w:r>
              <w:rPr>
                <w:rFonts w:ascii="Arial" w:cs="Arial" w:eastAsia="Arial" w:hAnsi="Arial"/>
                <w:sz w:val="10"/>
                <w:szCs w:val="10"/>
                <w:color w:val="auto"/>
              </w:rPr>
              <w:t>Cash (received) paid for income taxes, net of refunds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(6,563)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7,784</w:t>
            </w:r>
          </w:p>
        </w:tc>
        <w:tc>
          <w:tcPr>
            <w:tcW w:w="3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13,287</w:t>
            </w:r>
          </w:p>
        </w:tc>
        <w:tc>
          <w:tcPr>
            <w:tcW w:w="100" w:type="dxa"/>
            <w:vAlign w:val="bottom"/>
          </w:tcPr>
          <w:p>
            <w:pPr>
              <w:spacing w:after="0"/>
              <w:rPr>
                <w:sz w:val="11"/>
                <w:szCs w:val="11"/>
                <w:color w:val="auto"/>
              </w:rPr>
            </w:pPr>
          </w:p>
        </w:tc>
      </w:tr>
      <w:tr>
        <w:trPr>
          <w:trHeight w:val="113"/>
        </w:trPr>
        <w:tc>
          <w:tcPr>
            <w:tcW w:w="72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Non-cash investing and financing activities:</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Issuance of common stock in connection with acquisitions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4,630</w:t>
            </w:r>
          </w:p>
        </w:tc>
        <w:tc>
          <w:tcPr>
            <w:tcW w:w="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131,888</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Fair value of assets acquired in business combinations, excluding cash acquired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22,699</w:t>
            </w:r>
          </w:p>
        </w:tc>
        <w:tc>
          <w:tcPr>
            <w:tcW w:w="2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536,732</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Liabilities assumed in business combinations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4,613</w:t>
            </w:r>
          </w:p>
        </w:tc>
        <w:tc>
          <w:tcPr>
            <w:tcW w:w="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26,857</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Issuance of stock in satisfaction of certain accrued employee compensation liabilities</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5,096</w:t>
            </w:r>
          </w:p>
        </w:tc>
        <w:tc>
          <w:tcPr>
            <w:tcW w:w="2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5,090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200" w:type="dxa"/>
            <w:vAlign w:val="bottom"/>
          </w:tcPr>
          <w:p>
            <w:pPr>
              <w:ind w:left="240"/>
              <w:spacing w:after="0" w:line="108" w:lineRule="exact"/>
              <w:rPr>
                <w:sz w:val="20"/>
                <w:szCs w:val="20"/>
                <w:color w:val="auto"/>
              </w:rPr>
            </w:pPr>
            <w:r>
              <w:rPr>
                <w:rFonts w:ascii="Arial" w:cs="Arial" w:eastAsia="Arial" w:hAnsi="Arial"/>
                <w:sz w:val="10"/>
                <w:szCs w:val="10"/>
                <w:color w:val="auto"/>
              </w:rPr>
              <w:t>Equipment acquired under capital lease</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3,074</w:t>
            </w:r>
          </w:p>
        </w:tc>
        <w:tc>
          <w:tcPr>
            <w:tcW w:w="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2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Issuance of common stock in connection with license right obtained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bl>
    <w:p>
      <w:pPr>
        <w:spacing w:after="0" w:line="4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EQUITY AND COMPREHENSIVE INCOME</w:t>
      </w:r>
    </w:p>
    <w:p>
      <w:pPr>
        <w:spacing w:after="0" w:line="188"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3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8"/>
                <w:szCs w:val="8"/>
                <w:b w:val="1"/>
                <w:bCs w:val="1"/>
                <w:color w:val="auto"/>
                <w:w w:val="96"/>
              </w:rPr>
              <w:t>ViaSat, Inc. Stockholders</w:t>
            </w: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3320" w:type="dxa"/>
            <w:vAlign w:val="bottom"/>
          </w:tcPr>
          <w:p>
            <w:pPr>
              <w:spacing w:after="0"/>
              <w:rPr>
                <w:sz w:val="6"/>
                <w:szCs w:val="6"/>
                <w:color w:val="auto"/>
              </w:rPr>
            </w:pPr>
          </w:p>
        </w:tc>
        <w:tc>
          <w:tcPr>
            <w:tcW w:w="840" w:type="dxa"/>
            <w:vAlign w:val="bottom"/>
            <w:tcBorders>
              <w:bottom w:val="single" w:sz="8" w:color="auto"/>
            </w:tcBorders>
            <w:gridSpan w:val="3"/>
          </w:tcPr>
          <w:p>
            <w:pPr>
              <w:ind w:left="240"/>
              <w:spacing w:after="0" w:line="79" w:lineRule="exact"/>
              <w:rPr>
                <w:sz w:val="20"/>
                <w:szCs w:val="20"/>
                <w:color w:val="auto"/>
              </w:rPr>
            </w:pPr>
            <w:r>
              <w:rPr>
                <w:rFonts w:ascii="Arial" w:cs="Arial" w:eastAsia="Arial" w:hAnsi="Arial"/>
                <w:sz w:val="8"/>
                <w:szCs w:val="8"/>
                <w:b w:val="1"/>
                <w:bCs w:val="1"/>
                <w:color w:val="auto"/>
                <w:w w:val="98"/>
              </w:rPr>
              <w:t>Common Stock</w:t>
            </w:r>
          </w:p>
        </w:tc>
        <w:tc>
          <w:tcPr>
            <w:tcW w:w="1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3"/>
          </w:tcPr>
          <w:p>
            <w:pPr>
              <w:jc w:val="right"/>
              <w:spacing w:after="0" w:line="79" w:lineRule="exact"/>
              <w:rPr>
                <w:sz w:val="20"/>
                <w:szCs w:val="20"/>
                <w:color w:val="auto"/>
              </w:rPr>
            </w:pPr>
            <w:r>
              <w:rPr>
                <w:rFonts w:ascii="Arial" w:cs="Arial" w:eastAsia="Arial" w:hAnsi="Arial"/>
                <w:sz w:val="8"/>
                <w:szCs w:val="8"/>
                <w:b w:val="1"/>
                <w:bCs w:val="1"/>
                <w:color w:val="auto"/>
              </w:rPr>
              <w:t>Common Stock</w:t>
            </w: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7"/>
              </w:rPr>
              <w:t>Accumulated</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78"/>
        </w:trPr>
        <w:tc>
          <w:tcPr>
            <w:tcW w:w="3320" w:type="dxa"/>
            <w:vAlign w:val="bottom"/>
          </w:tcPr>
          <w:p>
            <w:pPr>
              <w:spacing w:after="0"/>
              <w:rPr>
                <w:sz w:val="6"/>
                <w:szCs w:val="6"/>
                <w:color w:val="auto"/>
              </w:rPr>
            </w:pPr>
          </w:p>
        </w:tc>
        <w:tc>
          <w:tcPr>
            <w:tcW w:w="70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9"/>
              </w:rPr>
              <w:t>Number of</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auto"/>
            </w:tcBorders>
            <w:gridSpan w:val="3"/>
          </w:tcPr>
          <w:p>
            <w:pPr>
              <w:jc w:val="right"/>
              <w:ind w:right="51"/>
              <w:spacing w:after="0" w:line="79" w:lineRule="exact"/>
              <w:rPr>
                <w:sz w:val="20"/>
                <w:szCs w:val="20"/>
                <w:color w:val="auto"/>
              </w:rPr>
            </w:pPr>
            <w:r>
              <w:rPr>
                <w:rFonts w:ascii="Arial" w:cs="Arial" w:eastAsia="Arial" w:hAnsi="Arial"/>
                <w:sz w:val="8"/>
                <w:szCs w:val="8"/>
                <w:b w:val="1"/>
                <w:bCs w:val="1"/>
                <w:color w:val="auto"/>
              </w:rPr>
              <w:t>in Treasury</w:t>
            </w:r>
          </w:p>
        </w:tc>
        <w:tc>
          <w:tcPr>
            <w:tcW w:w="2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93"/>
              </w:rPr>
              <w:t>Other</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69"/>
        </w:trPr>
        <w:tc>
          <w:tcPr>
            <w:tcW w:w="3320" w:type="dxa"/>
            <w:vAlign w:val="bottom"/>
          </w:tcPr>
          <w:p>
            <w:pPr>
              <w:spacing w:after="0"/>
              <w:rPr>
                <w:sz w:val="6"/>
                <w:szCs w:val="6"/>
                <w:color w:val="auto"/>
              </w:rPr>
            </w:pPr>
          </w:p>
        </w:tc>
        <w:tc>
          <w:tcPr>
            <w:tcW w:w="700" w:type="dxa"/>
            <w:vAlign w:val="bottom"/>
            <w:gridSpan w:val="2"/>
          </w:tcPr>
          <w:p>
            <w:pPr>
              <w:jc w:val="center"/>
              <w:ind w:right="200"/>
              <w:spacing w:after="0" w:line="69" w:lineRule="exact"/>
              <w:rPr>
                <w:sz w:val="20"/>
                <w:szCs w:val="20"/>
                <w:color w:val="auto"/>
              </w:rPr>
            </w:pPr>
            <w:r>
              <w:rPr>
                <w:rFonts w:ascii="Arial" w:cs="Arial" w:eastAsia="Arial" w:hAnsi="Arial"/>
                <w:sz w:val="8"/>
                <w:szCs w:val="8"/>
                <w:b w:val="1"/>
                <w:bCs w:val="1"/>
                <w:color w:val="auto"/>
                <w:w w:val="82"/>
              </w:rPr>
              <w:t>Shares</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gridSpan w:val="2"/>
          </w:tcPr>
          <w:p>
            <w:pPr>
              <w:jc w:val="right"/>
              <w:ind w:right="140"/>
              <w:spacing w:after="0" w:line="69" w:lineRule="exact"/>
              <w:rPr>
                <w:sz w:val="20"/>
                <w:szCs w:val="20"/>
                <w:color w:val="auto"/>
              </w:rPr>
            </w:pPr>
            <w:r>
              <w:rPr>
                <w:rFonts w:ascii="Arial" w:cs="Arial" w:eastAsia="Arial" w:hAnsi="Arial"/>
                <w:sz w:val="8"/>
                <w:szCs w:val="8"/>
                <w:b w:val="1"/>
                <w:bCs w:val="1"/>
                <w:color w:val="auto"/>
                <w:w w:val="82"/>
              </w:rPr>
              <w:t>Paid-in</w:t>
            </w:r>
          </w:p>
        </w:tc>
        <w:tc>
          <w:tcPr>
            <w:tcW w:w="160" w:type="dxa"/>
            <w:vAlign w:val="bottom"/>
          </w:tcPr>
          <w:p>
            <w:pPr>
              <w:spacing w:after="0"/>
              <w:rPr>
                <w:sz w:val="6"/>
                <w:szCs w:val="6"/>
                <w:color w:val="auto"/>
              </w:rPr>
            </w:pPr>
          </w:p>
        </w:tc>
        <w:tc>
          <w:tcPr>
            <w:tcW w:w="540" w:type="dxa"/>
            <w:vAlign w:val="bottom"/>
            <w:gridSpan w:val="2"/>
          </w:tcPr>
          <w:p>
            <w:pPr>
              <w:spacing w:after="0" w:line="69" w:lineRule="exact"/>
              <w:rPr>
                <w:sz w:val="20"/>
                <w:szCs w:val="20"/>
                <w:color w:val="auto"/>
              </w:rPr>
            </w:pPr>
            <w:r>
              <w:rPr>
                <w:rFonts w:ascii="Arial" w:cs="Arial" w:eastAsia="Arial" w:hAnsi="Arial"/>
                <w:sz w:val="8"/>
                <w:szCs w:val="8"/>
                <w:b w:val="1"/>
                <w:bCs w:val="1"/>
                <w:color w:val="auto"/>
              </w:rPr>
              <w:t>Retained</w:t>
            </w:r>
          </w:p>
        </w:tc>
        <w:tc>
          <w:tcPr>
            <w:tcW w:w="700" w:type="dxa"/>
            <w:vAlign w:val="bottom"/>
            <w:gridSpan w:val="2"/>
          </w:tcPr>
          <w:p>
            <w:pPr>
              <w:jc w:val="right"/>
              <w:ind w:right="221"/>
              <w:spacing w:after="0" w:line="69" w:lineRule="exact"/>
              <w:rPr>
                <w:sz w:val="20"/>
                <w:szCs w:val="20"/>
                <w:color w:val="auto"/>
              </w:rPr>
            </w:pPr>
            <w:r>
              <w:rPr>
                <w:rFonts w:ascii="Arial" w:cs="Arial" w:eastAsia="Arial" w:hAnsi="Arial"/>
                <w:sz w:val="8"/>
                <w:szCs w:val="8"/>
                <w:b w:val="1"/>
                <w:bCs w:val="1"/>
                <w:color w:val="auto"/>
              </w:rPr>
              <w:t>Number of</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60"/>
              <w:spacing w:after="0" w:line="69" w:lineRule="exact"/>
              <w:rPr>
                <w:sz w:val="20"/>
                <w:szCs w:val="20"/>
                <w:color w:val="auto"/>
              </w:rPr>
            </w:pPr>
            <w:r>
              <w:rPr>
                <w:rFonts w:ascii="Arial" w:cs="Arial" w:eastAsia="Arial" w:hAnsi="Arial"/>
                <w:sz w:val="8"/>
                <w:szCs w:val="8"/>
                <w:b w:val="1"/>
                <w:bCs w:val="1"/>
                <w:color w:val="auto"/>
                <w:w w:val="86"/>
              </w:rPr>
              <w:t>Comprehensive</w:t>
            </w:r>
          </w:p>
        </w:tc>
        <w:tc>
          <w:tcPr>
            <w:tcW w:w="60" w:type="dxa"/>
            <w:vAlign w:val="bottom"/>
          </w:tcPr>
          <w:p>
            <w:pPr>
              <w:spacing w:after="0"/>
              <w:rPr>
                <w:sz w:val="6"/>
                <w:szCs w:val="6"/>
                <w:color w:val="auto"/>
              </w:rPr>
            </w:pPr>
          </w:p>
        </w:tc>
        <w:tc>
          <w:tcPr>
            <w:tcW w:w="820" w:type="dxa"/>
            <w:vAlign w:val="bottom"/>
            <w:gridSpan w:val="2"/>
          </w:tcPr>
          <w:p>
            <w:pPr>
              <w:jc w:val="right"/>
              <w:ind w:right="280"/>
              <w:spacing w:after="0" w:line="69" w:lineRule="exact"/>
              <w:rPr>
                <w:sz w:val="20"/>
                <w:szCs w:val="20"/>
                <w:color w:val="auto"/>
              </w:rPr>
            </w:pPr>
            <w:r>
              <w:rPr>
                <w:rFonts w:ascii="Arial" w:cs="Arial" w:eastAsia="Arial" w:hAnsi="Arial"/>
                <w:sz w:val="8"/>
                <w:szCs w:val="8"/>
                <w:b w:val="1"/>
                <w:bCs w:val="1"/>
                <w:color w:val="auto"/>
                <w:w w:val="91"/>
              </w:rPr>
              <w:t>Noncontrolling</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tcPr>
          <w:p>
            <w:pPr>
              <w:jc w:val="center"/>
              <w:ind w:right="160"/>
              <w:spacing w:after="0" w:line="69" w:lineRule="exact"/>
              <w:rPr>
                <w:sz w:val="20"/>
                <w:szCs w:val="20"/>
                <w:color w:val="auto"/>
              </w:rPr>
            </w:pPr>
            <w:r>
              <w:rPr>
                <w:rFonts w:ascii="Arial" w:cs="Arial" w:eastAsia="Arial" w:hAnsi="Arial"/>
                <w:sz w:val="8"/>
                <w:szCs w:val="8"/>
                <w:b w:val="1"/>
                <w:bCs w:val="1"/>
                <w:color w:val="auto"/>
                <w:w w:val="86"/>
              </w:rPr>
              <w:t>Comprehensive</w:t>
            </w:r>
          </w:p>
        </w:tc>
      </w:tr>
      <w:tr>
        <w:trPr>
          <w:trHeight w:val="98"/>
        </w:trPr>
        <w:tc>
          <w:tcPr>
            <w:tcW w:w="3320" w:type="dxa"/>
            <w:vAlign w:val="bottom"/>
          </w:tcPr>
          <w:p>
            <w:pPr>
              <w:spacing w:after="0"/>
              <w:rPr>
                <w:sz w:val="8"/>
                <w:szCs w:val="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6"/>
              </w:rPr>
              <w:t>Issued</w:t>
            </w:r>
          </w:p>
        </w:tc>
        <w:tc>
          <w:tcPr>
            <w:tcW w:w="20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89"/>
              </w:rPr>
              <w:t>Capital</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w w:val="99"/>
              </w:rPr>
              <w:t>Earnings</w:t>
            </w:r>
          </w:p>
        </w:tc>
        <w:tc>
          <w:tcPr>
            <w:tcW w:w="180" w:type="dxa"/>
            <w:vAlign w:val="bottom"/>
          </w:tcPr>
          <w:p>
            <w:pPr>
              <w:spacing w:after="0"/>
              <w:rPr>
                <w:sz w:val="8"/>
                <w:szCs w:val="8"/>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Shares</w:t>
            </w:r>
          </w:p>
        </w:tc>
        <w:tc>
          <w:tcPr>
            <w:tcW w:w="200" w:type="dxa"/>
            <w:vAlign w:val="bottom"/>
          </w:tcPr>
          <w:p>
            <w:pPr>
              <w:spacing w:after="0"/>
              <w:rPr>
                <w:sz w:val="8"/>
                <w:szCs w:val="8"/>
                <w:color w:val="auto"/>
              </w:rPr>
            </w:pPr>
          </w:p>
        </w:tc>
        <w:tc>
          <w:tcPr>
            <w:tcW w:w="340" w:type="dxa"/>
            <w:vAlign w:val="bottom"/>
            <w:tcBorders>
              <w:bottom w:val="single" w:sz="8" w:color="auto"/>
            </w:tcBorders>
            <w:gridSpan w:val="2"/>
          </w:tcPr>
          <w:p>
            <w:pPr>
              <w:ind w:left="40"/>
              <w:spacing w:after="0"/>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8"/>
                <w:szCs w:val="8"/>
                <w:b w:val="1"/>
                <w:bCs w:val="1"/>
                <w:color w:val="auto"/>
                <w:w w:val="88"/>
              </w:rPr>
              <w:t>Income (Loss)</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8"/>
                <w:szCs w:val="8"/>
                <w:b w:val="1"/>
                <w:bCs w:val="1"/>
                <w:color w:val="auto"/>
              </w:rPr>
              <w:t>Interest</w:t>
            </w: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Total</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8"/>
                <w:szCs w:val="8"/>
                <w:b w:val="1"/>
                <w:bCs w:val="1"/>
                <w:color w:val="auto"/>
                <w:w w:val="85"/>
              </w:rPr>
              <w:t>Income</w:t>
            </w:r>
          </w:p>
        </w:tc>
        <w:tc>
          <w:tcPr>
            <w:tcW w:w="100" w:type="dxa"/>
            <w:vAlign w:val="bottom"/>
          </w:tcPr>
          <w:p>
            <w:pPr>
              <w:spacing w:after="0"/>
              <w:rPr>
                <w:sz w:val="8"/>
                <w:szCs w:val="8"/>
                <w:color w:val="auto"/>
              </w:rPr>
            </w:pPr>
          </w:p>
        </w:tc>
      </w:tr>
      <w:tr>
        <w:trPr>
          <w:trHeight w:val="90"/>
        </w:trPr>
        <w:tc>
          <w:tcPr>
            <w:tcW w:w="3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(In</w:t>
            </w:r>
          </w:p>
        </w:tc>
        <w:tc>
          <w:tcPr>
            <w:tcW w:w="1620" w:type="dxa"/>
            <w:vAlign w:val="bottom"/>
            <w:gridSpan w:val="7"/>
          </w:tcPr>
          <w:p>
            <w:pPr>
              <w:jc w:val="right"/>
              <w:ind w:right="600"/>
              <w:spacing w:after="0" w:line="90" w:lineRule="exact"/>
              <w:rPr>
                <w:sz w:val="20"/>
                <w:szCs w:val="20"/>
                <w:color w:val="auto"/>
              </w:rPr>
            </w:pPr>
            <w:r>
              <w:rPr>
                <w:rFonts w:ascii="Arial" w:cs="Arial" w:eastAsia="Arial" w:hAnsi="Arial"/>
                <w:sz w:val="8"/>
                <w:szCs w:val="8"/>
                <w:b w:val="1"/>
                <w:bCs w:val="1"/>
                <w:color w:val="auto"/>
                <w:w w:val="86"/>
              </w:rPr>
              <w:t>thousands, except share data)</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3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at March 28, 2008</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30,500,605</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w w:val="96"/>
              </w:rPr>
              <w:t>255,856</w:t>
            </w:r>
          </w:p>
        </w:tc>
        <w:tc>
          <w:tcPr>
            <w:tcW w:w="160" w:type="dxa"/>
            <w:vAlign w:val="bottom"/>
            <w:tcBorders>
              <w:right w:val="single" w:sz="8" w:color="CCEEFF"/>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149,140</w:t>
            </w:r>
          </w:p>
        </w:tc>
        <w:tc>
          <w:tcPr>
            <w:tcW w:w="70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(33,238)</w:t>
            </w:r>
          </w:p>
        </w:tc>
        <w:tc>
          <w:tcPr>
            <w:tcW w:w="100" w:type="dxa"/>
            <w:vAlign w:val="bottom"/>
            <w:shd w:val="clear" w:color="auto" w:fill="CCEEFF"/>
          </w:tcPr>
          <w:p>
            <w:pPr>
              <w:jc w:val="right"/>
              <w:ind w:right="31"/>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4"/>
              </w:rPr>
              <w:t>(1,034)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2,289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406,429</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Exercise of stock options</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337,276</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3,619</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3,619</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Stock-based compensation expense</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9,837</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9,837</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Tax benefit from exercise of stock options and release of RSU awards</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667</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667</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stock under</w:t>
            </w: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Employee Stock Purchase Plan</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182,024</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3,123</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3,123</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RSU awards vesting</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94,181</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Purchase of treasury shares pursuant to vesting of certain RSU agreements</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(33,730)</w:t>
            </w:r>
          </w:p>
        </w:tc>
        <w:tc>
          <w:tcPr>
            <w:tcW w:w="10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(667)</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(667)</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Majority-owned subsidiary stock issuance</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1,500</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1,500</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Other noncontrolling interest activity</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137</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137</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38,331</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116</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38,447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38,447</w:t>
            </w: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Foreign currency translation, net of tax</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(302)</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(302)</w:t>
            </w:r>
          </w:p>
        </w:tc>
        <w:tc>
          <w:tcPr>
            <w:tcW w:w="60" w:type="dxa"/>
            <w:vAlign w:val="bottom"/>
          </w:tcPr>
          <w:p>
            <w:pPr>
              <w:spacing w:after="0"/>
              <w:rPr>
                <w:sz w:val="7"/>
                <w:szCs w:val="7"/>
                <w:color w:val="auto"/>
              </w:rPr>
            </w:pPr>
          </w:p>
        </w:tc>
        <w:tc>
          <w:tcPr>
            <w:tcW w:w="7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(302)</w:t>
            </w:r>
          </w:p>
        </w:tc>
      </w:tr>
      <w:tr>
        <w:trPr>
          <w:trHeight w:val="20"/>
        </w:trPr>
        <w:tc>
          <w:tcPr>
            <w:tcW w:w="3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332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38,145</w:t>
            </w:r>
          </w:p>
        </w:tc>
      </w:tr>
      <w:tr>
        <w:trPr>
          <w:trHeight w:val="20"/>
        </w:trPr>
        <w:tc>
          <w:tcPr>
            <w:tcW w:w="3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3320" w:type="dxa"/>
            <w:vAlign w:val="bottom"/>
          </w:tcPr>
          <w:p>
            <w:pPr>
              <w:spacing w:after="0" w:line="88" w:lineRule="exact"/>
              <w:rPr>
                <w:sz w:val="20"/>
                <w:szCs w:val="20"/>
                <w:color w:val="auto"/>
              </w:rPr>
            </w:pPr>
            <w:r>
              <w:rPr>
                <w:rFonts w:ascii="Arial" w:cs="Arial" w:eastAsia="Arial" w:hAnsi="Arial"/>
                <w:sz w:val="8"/>
                <w:szCs w:val="8"/>
                <w:color w:val="auto"/>
              </w:rPr>
              <w:t>Balance at April 3, 2009</w:t>
            </w:r>
          </w:p>
        </w:tc>
        <w:tc>
          <w:tcPr>
            <w:tcW w:w="500" w:type="dxa"/>
            <w:vAlign w:val="bottom"/>
          </w:tcPr>
          <w:p>
            <w:pPr>
              <w:jc w:val="right"/>
              <w:spacing w:after="0" w:line="88" w:lineRule="exact"/>
              <w:rPr>
                <w:sz w:val="20"/>
                <w:szCs w:val="20"/>
                <w:color w:val="auto"/>
              </w:rPr>
            </w:pPr>
            <w:r>
              <w:rPr>
                <w:rFonts w:ascii="Arial" w:cs="Arial" w:eastAsia="Arial" w:hAnsi="Arial"/>
                <w:sz w:val="8"/>
                <w:szCs w:val="8"/>
                <w:color w:val="auto"/>
              </w:rPr>
              <w:t>31,114,086</w:t>
            </w:r>
          </w:p>
        </w:tc>
        <w:tc>
          <w:tcPr>
            <w:tcW w:w="200" w:type="dxa"/>
            <w:vAlign w:val="bottom"/>
          </w:tcPr>
          <w:p>
            <w:pPr>
              <w:spacing w:after="0"/>
              <w:rPr>
                <w:sz w:val="7"/>
                <w:szCs w:val="7"/>
                <w:color w:val="auto"/>
              </w:rPr>
            </w:pPr>
          </w:p>
        </w:tc>
        <w:tc>
          <w:tcPr>
            <w:tcW w:w="140" w:type="dxa"/>
            <w:vAlign w:val="bottom"/>
          </w:tcPr>
          <w:p>
            <w:pPr>
              <w:spacing w:after="0" w:line="88" w:lineRule="exact"/>
              <w:rPr>
                <w:sz w:val="20"/>
                <w:szCs w:val="20"/>
                <w:color w:val="auto"/>
              </w:rPr>
            </w:pPr>
            <w:r>
              <w:rPr>
                <w:rFonts w:ascii="Arial" w:cs="Arial" w:eastAsia="Arial" w:hAnsi="Arial"/>
                <w:sz w:val="8"/>
                <w:szCs w:val="8"/>
                <w:color w:val="auto"/>
              </w:rPr>
              <w:t>$</w:t>
            </w:r>
          </w:p>
        </w:tc>
        <w:tc>
          <w:tcPr>
            <w:tcW w:w="160" w:type="dxa"/>
            <w:vAlign w:val="bottom"/>
          </w:tcPr>
          <w:p>
            <w:pPr>
              <w:jc w:val="right"/>
              <w:spacing w:after="0" w:line="88" w:lineRule="exact"/>
              <w:rPr>
                <w:sz w:val="20"/>
                <w:szCs w:val="20"/>
                <w:color w:val="auto"/>
              </w:rPr>
            </w:pPr>
            <w:r>
              <w:rPr>
                <w:rFonts w:ascii="Arial" w:cs="Arial" w:eastAsia="Arial" w:hAnsi="Arial"/>
                <w:sz w:val="8"/>
                <w:szCs w:val="8"/>
                <w:color w:val="auto"/>
              </w:rPr>
              <w:t>3</w:t>
            </w:r>
          </w:p>
        </w:tc>
        <w:tc>
          <w:tcPr>
            <w:tcW w:w="18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w w:val="96"/>
              </w:rPr>
              <w:t>273,102</w:t>
            </w:r>
          </w:p>
        </w:tc>
        <w:tc>
          <w:tcPr>
            <w:tcW w:w="1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187,471</w:t>
            </w:r>
          </w:p>
        </w:tc>
        <w:tc>
          <w:tcPr>
            <w:tcW w:w="700" w:type="dxa"/>
            <w:vAlign w:val="bottom"/>
            <w:gridSpan w:val="2"/>
          </w:tcPr>
          <w:p>
            <w:pPr>
              <w:jc w:val="right"/>
              <w:ind w:right="141"/>
              <w:spacing w:after="0" w:line="88" w:lineRule="exact"/>
              <w:rPr>
                <w:sz w:val="20"/>
                <w:szCs w:val="20"/>
                <w:color w:val="auto"/>
              </w:rPr>
            </w:pPr>
            <w:r>
              <w:rPr>
                <w:rFonts w:ascii="Arial" w:cs="Arial" w:eastAsia="Arial" w:hAnsi="Arial"/>
                <w:sz w:val="8"/>
                <w:szCs w:val="8"/>
                <w:color w:val="auto"/>
              </w:rPr>
              <w:t>(66,968)</w:t>
            </w:r>
          </w:p>
        </w:tc>
        <w:tc>
          <w:tcPr>
            <w:tcW w:w="100" w:type="dxa"/>
            <w:vAlign w:val="bottom"/>
          </w:tcPr>
          <w:p>
            <w:pPr>
              <w:jc w:val="right"/>
              <w:ind w:right="31"/>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w w:val="94"/>
              </w:rPr>
              <w:t>(1,701)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(127)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4,042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89"/>
              </w:rPr>
              <w:t>462,790</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Exercise of stock options</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1,019,899</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19,435</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19,435</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Issuance of stock under Employee Stock Purchase Plan</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168,640</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3,650</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3,650</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Stock-based compensation expense</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12,212</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12,212</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Shares issued in settlement of certain accrued employee compensation liabilities</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192,894</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5,090</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5,090</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RSU awards vesting</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234,039</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Purchase of treasury shares pursuant to vesting of certain RSU agreements</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(88,438)</w:t>
            </w:r>
          </w:p>
        </w:tc>
        <w:tc>
          <w:tcPr>
            <w:tcW w:w="10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w w:val="94"/>
              </w:rPr>
              <w:t>(2,326)</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(2,326)</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Shares issued in connection with acquisition of business, net of issuance costs</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4,286,250</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w w:val="96"/>
              </w:rPr>
              <w:t>131,637</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131,638</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Shares repurchased from Intelsat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41"/>
              <w:spacing w:after="0" w:line="89" w:lineRule="exact"/>
              <w:rPr>
                <w:sz w:val="20"/>
                <w:szCs w:val="20"/>
                <w:color w:val="auto"/>
              </w:rPr>
            </w:pPr>
            <w:r>
              <w:rPr>
                <w:rFonts w:ascii="Arial" w:cs="Arial" w:eastAsia="Arial" w:hAnsi="Arial"/>
                <w:sz w:val="8"/>
                <w:szCs w:val="8"/>
                <w:color w:val="auto"/>
              </w:rPr>
              <w:t>(251,731)</w:t>
            </w:r>
          </w:p>
        </w:tc>
        <w:tc>
          <w:tcPr>
            <w:tcW w:w="10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w w:val="94"/>
              </w:rPr>
              <w:t>(8,000)</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(8,000)</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Shares issued in connection with license right obtained</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10,000</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303</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303</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Common stock issued under public offering, net of issuance costs</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3,173,962</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w w:val="96"/>
              </w:rPr>
              <w:t>100,533</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89"/>
              </w:rPr>
              <w:t>100,533</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31,136</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(297)</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30,839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30,839</w:t>
            </w: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Foreign currency translation, net of tax</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586</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586</w:t>
            </w:r>
          </w:p>
        </w:tc>
        <w:tc>
          <w:tcPr>
            <w:tcW w:w="60" w:type="dxa"/>
            <w:vAlign w:val="bottom"/>
          </w:tcPr>
          <w:p>
            <w:pPr>
              <w:spacing w:after="0"/>
              <w:rPr>
                <w:sz w:val="7"/>
                <w:szCs w:val="7"/>
                <w:color w:val="auto"/>
              </w:rPr>
            </w:pPr>
          </w:p>
        </w:tc>
        <w:tc>
          <w:tcPr>
            <w:tcW w:w="7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586</w:t>
            </w:r>
          </w:p>
        </w:tc>
      </w:tr>
      <w:tr>
        <w:trPr>
          <w:trHeight w:val="20"/>
        </w:trPr>
        <w:tc>
          <w:tcPr>
            <w:tcW w:w="3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332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31,425</w:t>
            </w:r>
          </w:p>
        </w:tc>
      </w:tr>
      <w:tr>
        <w:trPr>
          <w:trHeight w:val="20"/>
        </w:trPr>
        <w:tc>
          <w:tcPr>
            <w:tcW w:w="3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3320" w:type="dxa"/>
            <w:vAlign w:val="bottom"/>
          </w:tcPr>
          <w:p>
            <w:pPr>
              <w:spacing w:after="0" w:line="88" w:lineRule="exact"/>
              <w:rPr>
                <w:sz w:val="20"/>
                <w:szCs w:val="20"/>
                <w:color w:val="auto"/>
              </w:rPr>
            </w:pPr>
            <w:r>
              <w:rPr>
                <w:rFonts w:ascii="Arial" w:cs="Arial" w:eastAsia="Arial" w:hAnsi="Arial"/>
                <w:sz w:val="8"/>
                <w:szCs w:val="8"/>
                <w:color w:val="auto"/>
              </w:rPr>
              <w:t>Balance at April 2, 2010</w:t>
            </w:r>
          </w:p>
        </w:tc>
        <w:tc>
          <w:tcPr>
            <w:tcW w:w="500" w:type="dxa"/>
            <w:vAlign w:val="bottom"/>
          </w:tcPr>
          <w:p>
            <w:pPr>
              <w:jc w:val="right"/>
              <w:spacing w:after="0" w:line="88" w:lineRule="exact"/>
              <w:rPr>
                <w:sz w:val="20"/>
                <w:szCs w:val="20"/>
                <w:color w:val="auto"/>
              </w:rPr>
            </w:pPr>
            <w:r>
              <w:rPr>
                <w:rFonts w:ascii="Arial" w:cs="Arial" w:eastAsia="Arial" w:hAnsi="Arial"/>
                <w:sz w:val="8"/>
                <w:szCs w:val="8"/>
                <w:color w:val="auto"/>
              </w:rPr>
              <w:t>40,199,770</w:t>
            </w:r>
          </w:p>
        </w:tc>
        <w:tc>
          <w:tcPr>
            <w:tcW w:w="200" w:type="dxa"/>
            <w:vAlign w:val="bottom"/>
          </w:tcPr>
          <w:p>
            <w:pPr>
              <w:spacing w:after="0"/>
              <w:rPr>
                <w:sz w:val="7"/>
                <w:szCs w:val="7"/>
                <w:color w:val="auto"/>
              </w:rPr>
            </w:pPr>
          </w:p>
        </w:tc>
        <w:tc>
          <w:tcPr>
            <w:tcW w:w="140" w:type="dxa"/>
            <w:vAlign w:val="bottom"/>
          </w:tcPr>
          <w:p>
            <w:pPr>
              <w:spacing w:after="0" w:line="88" w:lineRule="exact"/>
              <w:rPr>
                <w:sz w:val="20"/>
                <w:szCs w:val="20"/>
                <w:color w:val="auto"/>
              </w:rPr>
            </w:pPr>
            <w:r>
              <w:rPr>
                <w:rFonts w:ascii="Arial" w:cs="Arial" w:eastAsia="Arial" w:hAnsi="Arial"/>
                <w:sz w:val="8"/>
                <w:szCs w:val="8"/>
                <w:color w:val="auto"/>
              </w:rPr>
              <w:t>$</w:t>
            </w:r>
          </w:p>
        </w:tc>
        <w:tc>
          <w:tcPr>
            <w:tcW w:w="160" w:type="dxa"/>
            <w:vAlign w:val="bottom"/>
          </w:tcPr>
          <w:p>
            <w:pPr>
              <w:jc w:val="right"/>
              <w:spacing w:after="0" w:line="88" w:lineRule="exact"/>
              <w:rPr>
                <w:sz w:val="20"/>
                <w:szCs w:val="20"/>
                <w:color w:val="auto"/>
              </w:rPr>
            </w:pPr>
            <w:r>
              <w:rPr>
                <w:rFonts w:ascii="Arial" w:cs="Arial" w:eastAsia="Arial" w:hAnsi="Arial"/>
                <w:sz w:val="8"/>
                <w:szCs w:val="8"/>
                <w:color w:val="auto"/>
              </w:rPr>
              <w:t>4</w:t>
            </w:r>
          </w:p>
        </w:tc>
        <w:tc>
          <w:tcPr>
            <w:tcW w:w="18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w w:val="96"/>
              </w:rPr>
              <w:t>545,962</w:t>
            </w:r>
          </w:p>
        </w:tc>
        <w:tc>
          <w:tcPr>
            <w:tcW w:w="1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218,607</w:t>
            </w:r>
          </w:p>
        </w:tc>
        <w:tc>
          <w:tcPr>
            <w:tcW w:w="700" w:type="dxa"/>
            <w:vAlign w:val="bottom"/>
            <w:gridSpan w:val="2"/>
          </w:tcPr>
          <w:p>
            <w:pPr>
              <w:jc w:val="right"/>
              <w:ind w:right="141"/>
              <w:spacing w:after="0" w:line="88" w:lineRule="exact"/>
              <w:rPr>
                <w:sz w:val="20"/>
                <w:szCs w:val="20"/>
                <w:color w:val="auto"/>
              </w:rPr>
            </w:pPr>
            <w:r>
              <w:rPr>
                <w:rFonts w:ascii="Arial" w:cs="Arial" w:eastAsia="Arial" w:hAnsi="Arial"/>
                <w:sz w:val="8"/>
                <w:szCs w:val="8"/>
                <w:color w:val="auto"/>
              </w:rPr>
              <w:t>(407,137)</w:t>
            </w:r>
          </w:p>
        </w:tc>
        <w:tc>
          <w:tcPr>
            <w:tcW w:w="100" w:type="dxa"/>
            <w:vAlign w:val="bottom"/>
          </w:tcPr>
          <w:p>
            <w:pPr>
              <w:jc w:val="right"/>
              <w:ind w:right="31"/>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w w:val="80"/>
              </w:rPr>
              <w:t>(12,027)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459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3,745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89"/>
              </w:rPr>
              <w:t>756,750</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Exercise of stock options</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1,124,415</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22,101</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22,101</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Issuance of stock under Employee Stock Purchase Plan</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159,940</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4,297</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4,297</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Stock-based compensation expense</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17,640</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17,640</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Tax benefit from exercise of stock options and release of RSU awards</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1,303</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1,303</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Shares issued in settlement of certain accrued employee compensation liabilities</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162,870</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5,096</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5,096</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RSU awards vesting</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433,173</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Purchase of treasury shares pursuant to vesting of certain RSU agreements</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41"/>
              <w:spacing w:after="0" w:line="89" w:lineRule="exact"/>
              <w:rPr>
                <w:sz w:val="20"/>
                <w:szCs w:val="20"/>
                <w:color w:val="auto"/>
              </w:rPr>
            </w:pPr>
            <w:r>
              <w:rPr>
                <w:rFonts w:ascii="Arial" w:cs="Arial" w:eastAsia="Arial" w:hAnsi="Arial"/>
                <w:sz w:val="8"/>
                <w:szCs w:val="8"/>
                <w:color w:val="auto"/>
              </w:rPr>
              <w:t>(153,226)</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4"/>
              </w:rPr>
              <w:t>(5,880)</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(5,880)</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Shares issued in connection with acquisition of business, net of issuance costs</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144,962</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4,630</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4,630</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 noncontrolling interest activity</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62</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62</w:t>
            </w: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Net income</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36,115</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309</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36,424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36,424</w:t>
            </w:r>
          </w:p>
        </w:tc>
      </w:tr>
      <w:tr>
        <w:trPr>
          <w:trHeight w:val="88"/>
        </w:trPr>
        <w:tc>
          <w:tcPr>
            <w:tcW w:w="33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Hedging transactions, net of tax</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182</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182</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182</w:t>
            </w:r>
          </w:p>
        </w:tc>
      </w:tr>
      <w:tr>
        <w:trPr>
          <w:trHeight w:val="88"/>
        </w:trPr>
        <w:tc>
          <w:tcPr>
            <w:tcW w:w="3320" w:type="dxa"/>
            <w:vAlign w:val="bottom"/>
          </w:tcPr>
          <w:p>
            <w:pPr>
              <w:spacing w:after="0" w:line="89" w:lineRule="exact"/>
              <w:rPr>
                <w:sz w:val="20"/>
                <w:szCs w:val="20"/>
                <w:color w:val="auto"/>
              </w:rPr>
            </w:pPr>
            <w:r>
              <w:rPr>
                <w:rFonts w:ascii="Arial" w:cs="Arial" w:eastAsia="Arial" w:hAnsi="Arial"/>
                <w:sz w:val="8"/>
                <w:szCs w:val="8"/>
                <w:color w:val="auto"/>
              </w:rPr>
              <w:t>Foreign currency translation, net of tax</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3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5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1,636</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1,636</w:t>
            </w:r>
          </w:p>
        </w:tc>
        <w:tc>
          <w:tcPr>
            <w:tcW w:w="60" w:type="dxa"/>
            <w:vAlign w:val="bottom"/>
          </w:tcPr>
          <w:p>
            <w:pPr>
              <w:spacing w:after="0"/>
              <w:rPr>
                <w:sz w:val="7"/>
                <w:szCs w:val="7"/>
                <w:color w:val="auto"/>
              </w:rPr>
            </w:pPr>
          </w:p>
        </w:tc>
        <w:tc>
          <w:tcPr>
            <w:tcW w:w="7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1,636</w:t>
            </w:r>
          </w:p>
        </w:tc>
      </w:tr>
      <w:tr>
        <w:trPr>
          <w:trHeight w:val="20"/>
        </w:trPr>
        <w:tc>
          <w:tcPr>
            <w:tcW w:w="3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332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38,242</w:t>
            </w:r>
          </w:p>
        </w:tc>
      </w:tr>
      <w:tr>
        <w:trPr>
          <w:trHeight w:val="20"/>
        </w:trPr>
        <w:tc>
          <w:tcPr>
            <w:tcW w:w="3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3320" w:type="dxa"/>
            <w:vAlign w:val="bottom"/>
          </w:tcPr>
          <w:p>
            <w:pPr>
              <w:spacing w:after="0" w:line="88" w:lineRule="exact"/>
              <w:rPr>
                <w:sz w:val="20"/>
                <w:szCs w:val="20"/>
                <w:color w:val="auto"/>
              </w:rPr>
            </w:pPr>
            <w:r>
              <w:rPr>
                <w:rFonts w:ascii="Arial" w:cs="Arial" w:eastAsia="Arial" w:hAnsi="Arial"/>
                <w:sz w:val="8"/>
                <w:szCs w:val="8"/>
                <w:color w:val="auto"/>
              </w:rPr>
              <w:t>Balance at April 1, 2011</w:t>
            </w:r>
          </w:p>
        </w:tc>
        <w:tc>
          <w:tcPr>
            <w:tcW w:w="500" w:type="dxa"/>
            <w:vAlign w:val="bottom"/>
          </w:tcPr>
          <w:p>
            <w:pPr>
              <w:jc w:val="right"/>
              <w:spacing w:after="0" w:line="88" w:lineRule="exact"/>
              <w:rPr>
                <w:sz w:val="20"/>
                <w:szCs w:val="20"/>
                <w:color w:val="auto"/>
              </w:rPr>
            </w:pPr>
            <w:r>
              <w:rPr>
                <w:rFonts w:ascii="Arial" w:cs="Arial" w:eastAsia="Arial" w:hAnsi="Arial"/>
                <w:sz w:val="8"/>
                <w:szCs w:val="8"/>
                <w:color w:val="auto"/>
              </w:rPr>
              <w:t>42,225,130</w:t>
            </w:r>
          </w:p>
        </w:tc>
        <w:tc>
          <w:tcPr>
            <w:tcW w:w="200" w:type="dxa"/>
            <w:vAlign w:val="bottom"/>
          </w:tcPr>
          <w:p>
            <w:pPr>
              <w:spacing w:after="0"/>
              <w:rPr>
                <w:sz w:val="7"/>
                <w:szCs w:val="7"/>
                <w:color w:val="auto"/>
              </w:rPr>
            </w:pPr>
          </w:p>
        </w:tc>
        <w:tc>
          <w:tcPr>
            <w:tcW w:w="140" w:type="dxa"/>
            <w:vAlign w:val="bottom"/>
          </w:tcPr>
          <w:p>
            <w:pPr>
              <w:spacing w:after="0" w:line="88" w:lineRule="exact"/>
              <w:rPr>
                <w:sz w:val="20"/>
                <w:szCs w:val="20"/>
                <w:color w:val="auto"/>
              </w:rPr>
            </w:pPr>
            <w:r>
              <w:rPr>
                <w:rFonts w:ascii="Arial" w:cs="Arial" w:eastAsia="Arial" w:hAnsi="Arial"/>
                <w:sz w:val="8"/>
                <w:szCs w:val="8"/>
                <w:color w:val="auto"/>
              </w:rPr>
              <w:t>$</w:t>
            </w:r>
          </w:p>
        </w:tc>
        <w:tc>
          <w:tcPr>
            <w:tcW w:w="160" w:type="dxa"/>
            <w:vAlign w:val="bottom"/>
          </w:tcPr>
          <w:p>
            <w:pPr>
              <w:jc w:val="right"/>
              <w:spacing w:after="0" w:line="88" w:lineRule="exact"/>
              <w:rPr>
                <w:sz w:val="20"/>
                <w:szCs w:val="20"/>
                <w:color w:val="auto"/>
              </w:rPr>
            </w:pPr>
            <w:r>
              <w:rPr>
                <w:rFonts w:ascii="Arial" w:cs="Arial" w:eastAsia="Arial" w:hAnsi="Arial"/>
                <w:sz w:val="8"/>
                <w:szCs w:val="8"/>
                <w:color w:val="auto"/>
              </w:rPr>
              <w:t>4</w:t>
            </w:r>
          </w:p>
        </w:tc>
        <w:tc>
          <w:tcPr>
            <w:tcW w:w="18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w w:val="96"/>
              </w:rPr>
              <w:t>601,029</w:t>
            </w:r>
          </w:p>
        </w:tc>
        <w:tc>
          <w:tcPr>
            <w:tcW w:w="1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254,722</w:t>
            </w:r>
          </w:p>
        </w:tc>
        <w:tc>
          <w:tcPr>
            <w:tcW w:w="700" w:type="dxa"/>
            <w:vAlign w:val="bottom"/>
            <w:gridSpan w:val="2"/>
          </w:tcPr>
          <w:p>
            <w:pPr>
              <w:jc w:val="right"/>
              <w:ind w:right="141"/>
              <w:spacing w:after="0" w:line="88" w:lineRule="exact"/>
              <w:rPr>
                <w:sz w:val="20"/>
                <w:szCs w:val="20"/>
                <w:color w:val="auto"/>
              </w:rPr>
            </w:pPr>
            <w:r>
              <w:rPr>
                <w:rFonts w:ascii="Arial" w:cs="Arial" w:eastAsia="Arial" w:hAnsi="Arial"/>
                <w:sz w:val="8"/>
                <w:szCs w:val="8"/>
                <w:color w:val="auto"/>
              </w:rPr>
              <w:t>(560,363)</w:t>
            </w:r>
          </w:p>
        </w:tc>
        <w:tc>
          <w:tcPr>
            <w:tcW w:w="100" w:type="dxa"/>
            <w:vAlign w:val="bottom"/>
          </w:tcPr>
          <w:p>
            <w:pPr>
              <w:jc w:val="right"/>
              <w:ind w:right="31"/>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w w:val="80"/>
              </w:rPr>
              <w:t>(17,907)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2,277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4,116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89"/>
              </w:rPr>
              <w:t>844,241</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9"/>
        </w:trPr>
        <w:tc>
          <w:tcPr>
            <w:tcW w:w="3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 —</w:t>
      </w:r>
      <w:r>
        <w:rPr>
          <w:sz w:val="20"/>
          <w:szCs w:val="20"/>
          <w:color w:val="auto"/>
        </w:rPr>
        <w:tab/>
      </w:r>
      <w:r>
        <w:rPr>
          <w:rFonts w:ascii="Arial" w:cs="Arial" w:eastAsia="Arial" w:hAnsi="Arial"/>
          <w:sz w:val="11"/>
          <w:szCs w:val="11"/>
          <w:b w:val="1"/>
          <w:bCs w:val="1"/>
          <w:color w:val="auto"/>
        </w:rPr>
        <w:t>The Company and a Summary of Its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Company</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ViaSat, Inc. (also referred to hereafter as the “Company” or “ViaSat”) designs, produces and markets advanced innovative satellite and other wireless communication and secure networking systems, products and services.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Company’s consolidated financial statements include the assets, liabilities and results of operations of ViaSat and its wholly owned subsidiaries and of TrellisWare Technologies, Inc. (TrellisWare), a majority-owned subsidiary. All significant intercompany amounts have been eliminated.</w:t>
      </w:r>
    </w:p>
    <w:p>
      <w:pPr>
        <w:spacing w:after="0" w:line="59" w:lineRule="exact"/>
        <w:rPr>
          <w:sz w:val="20"/>
          <w:szCs w:val="20"/>
          <w:color w:val="auto"/>
        </w:rPr>
      </w:pPr>
    </w:p>
    <w:p>
      <w:pPr>
        <w:jc w:val="both"/>
        <w:ind w:left="680" w:right="180" w:firstLine="399"/>
        <w:spacing w:after="0" w:line="322" w:lineRule="auto"/>
        <w:rPr>
          <w:sz w:val="20"/>
          <w:szCs w:val="20"/>
          <w:color w:val="auto"/>
        </w:rPr>
      </w:pPr>
      <w:r>
        <w:rPr>
          <w:rFonts w:ascii="Arial" w:cs="Arial" w:eastAsia="Arial" w:hAnsi="Arial"/>
          <w:sz w:val="11"/>
          <w:szCs w:val="11"/>
          <w:color w:val="auto"/>
        </w:rPr>
        <w:t>The Company’s fiscal year is the 52 or 53 weeks ending on the Friday closest to March 31 of the specified year. For example, references to fiscal year 2011 refer to the fiscal year ending on April 1, 2011. The Company’s quarters for fiscal year 2011 ended on July 2, 2010, October 1, 2010, December 31, 2010 and April 1, 2011. This results in a 53 week fiscal year approximately every four to five years. Fiscal years 2011 and 2010 are both 52 week years, compared with a 53 week year in fiscal year 2009. As a result of the shift in the fiscal calendar, the second quarter of fiscal year 2009 included an additional week. The Company does not believe that the extra week results in any material impact on its financial results.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prior period amounts have been reclassified to conform to the current period presentation.</w:t>
      </w:r>
    </w:p>
    <w:p>
      <w:pPr>
        <w:spacing w:after="0" w:line="96"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During the second quarter of fiscal year 2011, the Company completed the acquisition of Stonewood Group Limited (Stonewood), a privately held company registered in England and Wales. During the third quarter of fiscal year 2010, the Company completed the acquisition of WildBlue Holding, Inc. (WildBlue), a privately held Delaware corporation. These acquisitions were accounted for as purchases and accordingly, the consolidated financial statements include the operating results of Stonewood and WildBlue from the dates of acquisition (see Note 9).</w:t>
      </w:r>
    </w:p>
    <w:p>
      <w:pPr>
        <w:spacing w:after="0" w:line="32" w:lineRule="exact"/>
        <w:rPr>
          <w:sz w:val="20"/>
          <w:szCs w:val="20"/>
          <w:color w:val="auto"/>
        </w:rPr>
      </w:pPr>
    </w:p>
    <w:p>
      <w:pPr>
        <w:ind w:left="680" w:right="80" w:firstLine="399"/>
        <w:spacing w:after="0" w:line="310" w:lineRule="auto"/>
        <w:rPr>
          <w:sz w:val="20"/>
          <w:szCs w:val="20"/>
          <w:color w:val="auto"/>
        </w:rPr>
      </w:pPr>
      <w:r>
        <w:rPr>
          <w:rFonts w:ascii="Arial" w:cs="Arial" w:eastAsia="Arial" w:hAnsi="Arial"/>
          <w:sz w:val="11"/>
          <w:szCs w:val="11"/>
          <w:color w:val="auto"/>
        </w:rPr>
        <w:t>On April 4, 2009, the beginning of the Company’s first quarter of fiscal year 2010, the Company adopted the authoritative guidance for noncontrolling interests (ASC 810-10-65-1) on a prospective basis, except for the presentation and disclosure requirements which were applied retrospectively for all periods presented. As a result, the Company reclassified to noncontrolling interest, a component of equity, what was previously reported as minority interest in consolidated subsidiary in the mezzanine section of the Company’s consolidated balance sheets and reported as a separate caption within the Company’s consolidated statements of operations, net income, net income attributable to the noncontrolling interest, and net income attributable to ViaSat, Inc. In addition, the Company utilized net income which now includes noncontrolling interest, as the starting point on the Company’s consolidated statements of cash flows in order to reconcile net income to net cash provided by operating activities. These reclassifications had no effect on previously reported consolidated income from operations, net income attributable to ViaSat, Inc. or net cash provided by operating activities. Also, net income per share continues to be based on net income attributable to ViaSat, Inc.</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estimates and assumptions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equipment and satellites, long-lived assets, derivatives, contingencies and income taxes including the valuation allowance on deferred tax assets.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equivalents consist of highly liquid investments with original maturities of 90 days or less at the date of purchase.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unbilled accounts receivable and allowance for doubtful accounts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 commercial business, the Company bills and collects in advance.</w:t>
      </w:r>
    </w:p>
    <w:p>
      <w:pPr>
        <w:spacing w:after="0" w:line="7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Unbilled receivables consist of costs and fees earned and billable on contract completion or other specified events. Unbilled receivables are generally expected to be billed and collected within one year.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risk</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Financial instruments that potentially subject the Company to significant concentrations of credit risk consist primarily of cash equivalents and trade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Revenues from the U.S. government comprised 24.5%, 30.3% and 36.0% of total revenues for fiscal years 2011, 2010 and 2009, respectively. Billed accounts receivable to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U.S. government as of April 1, 2011 and April 2, 2010 were 35.3% and 28.7%, respectively, of total billed receivables. In addition, none of the Company’s commercial customers comprised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10.0% or more of total revenues for fiscal years 2011 and 2010. In fiscal year 2009 one commercial customer comprised 10.3% of total revenues and as of April 3, 2009 represented 9.8%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total billed receivables. The Company’s five largest contracts generated approximately 21.2%, 25.4% and 34.8% of the Company’s total revenues for the fiscal years ended April 1, 2011,</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2, 2010 and April 3, 2009, respectively.</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relies on a limited number of contract manufacturers to produce its products.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Inventory is valued at the lower of cost or market, cost being determined by the weighted average cost method.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equipment and satellites</w:t>
      </w:r>
    </w:p>
    <w:p>
      <w:pPr>
        <w:spacing w:after="0" w:line="96" w:lineRule="exact"/>
        <w:rPr>
          <w:sz w:val="20"/>
          <w:szCs w:val="20"/>
          <w:color w:val="auto"/>
        </w:rPr>
      </w:pPr>
    </w:p>
    <w:p>
      <w:pPr>
        <w:ind w:left="680" w:right="380" w:firstLine="399"/>
        <w:spacing w:after="0" w:line="260" w:lineRule="auto"/>
        <w:rPr>
          <w:sz w:val="20"/>
          <w:szCs w:val="20"/>
          <w:color w:val="auto"/>
        </w:rPr>
      </w:pPr>
      <w:r>
        <w:rPr>
          <w:rFonts w:ascii="Arial" w:cs="Arial" w:eastAsia="Arial" w:hAnsi="Arial"/>
          <w:sz w:val="13"/>
          <w:szCs w:val="13"/>
          <w:color w:val="auto"/>
        </w:rPr>
        <w:t>Equipment, computers and software, furniture and fixtures, the Company’s satellite under construction and related gateway and networking equipment under construction are recorded at cost, net of accumulated depreciation.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Additions to property,</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spacing w:after="0" w:line="371" w:lineRule="auto"/>
        <w:rPr>
          <w:sz w:val="20"/>
          <w:szCs w:val="20"/>
          <w:color w:val="auto"/>
        </w:rPr>
      </w:pPr>
      <w:r>
        <w:rPr>
          <w:rFonts w:ascii="Arial" w:cs="Arial" w:eastAsia="Arial" w:hAnsi="Arial"/>
          <w:sz w:val="11"/>
          <w:szCs w:val="11"/>
          <w:color w:val="auto"/>
        </w:rPr>
        <w:t>equipment and satellites,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 in operations.</w:t>
      </w:r>
    </w:p>
    <w:p>
      <w:pPr>
        <w:spacing w:after="0" w:line="1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Satellite construction costs, including launch services and insurance, are generally procured under long-term contracts that provide for payments over the contract periods and are capitalized as incurred. The Company is also constructing gateway facilities and network operations systems to support the satellite under construction and these construction costs are capitalized as incurred. Interest expense is capitalized on the carrying value of the satellite, related gateway and networking equipment and other assets during the construction period, in accordance with the authoritative guidance for the capitalization of interest (ASC 835-20). With respect to ViaSat-1 (the Company’s high-capacity satellite), related gateway and networking equipment and other assets currently under construction, the Company capitalized $28.3 million and $8.8 million of interest expense during the fiscal years ended April 1, 2011 and April 2, 2010, respectively.</w:t>
      </w:r>
    </w:p>
    <w:p>
      <w:pPr>
        <w:spacing w:after="0" w:line="7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As a result of the acquisition of WildBlue on December 15, 2009 (see Note 9), the Company acquired the WildBlue-1 satellite (which was placed into service in March 2007), an exclusive prepaid lifetime capital lease of Ka-band capacity over the continental United States on Telesat Canada’s Anik F2 satellite (which was placed into service in April 2005) and related gateway and networking equipment on both satellites. The acquired assets also included the indoor and outdoor customer premise equipment (CPE) units leased to subscribers under WildBlue’s retail leasing program. The Company depreciates the satellites, gateway and networking equipment, CPE units and related installation costs over their estimated useful lives. The total cost and accumulated depreciation of CPE units included in property and equipment, net as of April 1, 2011 was $61.6 million and $19.2 million, respectively. The total cost and accumulated depreciation of CPE units included in property and equipment, net as of April 2, 2010 was $41.5 million and $4.2 million, respectively.</w:t>
      </w:r>
    </w:p>
    <w:p>
      <w:pPr>
        <w:spacing w:after="0" w:line="59"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Occasionally, the Company may enter into capital lease arrangements for various machinery, equipment, computer-related equipment, software, furniture or fixtures. As of April 1, 2011, assets under capital leases totaled approximately $3.1 million and there was an immaterial amount of accumulated amortization. The Company had no material capital lease arrangements as of April 2, 2010. The Company records amortization of assets leased under capital lease arrangements within depreciation expense.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Patents, orbital slots and other licenses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and $3.0 million related to patents were included in other assets as of April 1, 2011 and April 2, 2010, respectively. Accumulated amortization related to these patents was $0.3 million as of each of April 1, 2011 and April 2, 2010. Amortization expense related to these patents was less than $0.1 million for each of the fiscal years ended April 1, 2011, April 2, 2010, and April 3,</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2009. As of April 1, 2011 and April 2, 2010, the Company had capitalized costs of $5.7 million and $5.2 million related to acquiring and obtaining orbital slots and other licenses, included in other assets, that have not yet been placed into service. If a patent, orbital slot or orbital license is rejected, abandoned or otherwise invalidated, the unamortized cost is expensed in that period. During fiscal years 2011, 2010 and 2009, the Company did not write off any material costs due to abandonment or impairment.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Debt issuance costs are amortized and recognized as interest expense on a straight-line basis over the expected term of the related debt, which is not materially different from an effective interest rate basis. During fiscal years 2011 and 2010, the Company paid and capitalized approximately $2.8 million and $12.8 million, respectively, in debt issuance costs related to the Company’s revolving credit facility (the Credit Facility) and 8.875% Senior Notes due 2016 (the Notes). During fiscal year 2009, the Company did not pay or capitalize any material amounts of debt issuance costs related to the Credit Facility.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Software development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Costs of developing software for sale are charged to research and development expense when incurred, until technological feasibility has been established. Software development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costs incurred from the time technological feasibility is reached until the product is available for general release to customers are capitalized and reported at the lower of unamortized cost or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net realizable value. Once the product is available for general release, the software development costs are amortized based on the ratio of current to future revenue for each product with an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annual minimum equal to straight-line amortization over the remaining estimated economic life of the product, generally within five years. The Company capitalized $15.8 million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$8.0 million of costs related to software developed for resale for fiscal years ended April 1, 2011 and April 2, 2010, respectively. There was no amortization expense of software development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costs during fiscal years 2011 and 2010. Amortization expense of software development costs was $1.1 million for fiscal year 2009.</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 (property, equipment, and satellites, and other assets)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is less than its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2011, 2010 and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goodwill</w:t>
      </w:r>
    </w:p>
    <w:p>
      <w:pPr>
        <w:spacing w:after="0" w:line="9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The Company accounts for its goodwill under the authoritative guidance for goodwill and other intangible assets (ASC 350). The guidance for the goodwill impairment model is a two-step process. First, it requires a comparison of the book value of net assets to the fair value of the reporting units that have goodwill assigned to them. Reporting units within the Company’s government systems, commercial networks and satellite services segments have goodwill assigned to them. The Company estimates the fair values of the reporting units using discounted cash flows and other indicators of fair value.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goodwill is estimated, based in part on the fair value of the reporting unit used in the first step, and is compared to its carrying value. The shortfall of the fair value below carrying value, if any, represents the amount of goodwill impairment.</w:t>
      </w:r>
    </w:p>
    <w:p>
      <w:pPr>
        <w:spacing w:after="0" w:line="59"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The forecast of future cash flows is based on the Company’s best estimate of the future revenues and operating costs, based primarily on existing firm orders, expected future orders, contracts with suppliers, labor agreements and general market conditions. Changes in these forecasts could cause a particular reporting unit to either pass or fail the first step in the goodwill impairment model, which could significantly influence whether goodwill impairment charge needs to be recorded.</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accordance with the authoritative guidance for goodwill and other intangible assets, Company tests goodwill for impairment during the fourth quarter every fiscal year, and when an event occurs or circumstances change such that it is reasonably possible that an impairment may exist. No impairments were recorded by the Company related to goodwill and other intangible assets for fiscal years 2011, 2010 and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Warranty reserves</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carrying amounts of the Company’s financial instruments, including cash equivalents, short-term investments, trade receivables, accounts payable and accrued liabilities, approximate their fair values due to their short-term maturities. The estimated fair value of the Company’s long-term borrowings is determined by using available market information for those securities or similar financial instruments (see Note 3).</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Self-insurance liabilities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Company has self-insurance plans to retain a portion of the exposure for losses related to employee medical benefits and workers’ compensation.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Company’s self-insurance liability for the plans was $1.5 million as of April 1, 2011 and $1.4 million as of April 2, 2010.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Secured borrowing customer arrangements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Occasionally, the Company enters into secured borrowing arrangements in connection with customer financing in order to provide additional sources of funding. As of April 1, 2011 and April 2, 2010, the Company had no secured borrowing arrangements with customers. In the first quarter of fiscal year 2009, the Company paid all obligations related to its secured borrowing, under which the Company pledged a note receivable from a customer to serve as collateral for the obligation under the borrowing arrangement, totaling $4.7 million plus accrued interest.</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During fiscal year 2008, due to the customer’s payment default under the note receivable, the Company wrote down the note receivable by approximately $5.3 million related to the principal and interest accrued to date. During the fourth quarter of fiscal year 2009, the Company entered into certain agreements with the note receivable insurance carrier providing the Company approximately $1.7 million in cash payments. Pursuant to these agreements, the Company received cash payments totaling $2.0 million during fiscal year 2010 and as of April 2, 2010 recorded a current asset of approximately $1.0 million and a long-term asset of approximately $0.5 million. During fiscal year 2011, pursuant to these agreements, the Company received additional cash payments totaling $1.2 million and as of April 1, 2011 recorded a current asset of approximately $0.5 million.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Indemnification provisions</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April 1, 2011 and April 2, 2010, no such amounts were accrued.</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Simultaneously with the execution of the merger agreement relating to the acquisition of WildBlue, the Company entered into an indemnification agreement dated September 30, 2009 with several of the former stockholders of WildBlue pursuant to which such former stockholders agreed to indemnify the Company for costs which result from, relate to or arise out of potential claims and liabilities under various WildBlue contracts, an existing appraisal action regarding WildBlue’s 2008 recapitalization, certain rights to acquire securities of WildBlue and a severance agreement. Under the indemnification agreement, the Company is required to pay up to $0.5 million and has recorded a liability of $0.5 million in the consolidated balance sheets as of April 1, 2011 and April 2, 2010 as an element of accrued liabilities.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Noncontrolling interest</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are reported in the consolidated financial statements at the consolidated amounts, which include the amounts attributable to both the controlling and noncontrolling interest.</w:t>
      </w:r>
    </w:p>
    <w:p>
      <w:pPr>
        <w:spacing w:after="0" w:line="67" w:lineRule="exact"/>
        <w:rPr>
          <w:sz w:val="20"/>
          <w:szCs w:val="20"/>
          <w:color w:val="auto"/>
        </w:rPr>
      </w:pPr>
    </w:p>
    <w:p>
      <w:pPr>
        <w:jc w:val="both"/>
        <w:ind w:left="680" w:right="260" w:firstLine="399"/>
        <w:spacing w:after="0" w:line="371" w:lineRule="auto"/>
        <w:rPr>
          <w:sz w:val="20"/>
          <w:szCs w:val="20"/>
          <w:color w:val="auto"/>
        </w:rPr>
      </w:pPr>
      <w:r>
        <w:rPr>
          <w:rFonts w:ascii="Arial" w:cs="Arial" w:eastAsia="Arial" w:hAnsi="Arial"/>
          <w:sz w:val="11"/>
          <w:szCs w:val="11"/>
          <w:color w:val="auto"/>
        </w:rPr>
        <w:t>In April 2008, the Company’s majority-owned subsidiary, TrellisWare, issued additional shares of preferred stock in which the Company invested $1.8 million in order to retain a constant ownership interest. As a result of the transaction, TrellisWare also received $1.5 million in cash proceeds from the issuance of preferred stock to its other principal stockholders.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 held in treasury</w:t>
      </w:r>
    </w:p>
    <w:p>
      <w:pPr>
        <w:spacing w:after="0" w:line="96" w:lineRule="exact"/>
        <w:rPr>
          <w:sz w:val="20"/>
          <w:szCs w:val="20"/>
          <w:color w:val="auto"/>
        </w:rPr>
      </w:pPr>
    </w:p>
    <w:p>
      <w:pPr>
        <w:ind w:left="680" w:right="360" w:firstLine="399"/>
        <w:spacing w:after="0" w:line="260" w:lineRule="auto"/>
        <w:rPr>
          <w:sz w:val="20"/>
          <w:szCs w:val="20"/>
          <w:color w:val="auto"/>
        </w:rPr>
      </w:pPr>
      <w:r>
        <w:rPr>
          <w:rFonts w:ascii="Arial" w:cs="Arial" w:eastAsia="Arial" w:hAnsi="Arial"/>
          <w:sz w:val="13"/>
          <w:szCs w:val="13"/>
          <w:color w:val="auto"/>
        </w:rPr>
        <w:t>During fiscal years 2011 and 2010, the Company issued 433,173 and 234,039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153,226 and 88,438 shares of common stock with a total value of $5.9 million and $2.3 million during fiscal year 2011 and fiscal year 2010, respectively.</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On January 4, 2010, the Company repurchased 251,731 shares of the Company’s common stock from Intelsat USA Sales Corp for $8.0 million in cash. Repurchased shares of common stock of 560,363 and 407,137 were held in treasury as of April 1, 2011 and April 2, 2010,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values of the Company’s outstanding foreign currency forward contracts as of April 1, 2011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920" w:type="dxa"/>
            <w:vAlign w:val="bottom"/>
            <w:tcBorders>
              <w:bottom w:val="single" w:sz="8" w:color="auto"/>
            </w:tcBorders>
            <w:gridSpan w:val="2"/>
          </w:tcPr>
          <w:p>
            <w:pPr>
              <w:jc w:val="center"/>
              <w:ind w:left="246"/>
              <w:spacing w:after="0"/>
              <w:rPr>
                <w:sz w:val="20"/>
                <w:szCs w:val="20"/>
                <w:color w:val="auto"/>
              </w:rPr>
            </w:pPr>
            <w:r>
              <w:rPr>
                <w:rFonts w:ascii="Arial" w:cs="Arial" w:eastAsia="Arial" w:hAnsi="Arial"/>
                <w:sz w:val="10"/>
                <w:szCs w:val="10"/>
                <w:b w:val="1"/>
                <w:bCs w:val="1"/>
                <w:color w:val="auto"/>
                <w:w w:val="93"/>
              </w:rPr>
              <w:t>Asset Derivatives</w:t>
            </w:r>
          </w:p>
        </w:tc>
        <w:tc>
          <w:tcPr>
            <w:tcW w:w="3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0"/>
                <w:szCs w:val="10"/>
                <w:b w:val="1"/>
                <w:bCs w:val="1"/>
                <w:color w:val="auto"/>
              </w:rPr>
              <w:t>Liability Derivatives</w:t>
            </w: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1920" w:type="dxa"/>
            <w:vAlign w:val="bottom"/>
            <w:gridSpan w:val="2"/>
          </w:tcPr>
          <w:p>
            <w:pPr>
              <w:ind w:left="500"/>
              <w:spacing w:after="0" w:line="81" w:lineRule="exact"/>
              <w:rPr>
                <w:sz w:val="20"/>
                <w:szCs w:val="20"/>
                <w:color w:val="auto"/>
              </w:rPr>
            </w:pPr>
            <w:r>
              <w:rPr>
                <w:rFonts w:ascii="Arial" w:cs="Arial" w:eastAsia="Arial" w:hAnsi="Arial"/>
                <w:sz w:val="9"/>
                <w:szCs w:val="9"/>
                <w:b w:val="1"/>
                <w:bCs w:val="1"/>
                <w:color w:val="auto"/>
              </w:rPr>
              <w:t>Balance Sheet</w:t>
            </w:r>
          </w:p>
        </w:tc>
        <w:tc>
          <w:tcPr>
            <w:tcW w:w="3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Fair</w:t>
            </w: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tcPr>
          <w:p>
            <w:pPr>
              <w:ind w:left="100"/>
              <w:spacing w:after="0" w:line="81" w:lineRule="exact"/>
              <w:rPr>
                <w:sz w:val="20"/>
                <w:szCs w:val="20"/>
                <w:color w:val="auto"/>
              </w:rPr>
            </w:pPr>
            <w:r>
              <w:rPr>
                <w:rFonts w:ascii="Arial" w:cs="Arial" w:eastAsia="Arial" w:hAnsi="Arial"/>
                <w:sz w:val="9"/>
                <w:szCs w:val="9"/>
                <w:b w:val="1"/>
                <w:bCs w:val="1"/>
                <w:color w:val="auto"/>
              </w:rPr>
              <w:t>Balance Sheet</w:t>
            </w:r>
          </w:p>
        </w:tc>
        <w:tc>
          <w:tcPr>
            <w:tcW w:w="68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920" w:type="dxa"/>
            <w:vAlign w:val="bottom"/>
            <w:gridSpan w:val="2"/>
          </w:tcPr>
          <w:p>
            <w:pPr>
              <w:ind w:left="500"/>
              <w:spacing w:after="0"/>
              <w:rPr>
                <w:sz w:val="20"/>
                <w:szCs w:val="20"/>
                <w:color w:val="auto"/>
              </w:rPr>
            </w:pPr>
            <w:r>
              <w:rPr>
                <w:rFonts w:ascii="Arial" w:cs="Arial" w:eastAsia="Arial" w:hAnsi="Arial"/>
                <w:sz w:val="10"/>
                <w:szCs w:val="10"/>
                <w:b w:val="1"/>
                <w:bCs w:val="1"/>
                <w:color w:val="auto"/>
              </w:rPr>
              <w:t>Classification</w:t>
            </w:r>
          </w:p>
        </w:tc>
        <w:tc>
          <w:tcPr>
            <w:tcW w:w="78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97"/>
              </w:rPr>
              <w:t>Value</w:t>
            </w: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Classification</w:t>
            </w: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(In</w:t>
            </w:r>
          </w:p>
        </w:tc>
        <w:tc>
          <w:tcPr>
            <w:tcW w:w="300" w:type="dxa"/>
            <w:vAlign w:val="bottom"/>
          </w:tcPr>
          <w:p>
            <w:pPr>
              <w:spacing w:after="0"/>
              <w:rPr>
                <w:sz w:val="20"/>
                <w:szCs w:val="20"/>
                <w:color w:val="auto"/>
              </w:rPr>
            </w:pPr>
            <w:r>
              <w:rPr>
                <w:rFonts w:ascii="Arial" w:cs="Arial" w:eastAsia="Arial" w:hAnsi="Arial"/>
                <w:sz w:val="7"/>
                <w:szCs w:val="7"/>
                <w:b w:val="1"/>
                <w:bCs w:val="1"/>
                <w:color w:val="auto"/>
                <w:w w:val="74"/>
              </w:rPr>
              <w:t>thousands)</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Derivatives designated as hedging instruments</w:t>
            </w:r>
          </w:p>
        </w:tc>
        <w:tc>
          <w:tcPr>
            <w:tcW w:w="1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Foreign currency forward contracts</w:t>
            </w:r>
          </w:p>
        </w:tc>
        <w:tc>
          <w:tcPr>
            <w:tcW w:w="1920" w:type="dxa"/>
            <w:vAlign w:val="bottom"/>
            <w:gridSpan w:val="2"/>
          </w:tcPr>
          <w:p>
            <w:pPr>
              <w:jc w:val="center"/>
              <w:ind w:left="226"/>
              <w:spacing w:after="0"/>
              <w:rPr>
                <w:sz w:val="20"/>
                <w:szCs w:val="20"/>
                <w:color w:val="auto"/>
              </w:rPr>
            </w:pPr>
            <w:r>
              <w:rPr>
                <w:rFonts w:ascii="Arial" w:cs="Arial" w:eastAsia="Arial" w:hAnsi="Arial"/>
                <w:sz w:val="13"/>
                <w:szCs w:val="13"/>
                <w:color w:val="auto"/>
                <w:w w:val="88"/>
              </w:rPr>
              <w:t>Other current assets</w:t>
            </w:r>
          </w:p>
        </w:tc>
        <w:tc>
          <w:tcPr>
            <w:tcW w:w="300" w:type="dxa"/>
            <w:vAlign w:val="bottom"/>
          </w:tcPr>
          <w:p>
            <w:pPr>
              <w:jc w:val="center"/>
              <w:spacing w:after="0"/>
              <w:rPr>
                <w:sz w:val="20"/>
                <w:szCs w:val="20"/>
                <w:color w:val="auto"/>
              </w:rPr>
            </w:pPr>
            <w:r>
              <w:rPr>
                <w:rFonts w:ascii="Arial" w:cs="Arial" w:eastAsia="Arial" w:hAnsi="Arial"/>
                <w:sz w:val="13"/>
                <w:szCs w:val="13"/>
                <w:color w:val="auto"/>
                <w:w w:val="92"/>
              </w:rPr>
              <w:t>$ 182</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240"/>
              <w:spacing w:after="0"/>
              <w:rPr>
                <w:sz w:val="20"/>
                <w:szCs w:val="20"/>
                <w:color w:val="auto"/>
              </w:rPr>
            </w:pPr>
            <w:r>
              <w:rPr>
                <w:rFonts w:ascii="Arial" w:cs="Arial" w:eastAsia="Arial" w:hAnsi="Arial"/>
                <w:sz w:val="13"/>
                <w:szCs w:val="13"/>
                <w:color w:val="auto"/>
              </w:rPr>
              <w:t>Not applicable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derivatives designated as hedging instruments</w:t>
            </w:r>
          </w:p>
        </w:tc>
        <w:tc>
          <w:tcPr>
            <w:tcW w:w="1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$ 182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Company had no foreign currency forward contracts outstanding as of April 2, 2010. The notional value of foreign currency forward contracts outstanding as of April 1, 2011 was $4.6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effects of foreign currency forward contracts in cash flow hedging relationships during fiscal year 2011 were as follows: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12"/>
              <w:spacing w:after="0"/>
              <w:rPr>
                <w:sz w:val="20"/>
                <w:szCs w:val="20"/>
                <w:color w:val="auto"/>
              </w:rPr>
            </w:pPr>
            <w:r>
              <w:rPr>
                <w:rFonts w:ascii="Arial" w:cs="Arial" w:eastAsia="Arial" w:hAnsi="Arial"/>
                <w:sz w:val="9"/>
                <w:szCs w:val="9"/>
                <w:b w:val="1"/>
                <w:bCs w:val="1"/>
                <w:color w:val="auto"/>
                <w:w w:val="93"/>
              </w:rPr>
              <w:t>Amount of</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12"/>
              <w:spacing w:after="0" w:line="98" w:lineRule="exact"/>
              <w:rPr>
                <w:sz w:val="20"/>
                <w:szCs w:val="20"/>
                <w:color w:val="auto"/>
              </w:rPr>
            </w:pPr>
            <w:r>
              <w:rPr>
                <w:rFonts w:ascii="Arial" w:cs="Arial" w:eastAsia="Arial" w:hAnsi="Arial"/>
                <w:sz w:val="9"/>
                <w:szCs w:val="9"/>
                <w:b w:val="1"/>
                <w:bCs w:val="1"/>
                <w:color w:val="auto"/>
                <w:w w:val="95"/>
              </w:rPr>
              <w:t>Gain or</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88"/>
              </w:rPr>
              <w:t>(Loss)</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9"/>
              </w:rPr>
              <w:t>Amount</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Location of</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3"/>
              </w:rPr>
              <w:t>Amount of</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Location of Gain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87"/>
              </w:rPr>
              <w:t>Recognized</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8"/>
              </w:rPr>
              <w:t>of Gain or</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Gain or</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5"/>
              </w:rPr>
              <w:t>Gain or</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or (Loss)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3"/>
              </w:rPr>
              <w:t>in Income on</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81"/>
              </w:rPr>
              <w:t>(Loss)</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(Loss)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88"/>
              </w:rPr>
              <w:t>(Loss)</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Recognized 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2"/>
              </w:rPr>
              <w:t>Derivative</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0"/>
              </w:rPr>
              <w:t>Recognized</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7"/>
              </w:rPr>
              <w:t>Reclassified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87"/>
              </w:rPr>
              <w:t>Reclassified</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Income on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2"/>
              </w:rPr>
              <w:t>(Ineffective</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2"/>
              </w:rPr>
              <w:t>in Accumulated</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from</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89"/>
              </w:rPr>
              <w:t>from</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Derivative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5"/>
              </w:rPr>
              <w:t>Portion and</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rPr>
              <w:t>OCI</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1"/>
              </w:rPr>
              <w:t>Accumulated</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(Ineffective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3"/>
              </w:rPr>
              <w:t>Amount</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0"/>
              </w:rPr>
              <w:t>on</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OCI into</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6"/>
              </w:rPr>
              <w:t>OCI into</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Portion and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89"/>
              </w:rPr>
              <w:t>Excluded</w:t>
            </w:r>
          </w:p>
        </w:tc>
        <w:tc>
          <w:tcPr>
            <w:tcW w:w="0" w:type="dxa"/>
            <w:vAlign w:val="bottom"/>
          </w:tcPr>
          <w:p>
            <w:pPr>
              <w:spacing w:after="0"/>
              <w:rPr>
                <w:sz w:val="1"/>
                <w:szCs w:val="1"/>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Derivatives in Cash</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5"/>
              </w:rPr>
              <w:t>Derivatives</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5"/>
              </w:rPr>
              <w:t>Income</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Amount Excluded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9"/>
              </w:rPr>
              <w:t>from</w:t>
            </w:r>
          </w:p>
        </w:tc>
        <w:tc>
          <w:tcPr>
            <w:tcW w:w="0" w:type="dxa"/>
            <w:vAlign w:val="bottom"/>
          </w:tcPr>
          <w:p>
            <w:pPr>
              <w:spacing w:after="0"/>
              <w:rPr>
                <w:sz w:val="1"/>
                <w:szCs w:val="1"/>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Flow Hedging</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500"/>
              <w:spacing w:after="0" w:line="98" w:lineRule="exact"/>
              <w:rPr>
                <w:sz w:val="20"/>
                <w:szCs w:val="20"/>
                <w:color w:val="auto"/>
              </w:rPr>
            </w:pPr>
            <w:r>
              <w:rPr>
                <w:rFonts w:ascii="Arial" w:cs="Arial" w:eastAsia="Arial" w:hAnsi="Arial"/>
                <w:sz w:val="9"/>
                <w:szCs w:val="9"/>
                <w:b w:val="1"/>
                <w:bCs w:val="1"/>
                <w:color w:val="auto"/>
                <w:w w:val="93"/>
              </w:rPr>
              <w:t>(Effective</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(Effective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3"/>
              </w:rPr>
              <w:t>(Effective</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from Effectiveness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89"/>
              </w:rPr>
              <w:t>Effectiveness</w:t>
            </w:r>
          </w:p>
        </w:tc>
        <w:tc>
          <w:tcPr>
            <w:tcW w:w="0" w:type="dxa"/>
            <w:vAlign w:val="bottom"/>
          </w:tcPr>
          <w:p>
            <w:pPr>
              <w:spacing w:after="0"/>
              <w:rPr>
                <w:sz w:val="1"/>
                <w:szCs w:val="1"/>
                <w:color w:val="auto"/>
              </w:rPr>
            </w:pPr>
          </w:p>
        </w:tc>
      </w:tr>
      <w:tr>
        <w:trPr>
          <w:trHeight w:val="111"/>
        </w:trPr>
        <w:tc>
          <w:tcPr>
            <w:tcW w:w="25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Relationships</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9"/>
                <w:szCs w:val="9"/>
                <w:b w:val="1"/>
                <w:bCs w:val="1"/>
                <w:color w:val="auto"/>
                <w:w w:val="98"/>
              </w:rPr>
              <w:t>Portion)</w:t>
            </w:r>
          </w:p>
        </w:tc>
        <w:tc>
          <w:tcPr>
            <w:tcW w:w="400" w:type="dxa"/>
            <w:vAlign w:val="bottom"/>
          </w:tcPr>
          <w:p>
            <w:pPr>
              <w:spacing w:after="0"/>
              <w:rPr>
                <w:sz w:val="9"/>
                <w:szCs w:val="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Portion)</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w w:val="98"/>
              </w:rPr>
              <w:t>Portion)</w:t>
            </w:r>
          </w:p>
        </w:tc>
        <w:tc>
          <w:tcPr>
            <w:tcW w:w="380" w:type="dxa"/>
            <w:vAlign w:val="bottom"/>
          </w:tcPr>
          <w:p>
            <w:pPr>
              <w:spacing w:after="0"/>
              <w:rPr>
                <w:sz w:val="9"/>
                <w:szCs w:val="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Testing)</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w w:val="91"/>
              </w:rPr>
              <w:t>Testing)</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gridSpan w:val="3"/>
          </w:tcPr>
          <w:p>
            <w:pPr>
              <w:jc w:val="right"/>
              <w:ind w:right="132"/>
              <w:spacing w:after="0"/>
              <w:rPr>
                <w:sz w:val="20"/>
                <w:szCs w:val="20"/>
                <w:color w:val="auto"/>
              </w:rPr>
            </w:pPr>
            <w:r>
              <w:rPr>
                <w:rFonts w:ascii="Arial" w:cs="Arial" w:eastAsia="Arial" w:hAnsi="Arial"/>
                <w:sz w:val="9"/>
                <w:szCs w:val="9"/>
                <w:b w:val="1"/>
                <w:bCs w:val="1"/>
                <w:color w:val="auto"/>
                <w:w w:val="96"/>
              </w:rPr>
              <w:t>(In thousands)</w:t>
            </w: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Cost of product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20"/>
                <w:szCs w:val="20"/>
                <w:color w:val="auto"/>
              </w:rPr>
            </w:pPr>
            <w:r>
              <w:rPr>
                <w:rFonts w:ascii="Arial" w:cs="Arial" w:eastAsia="Arial" w:hAnsi="Arial"/>
                <w:sz w:val="12"/>
                <w:szCs w:val="12"/>
                <w:color w:val="auto"/>
              </w:rPr>
              <w:t>Foreign currency forward contracts</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182</w:t>
            </w:r>
          </w:p>
        </w:tc>
        <w:tc>
          <w:tcPr>
            <w:tcW w:w="400" w:type="dxa"/>
            <w:vAlign w:val="bottom"/>
          </w:tcPr>
          <w:p>
            <w:pPr>
              <w:spacing w:after="0"/>
              <w:rPr>
                <w:sz w:val="12"/>
                <w:szCs w:val="12"/>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revenues</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2"/>
                <w:szCs w:val="12"/>
                <w:color w:val="auto"/>
              </w:rPr>
              <w:t>857</w:t>
            </w:r>
          </w:p>
        </w:tc>
        <w:tc>
          <w:tcPr>
            <w:tcW w:w="2000" w:type="dxa"/>
            <w:vAlign w:val="bottom"/>
          </w:tcPr>
          <w:p>
            <w:pPr>
              <w:spacing w:after="0"/>
              <w:rPr>
                <w:sz w:val="20"/>
                <w:szCs w:val="20"/>
                <w:color w:val="auto"/>
              </w:rPr>
            </w:pPr>
            <w:r>
              <w:rPr>
                <w:rFonts w:ascii="Arial" w:cs="Arial" w:eastAsia="Arial" w:hAnsi="Arial"/>
                <w:sz w:val="12"/>
                <w:szCs w:val="12"/>
                <w:color w:val="auto"/>
              </w:rPr>
              <w:t>Not applicable</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00" w:type="dxa"/>
            <w:vAlign w:val="bottom"/>
            <w:vMerge w:val="continue"/>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182</w:t>
            </w: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2"/>
                <w:szCs w:val="12"/>
                <w:color w:val="auto"/>
              </w:rPr>
              <w:t>857</w:t>
            </w:r>
          </w:p>
        </w:tc>
        <w:tc>
          <w:tcPr>
            <w:tcW w:w="20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year 2010, the Company did not settle any foreign currency forward contracts.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effects of foreign currency forward contracts in cash flow hedging relationships during fiscal year 2009 were as follows: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12"/>
              <w:spacing w:after="0"/>
              <w:rPr>
                <w:sz w:val="20"/>
                <w:szCs w:val="20"/>
                <w:color w:val="auto"/>
              </w:rPr>
            </w:pPr>
            <w:r>
              <w:rPr>
                <w:rFonts w:ascii="Arial" w:cs="Arial" w:eastAsia="Arial" w:hAnsi="Arial"/>
                <w:sz w:val="9"/>
                <w:szCs w:val="9"/>
                <w:b w:val="1"/>
                <w:bCs w:val="1"/>
                <w:color w:val="auto"/>
                <w:w w:val="93"/>
              </w:rPr>
              <w:t>Amount of</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12"/>
              <w:spacing w:after="0" w:line="98" w:lineRule="exact"/>
              <w:rPr>
                <w:sz w:val="20"/>
                <w:szCs w:val="20"/>
                <w:color w:val="auto"/>
              </w:rPr>
            </w:pPr>
            <w:r>
              <w:rPr>
                <w:rFonts w:ascii="Arial" w:cs="Arial" w:eastAsia="Arial" w:hAnsi="Arial"/>
                <w:sz w:val="9"/>
                <w:szCs w:val="9"/>
                <w:b w:val="1"/>
                <w:bCs w:val="1"/>
                <w:color w:val="auto"/>
                <w:w w:val="95"/>
              </w:rPr>
              <w:t>Gain or</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88"/>
              </w:rPr>
              <w:t>(Loss)</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99"/>
              </w:rPr>
              <w:t>Amount</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Location of</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3"/>
              </w:rPr>
              <w:t>Amount of</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Location of Gain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87"/>
              </w:rPr>
              <w:t>Recognized</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98"/>
              </w:rPr>
              <w:t>of Gain or</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Gain or</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5"/>
              </w:rPr>
              <w:t>Gain or</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or (Loss)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3"/>
              </w:rPr>
              <w:t>in Income on</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81"/>
              </w:rPr>
              <w:t>(Loss)</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(Loss)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88"/>
              </w:rPr>
              <w:t>(Loss)</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Recognized 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2"/>
              </w:rPr>
              <w:t>Derivative</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90"/>
              </w:rPr>
              <w:t>Recognized</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7"/>
              </w:rPr>
              <w:t>Reclassified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87"/>
              </w:rPr>
              <w:t>Reclassified</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Income on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2"/>
              </w:rPr>
              <w:t>(Ineffective</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92"/>
              </w:rPr>
              <w:t>in Accumulated</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from</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89"/>
              </w:rPr>
              <w:t>from</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Derivative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5"/>
              </w:rPr>
              <w:t>Portion and</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rPr>
              <w:t>OCI</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1"/>
              </w:rPr>
              <w:t>Accumulated</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(Ineffective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3"/>
              </w:rPr>
              <w:t>Amount</w:t>
            </w: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90"/>
              </w:rPr>
              <w:t>on</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OCI into</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6"/>
              </w:rPr>
              <w:t>OCI into</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Portion and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89"/>
              </w:rPr>
              <w:t>Excluded</w:t>
            </w:r>
          </w:p>
        </w:tc>
        <w:tc>
          <w:tcPr>
            <w:tcW w:w="0" w:type="dxa"/>
            <w:vAlign w:val="bottom"/>
          </w:tcPr>
          <w:p>
            <w:pPr>
              <w:spacing w:after="0"/>
              <w:rPr>
                <w:sz w:val="1"/>
                <w:szCs w:val="1"/>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Derivatives in Cash</w:t>
            </w: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95"/>
              </w:rPr>
              <w:t>Derivatives</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5"/>
              </w:rPr>
              <w:t>Income</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Amount Excluded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99"/>
              </w:rPr>
              <w:t>from</w:t>
            </w:r>
          </w:p>
        </w:tc>
        <w:tc>
          <w:tcPr>
            <w:tcW w:w="0" w:type="dxa"/>
            <w:vAlign w:val="bottom"/>
          </w:tcPr>
          <w:p>
            <w:pPr>
              <w:spacing w:after="0"/>
              <w:rPr>
                <w:sz w:val="1"/>
                <w:szCs w:val="1"/>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Flow Hedging</w:t>
            </w:r>
          </w:p>
        </w:tc>
        <w:tc>
          <w:tcPr>
            <w:tcW w:w="120" w:type="dxa"/>
            <w:vAlign w:val="bottom"/>
          </w:tcPr>
          <w:p>
            <w:pPr>
              <w:spacing w:after="0"/>
              <w:rPr>
                <w:sz w:val="8"/>
                <w:szCs w:val="8"/>
                <w:color w:val="auto"/>
              </w:rPr>
            </w:pPr>
          </w:p>
        </w:tc>
        <w:tc>
          <w:tcPr>
            <w:tcW w:w="7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93"/>
              </w:rPr>
              <w:t>(Effective</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(Effective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3"/>
              </w:rPr>
              <w:t>(Effective</w:t>
            </w:r>
          </w:p>
        </w:tc>
        <w:tc>
          <w:tcPr>
            <w:tcW w:w="20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from Effectiveness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32"/>
              <w:spacing w:after="0" w:line="98" w:lineRule="exact"/>
              <w:rPr>
                <w:sz w:val="20"/>
                <w:szCs w:val="20"/>
                <w:color w:val="auto"/>
              </w:rPr>
            </w:pPr>
            <w:r>
              <w:rPr>
                <w:rFonts w:ascii="Arial" w:cs="Arial" w:eastAsia="Arial" w:hAnsi="Arial"/>
                <w:sz w:val="9"/>
                <w:szCs w:val="9"/>
                <w:b w:val="1"/>
                <w:bCs w:val="1"/>
                <w:color w:val="auto"/>
                <w:w w:val="89"/>
              </w:rPr>
              <w:t>Effectiveness</w:t>
            </w:r>
          </w:p>
        </w:tc>
        <w:tc>
          <w:tcPr>
            <w:tcW w:w="0" w:type="dxa"/>
            <w:vAlign w:val="bottom"/>
          </w:tcPr>
          <w:p>
            <w:pPr>
              <w:spacing w:after="0"/>
              <w:rPr>
                <w:sz w:val="1"/>
                <w:szCs w:val="1"/>
                <w:color w:val="auto"/>
              </w:rPr>
            </w:pPr>
          </w:p>
        </w:tc>
      </w:tr>
      <w:tr>
        <w:trPr>
          <w:trHeight w:val="111"/>
        </w:trPr>
        <w:tc>
          <w:tcPr>
            <w:tcW w:w="25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Relationships</w:t>
            </w:r>
          </w:p>
        </w:tc>
        <w:tc>
          <w:tcPr>
            <w:tcW w:w="120" w:type="dxa"/>
            <w:vAlign w:val="bottom"/>
          </w:tcPr>
          <w:p>
            <w:pPr>
              <w:spacing w:after="0"/>
              <w:rPr>
                <w:sz w:val="9"/>
                <w:szCs w:val="9"/>
                <w:color w:val="auto"/>
              </w:rPr>
            </w:pPr>
          </w:p>
        </w:tc>
        <w:tc>
          <w:tcPr>
            <w:tcW w:w="780" w:type="dxa"/>
            <w:vAlign w:val="bottom"/>
            <w:tcBorders>
              <w:bottom w:val="single" w:sz="8" w:color="auto"/>
            </w:tcBorders>
          </w:tcPr>
          <w:p>
            <w:pPr>
              <w:jc w:val="center"/>
              <w:ind w:left="74"/>
              <w:spacing w:after="0"/>
              <w:rPr>
                <w:sz w:val="20"/>
                <w:szCs w:val="20"/>
                <w:color w:val="auto"/>
              </w:rPr>
            </w:pPr>
            <w:r>
              <w:rPr>
                <w:rFonts w:ascii="Arial" w:cs="Arial" w:eastAsia="Arial" w:hAnsi="Arial"/>
                <w:sz w:val="9"/>
                <w:szCs w:val="9"/>
                <w:b w:val="1"/>
                <w:bCs w:val="1"/>
                <w:color w:val="auto"/>
                <w:w w:val="98"/>
              </w:rPr>
              <w:t>Portion)</w:t>
            </w:r>
          </w:p>
        </w:tc>
        <w:tc>
          <w:tcPr>
            <w:tcW w:w="1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Portion)</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w w:val="98"/>
              </w:rPr>
              <w:t>Portion)</w:t>
            </w:r>
          </w:p>
        </w:tc>
        <w:tc>
          <w:tcPr>
            <w:tcW w:w="380" w:type="dxa"/>
            <w:vAlign w:val="bottom"/>
          </w:tcPr>
          <w:p>
            <w:pPr>
              <w:spacing w:after="0"/>
              <w:rPr>
                <w:sz w:val="9"/>
                <w:szCs w:val="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Testing)</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w w:val="91"/>
              </w:rPr>
              <w:t>Testing)</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gridSpan w:val="3"/>
          </w:tcPr>
          <w:p>
            <w:pPr>
              <w:ind w:left="40"/>
              <w:spacing w:after="0"/>
              <w:rPr>
                <w:sz w:val="20"/>
                <w:szCs w:val="20"/>
                <w:color w:val="auto"/>
              </w:rPr>
            </w:pPr>
            <w:r>
              <w:rPr>
                <w:rFonts w:ascii="Arial" w:cs="Arial" w:eastAsia="Arial" w:hAnsi="Arial"/>
                <w:sz w:val="9"/>
                <w:szCs w:val="9"/>
                <w:b w:val="1"/>
                <w:bCs w:val="1"/>
                <w:color w:val="auto"/>
              </w:rPr>
              <w:t>(In thousands)</w:t>
            </w: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Cost of product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20"/>
                <w:szCs w:val="20"/>
                <w:color w:val="auto"/>
              </w:rPr>
            </w:pPr>
            <w:r>
              <w:rPr>
                <w:rFonts w:ascii="Arial" w:cs="Arial" w:eastAsia="Arial" w:hAnsi="Arial"/>
                <w:sz w:val="12"/>
                <w:szCs w:val="12"/>
                <w:color w:val="auto"/>
              </w:rPr>
              <w:t>Foreign currency forward contracts</w:t>
            </w:r>
          </w:p>
        </w:tc>
        <w:tc>
          <w:tcPr>
            <w:tcW w:w="900" w:type="dxa"/>
            <w:vAlign w:val="bottom"/>
            <w:gridSpan w:val="2"/>
          </w:tcPr>
          <w:p>
            <w:pPr>
              <w:jc w:val="right"/>
              <w:ind w:right="674"/>
              <w:spacing w:after="0"/>
              <w:rPr>
                <w:sz w:val="20"/>
                <w:szCs w:val="20"/>
                <w:color w:val="auto"/>
              </w:rPr>
            </w:pPr>
            <w:r>
              <w:rPr>
                <w:rFonts w:ascii="Arial" w:cs="Arial" w:eastAsia="Arial" w:hAnsi="Arial"/>
                <w:sz w:val="12"/>
                <w:szCs w:val="12"/>
                <w:color w:val="auto"/>
              </w:rPr>
              <w:t>$</w:t>
            </w:r>
          </w:p>
        </w:tc>
        <w:tc>
          <w:tcPr>
            <w:tcW w:w="520" w:type="dxa"/>
            <w:vAlign w:val="bottom"/>
            <w:gridSpan w:val="2"/>
          </w:tcPr>
          <w:p>
            <w:pPr>
              <w:spacing w:after="0"/>
              <w:rPr>
                <w:sz w:val="20"/>
                <w:szCs w:val="20"/>
                <w:color w:val="auto"/>
              </w:rPr>
            </w:pPr>
            <w:r>
              <w:rPr>
                <w:rFonts w:ascii="Arial" w:cs="Arial" w:eastAsia="Arial" w:hAnsi="Arial"/>
                <w:sz w:val="12"/>
                <w:szCs w:val="12"/>
                <w:color w:val="auto"/>
              </w:rPr>
              <w:t>—</w:t>
            </w:r>
          </w:p>
        </w:tc>
        <w:tc>
          <w:tcPr>
            <w:tcW w:w="2000" w:type="dxa"/>
            <w:vAlign w:val="bottom"/>
          </w:tcPr>
          <w:p>
            <w:pPr>
              <w:ind w:left="20"/>
              <w:spacing w:after="0"/>
              <w:rPr>
                <w:sz w:val="20"/>
                <w:szCs w:val="20"/>
                <w:color w:val="auto"/>
              </w:rPr>
            </w:pPr>
            <w:r>
              <w:rPr>
                <w:rFonts w:ascii="Arial" w:cs="Arial" w:eastAsia="Arial" w:hAnsi="Arial"/>
                <w:sz w:val="12"/>
                <w:szCs w:val="12"/>
                <w:color w:val="auto"/>
              </w:rPr>
              <w:t>revenues</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2"/>
                <w:szCs w:val="12"/>
                <w:color w:val="auto"/>
              </w:rPr>
              <w:t>(268)</w:t>
            </w:r>
          </w:p>
        </w:tc>
        <w:tc>
          <w:tcPr>
            <w:tcW w:w="2000" w:type="dxa"/>
            <w:vAlign w:val="bottom"/>
          </w:tcPr>
          <w:p>
            <w:pPr>
              <w:spacing w:after="0"/>
              <w:rPr>
                <w:sz w:val="20"/>
                <w:szCs w:val="20"/>
                <w:color w:val="auto"/>
              </w:rPr>
            </w:pPr>
            <w:r>
              <w:rPr>
                <w:rFonts w:ascii="Arial" w:cs="Arial" w:eastAsia="Arial" w:hAnsi="Arial"/>
                <w:sz w:val="12"/>
                <w:szCs w:val="12"/>
                <w:color w:val="auto"/>
              </w:rPr>
              <w:t>Not applicable</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00" w:type="dxa"/>
            <w:vAlign w:val="bottom"/>
            <w:vMerge w:val="continue"/>
          </w:tcPr>
          <w:p>
            <w:pPr>
              <w:spacing w:after="0"/>
              <w:rPr>
                <w:sz w:val="13"/>
                <w:szCs w:val="13"/>
                <w:color w:val="auto"/>
              </w:rPr>
            </w:pPr>
          </w:p>
        </w:tc>
        <w:tc>
          <w:tcPr>
            <w:tcW w:w="900" w:type="dxa"/>
            <w:vAlign w:val="bottom"/>
            <w:gridSpan w:val="2"/>
          </w:tcPr>
          <w:p>
            <w:pPr>
              <w:jc w:val="right"/>
              <w:ind w:right="674"/>
              <w:spacing w:after="0"/>
              <w:rPr>
                <w:sz w:val="20"/>
                <w:szCs w:val="20"/>
                <w:color w:val="auto"/>
              </w:rPr>
            </w:pPr>
            <w:r>
              <w:rPr>
                <w:rFonts w:ascii="Arial" w:cs="Arial" w:eastAsia="Arial" w:hAnsi="Arial"/>
                <w:sz w:val="12"/>
                <w:szCs w:val="12"/>
                <w:color w:val="auto"/>
              </w:rPr>
              <w:t>$</w:t>
            </w:r>
          </w:p>
        </w:tc>
        <w:tc>
          <w:tcPr>
            <w:tcW w:w="520" w:type="dxa"/>
            <w:vAlign w:val="bottom"/>
            <w:gridSpan w:val="2"/>
          </w:tcPr>
          <w:p>
            <w:pPr>
              <w:spacing w:after="0"/>
              <w:rPr>
                <w:sz w:val="20"/>
                <w:szCs w:val="20"/>
                <w:color w:val="auto"/>
              </w:rPr>
            </w:pPr>
            <w:r>
              <w:rPr>
                <w:rFonts w:ascii="Arial" w:cs="Arial" w:eastAsia="Arial" w:hAnsi="Arial"/>
                <w:sz w:val="12"/>
                <w:szCs w:val="12"/>
                <w:color w:val="auto"/>
              </w:rPr>
              <w:t>—</w:t>
            </w:r>
          </w:p>
        </w:tc>
        <w:tc>
          <w:tcPr>
            <w:tcW w:w="20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2"/>
                <w:szCs w:val="12"/>
                <w:color w:val="auto"/>
              </w:rPr>
              <w:t>(268)</w:t>
            </w:r>
          </w:p>
        </w:tc>
        <w:tc>
          <w:tcPr>
            <w:tcW w:w="20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At April 1, 2011, the estimated net existing income that is expected to be reclassified into income within the next twelve months is approximately $0.2 million. Foreign currency forward contracts usually mature within approximately twelve months from their inception. There were no gains or losses from ineffectiveness of these derivative instruments recorded for fiscal years 2011, 2010 and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 substantial portion of the Company’s revenues are derived from long-term contracts requiring development and delivery of complex equipment built to customer specifications. Sales related to long-term contracts are accounted for under the authoritative guidance for the percentage-of-completion method of accounting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June 2010, the Company performed extensive integration testing of numerous system components that had been separately developed as part of a government satellite communication program. As a result of this testing and subsequent internal reviews and analyses, the Company determined that significant additional rework was required in order to complete the program requirements and specifications and to prepare for a scheduled customer test in the Company’s fiscal second quarter. This additional rework and engineering effort resulted in a substantial increase in estimated labor and material costs to complete the program. Accordingly, the Company recorded an additional forward loss of $8.5 million in the three months ended July 2, 2010 related to this estimate of program costs. While the Company believes the additional forward loss is adequate to cover known risks to date and that steps taken to improve the program performance will be effective, the program is ongoing and the Company’s efforts and the end results must be satisfactory to the customer. The Company believes that its estimate of costs to complete the program is appropriate based on known information, however, additional future losses could be required. Including</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this program, in fiscal years 2011, 2010 and 2009, the Company recorded losses of approximately $12.1 million, $9.3 million and $5.4 million, respectively, related to loss contracts.</w:t>
      </w:r>
    </w:p>
    <w:p>
      <w:pPr>
        <w:spacing w:after="0" w:line="10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also derives a substantial portion of its revenues from contracts and purchase orders where revenue is recorded on delivery of products or performance of services in accordance with authoritative guidance for revenue recognition (ASC 605). Under this standard, the Company recognizes revenue when an arrangement exists, prices are determinable, collectability is reasonably assured and the goods or services have been delivered.</w:t>
      </w:r>
    </w:p>
    <w:p>
      <w:pPr>
        <w:spacing w:after="0" w:line="67"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property to the lessee by the end of the lease term, (2) review of the lease terms to determine if it contains an option to purchase the leased property for a price which is sufficiently lower than the expected fair value of the property at the date of the option, (3) review of the lease term to determine if it is equal to or greater than 75% of the economic life of the equipment and</w:t>
      </w:r>
    </w:p>
    <w:p>
      <w:pPr>
        <w:spacing w:after="0" w:line="1" w:lineRule="exact"/>
        <w:rPr>
          <w:sz w:val="20"/>
          <w:szCs w:val="20"/>
          <w:color w:val="auto"/>
        </w:rPr>
      </w:pPr>
    </w:p>
    <w:p>
      <w:pPr>
        <w:jc w:val="both"/>
        <w:ind w:left="680" w:right="100" w:firstLine="7"/>
        <w:spacing w:after="0" w:line="284" w:lineRule="auto"/>
        <w:tabs>
          <w:tab w:leader="none" w:pos="866"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5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When a sale involves multiple elements, such as sales of products that include services, the entire fee from the arrangement is allocated to each respective element based on its relative fair value in accordance with authoritative guidance for accounting for multiple element revenue arrangements, (ASC 605-25), and recognized when the applicable revenue recognition criteria for each element have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of fair value for those elements could affect the timing of the revenue recognition.</w:t>
      </w:r>
    </w:p>
    <w:p>
      <w:pPr>
        <w:spacing w:after="0" w:line="71"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In accordance with authoritative guidance for shipping and handling fees and costs (ASC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35" w:lineRule="exact"/>
        <w:rPr>
          <w:sz w:val="20"/>
          <w:szCs w:val="20"/>
          <w:color w:val="auto"/>
        </w:rPr>
      </w:pPr>
    </w:p>
    <w:p>
      <w:pPr>
        <w:jc w:val="both"/>
        <w:ind w:left="680" w:right="380" w:firstLine="399"/>
        <w:spacing w:after="0" w:line="371" w:lineRule="auto"/>
        <w:rPr>
          <w:sz w:val="20"/>
          <w:szCs w:val="20"/>
          <w:color w:val="auto"/>
        </w:rPr>
      </w:pPr>
      <w:r>
        <w:rPr>
          <w:rFonts w:ascii="Arial" w:cs="Arial" w:eastAsia="Arial" w:hAnsi="Arial"/>
          <w:sz w:val="11"/>
          <w:szCs w:val="11"/>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1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Contract costs on U.S. government contracts are subject to audit and negotiations with U.S. government representatives. The Company’s incurred cost audits by the DCAA have not been completed for fiscal year 2003 and subsequent fiscal years. Although the Company has recorded contract revenues subsequent to fiscal year 2002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In the fourth quarter of fiscal year 2011, based on recent events, including communications with the DCMA, changes in the regulatory environment for federal government contractors and the status of current government audits, the Company recorded an additional $5.0 million in contract-related reserves for its estimate of potential refunds to customers for potential cost adjustments on several multi-year U.S. government cost reimbursable contracts, bringing the Company’s total</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reserve to $6.7 million as of April 1, 2011. This reserve is classified as either an element of accrued liabilities or as a reduction of unbilled accounts receivable based on status of related contracts.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Commissions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compensate third parties based on specific commission programs directly related to certain product and service sales. These commission costs are recorded as an element of selling, general and administrative expense as incurred.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accordance with the authoritative guidance for share-based payments (ASC 718), the Company measures stock-based compensation cost at the grant date, based on the estimated fair value of the award, and recognizes expense over the employee’s requisite service period. Stock-based compensation expense is recognized in the consolidated statement of operations for fiscal years 2011, 2010 and 2009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stock-based compensation expense recognized in accordance with the authoritative guidance for share-based payments was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Fiscal Years Ended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April 1, 2011</w:t>
            </w:r>
          </w:p>
        </w:tc>
        <w:tc>
          <w:tcPr>
            <w:tcW w:w="100" w:type="dxa"/>
            <w:vAlign w:val="bottom"/>
          </w:tcPr>
          <w:p>
            <w:pPr>
              <w:spacing w:after="0"/>
              <w:rPr>
                <w:sz w:val="8"/>
                <w:szCs w:val="8"/>
                <w:color w:val="auto"/>
              </w:rPr>
            </w:pPr>
          </w:p>
        </w:tc>
        <w:tc>
          <w:tcPr>
            <w:tcW w:w="120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April 2, 2010</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April 3, 2009</w:t>
            </w:r>
          </w:p>
        </w:tc>
        <w:tc>
          <w:tcPr>
            <w:tcW w:w="100" w:type="dxa"/>
            <w:vAlign w:val="bottom"/>
          </w:tcPr>
          <w:p>
            <w:pPr>
              <w:spacing w:after="0"/>
              <w:rPr>
                <w:sz w:val="8"/>
                <w:szCs w:val="8"/>
                <w:color w:val="auto"/>
              </w:rPr>
            </w:pPr>
          </w:p>
        </w:tc>
      </w:tr>
      <w:tr>
        <w:trPr>
          <w:trHeight w:val="131"/>
        </w:trPr>
        <w:tc>
          <w:tcPr>
            <w:tcW w:w="6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 before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17,440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9,837</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Related income tax benefits</w:t>
            </w:r>
          </w:p>
        </w:tc>
        <w:tc>
          <w:tcPr>
            <w:tcW w:w="12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(6,511)</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(4,429)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(3,518)</w:t>
            </w:r>
          </w:p>
        </w:tc>
      </w:tr>
      <w:tr>
        <w:trPr>
          <w:trHeight w:val="20"/>
        </w:trPr>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 net of taxes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10,929</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6,319</w:t>
            </w:r>
          </w:p>
        </w:tc>
      </w:tr>
      <w:tr>
        <w:trPr>
          <w:trHeight w:val="29"/>
        </w:trPr>
        <w:tc>
          <w:tcPr>
            <w:tcW w:w="6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fiscal year 2011 the Company recorded an incremental tax benefit from stock options exercised and restricted stock unit awards vesting of $0.9 million which was classified as part of cash flows from financing activities in the consolidated statements of cash flows. For fiscal year 2010 the Company recorded no incremental tax benefits from stock options exercised and restricted stock unit award vesting as the excess tax benefit from stock options exercised and restricted stock unit award vesting increased the Company’s net operating loss carryforward. For fiscal year 2009 the Company recorded an incremental tax benefit from stock options exercised and restricted stock unit awards vesting of $0.3 million which was classified as part of cash flows from financing activities in the consolidated statements of cash flows.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has no awards with market or performance conditions. On April 1, 2011, the Company had one principal equity compensation plan and employee stock purchase plan described below. The compensation cost that has been charged against income for the equity plan under the authoritative guidance for share-based payments was $16.2 million, $10.9 million and $8.7 million, and for the stock purchase plan was $1.2 million, $1.3 million and $1.1 million, for the fiscal years ended April 1, 2011, April 2, 2010 and April 3, 2009, respectively. There was no material compensation cost capitalized as part of the cost of an asset for fiscal years 2011, 2010 and 2009.</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As of April 1, 2011, there was total unrecognized compensation cost related to unvested stock-based compensation arrangements granted under the Equity Participation Plan (including stock options and restricted stock units) and the Employee Stock Purchase Plan of $47.2 million and $0.3 million, respectively. These costs are expected to be recognized over a weighted average period of 2.5 years, 2.7 years and less than six months for stock options, restricted stock units and the Employee Stock Purchase Plan, respectively. The total fair value of shares vested during the fiscal years ended April 1, 2011, April 2, 2010 and April 3, 2009, including stock options and restricted stock units, was $15.3 million, $9.3 million and $6.3 million, respectively.</w:t>
      </w:r>
    </w:p>
    <w:p>
      <w:pPr>
        <w:spacing w:after="0" w:line="71"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Stock options and employee stock purchase plan. </w:t>
      </w:r>
      <w:r>
        <w:rPr>
          <w:rFonts w:ascii="Arial" w:cs="Arial" w:eastAsia="Arial" w:hAnsi="Arial"/>
          <w:sz w:val="13"/>
          <w:szCs w:val="13"/>
          <w:color w:val="auto"/>
        </w:rPr>
        <w:t>The Company’s employee stock options typically have a simple four-year vesting schedule and a six to ten year contractual term.</w:t>
      </w:r>
      <w:r>
        <w:rPr>
          <w:rFonts w:ascii="Arial" w:cs="Arial" w:eastAsia="Arial" w:hAnsi="Arial"/>
          <w:sz w:val="13"/>
          <w:szCs w:val="13"/>
          <w:i w:val="1"/>
          <w:iCs w:val="1"/>
          <w:color w:val="auto"/>
        </w:rPr>
        <w:t xml:space="preserve"> </w:t>
      </w:r>
      <w:r>
        <w:rPr>
          <w:rFonts w:ascii="Arial" w:cs="Arial" w:eastAsia="Arial" w:hAnsi="Arial"/>
          <w:sz w:val="13"/>
          <w:szCs w:val="13"/>
          <w:color w:val="auto"/>
        </w:rPr>
        <w:t>The weighted average estimated fair value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of employee stock options granted and employee stock purchase plan shares issued during fiscal year 2011 was $14.24 and $8.55 per share, respectively, during fiscal year 2010 was $10.55 and $7.84 per share, respectively, and during fiscal year 2009 was $7.24 and $6.70 per share, respectively, using the Black-Scholes model with the following weighted average assumptions (annualized percentages):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7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90"/>
              </w:rPr>
              <w:t>Employee Stock Options</w:t>
            </w: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90"/>
              </w:rPr>
              <w:t>Employee Stock Purchase Plan</w:t>
            </w:r>
          </w:p>
        </w:tc>
        <w:tc>
          <w:tcPr>
            <w:tcW w:w="800" w:type="dxa"/>
            <w:vAlign w:val="bottom"/>
            <w:tcBorders>
              <w:bottom w:val="single" w:sz="8" w:color="auto"/>
            </w:tcBorders>
          </w:tcPr>
          <w:p>
            <w:pPr>
              <w:spacing w:after="0"/>
              <w:rPr>
                <w:sz w:val="9"/>
                <w:szCs w:val="9"/>
                <w:color w:val="auto"/>
              </w:rPr>
            </w:pPr>
          </w:p>
        </w:tc>
      </w:tr>
      <w:tr>
        <w:trPr>
          <w:trHeight w:val="75"/>
        </w:trPr>
        <w:tc>
          <w:tcPr>
            <w:tcW w:w="3720" w:type="dxa"/>
            <w:vAlign w:val="bottom"/>
          </w:tcPr>
          <w:p>
            <w:pPr>
              <w:spacing w:after="0"/>
              <w:rPr>
                <w:sz w:val="6"/>
                <w:szCs w:val="6"/>
                <w:color w:val="auto"/>
              </w:rPr>
            </w:pPr>
          </w:p>
        </w:tc>
        <w:tc>
          <w:tcPr>
            <w:tcW w:w="800" w:type="dxa"/>
            <w:vAlign w:val="bottom"/>
          </w:tcPr>
          <w:p>
            <w:pPr>
              <w:ind w:left="180"/>
              <w:spacing w:after="0" w:line="75" w:lineRule="exact"/>
              <w:rPr>
                <w:sz w:val="20"/>
                <w:szCs w:val="20"/>
                <w:color w:val="auto"/>
              </w:rPr>
            </w:pPr>
            <w:r>
              <w:rPr>
                <w:rFonts w:ascii="Arial" w:cs="Arial" w:eastAsia="Arial" w:hAnsi="Arial"/>
                <w:sz w:val="8"/>
                <w:szCs w:val="8"/>
                <w:b w:val="1"/>
                <w:bCs w:val="1"/>
                <w:color w:val="auto"/>
              </w:rPr>
              <w:t>Fiscal Year</w:t>
            </w:r>
          </w:p>
        </w:tc>
        <w:tc>
          <w:tcPr>
            <w:tcW w:w="300" w:type="dxa"/>
            <w:vAlign w:val="bottom"/>
          </w:tcPr>
          <w:p>
            <w:pPr>
              <w:spacing w:after="0"/>
              <w:rPr>
                <w:sz w:val="6"/>
                <w:szCs w:val="6"/>
                <w:color w:val="auto"/>
              </w:rPr>
            </w:pPr>
          </w:p>
        </w:tc>
        <w:tc>
          <w:tcPr>
            <w:tcW w:w="110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Fiscal Year</w:t>
            </w:r>
          </w:p>
        </w:tc>
        <w:tc>
          <w:tcPr>
            <w:tcW w:w="800" w:type="dxa"/>
            <w:vAlign w:val="bottom"/>
          </w:tcPr>
          <w:p>
            <w:pPr>
              <w:ind w:left="180"/>
              <w:spacing w:after="0" w:line="75" w:lineRule="exact"/>
              <w:rPr>
                <w:sz w:val="20"/>
                <w:szCs w:val="20"/>
                <w:color w:val="auto"/>
              </w:rPr>
            </w:pPr>
            <w:r>
              <w:rPr>
                <w:rFonts w:ascii="Arial" w:cs="Arial" w:eastAsia="Arial" w:hAnsi="Arial"/>
                <w:sz w:val="8"/>
                <w:szCs w:val="8"/>
                <w:b w:val="1"/>
                <w:bCs w:val="1"/>
                <w:color w:val="auto"/>
              </w:rPr>
              <w:t>Fiscal Year</w:t>
            </w:r>
          </w:p>
        </w:tc>
        <w:tc>
          <w:tcPr>
            <w:tcW w:w="280" w:type="dxa"/>
            <w:vAlign w:val="bottom"/>
          </w:tcPr>
          <w:p>
            <w:pPr>
              <w:spacing w:after="0"/>
              <w:rPr>
                <w:sz w:val="6"/>
                <w:szCs w:val="6"/>
                <w:color w:val="auto"/>
              </w:rPr>
            </w:pPr>
          </w:p>
        </w:tc>
        <w:tc>
          <w:tcPr>
            <w:tcW w:w="800" w:type="dxa"/>
            <w:vAlign w:val="bottom"/>
          </w:tcPr>
          <w:p>
            <w:pPr>
              <w:ind w:left="180"/>
              <w:spacing w:after="0" w:line="75" w:lineRule="exact"/>
              <w:rPr>
                <w:sz w:val="20"/>
                <w:szCs w:val="20"/>
                <w:color w:val="auto"/>
              </w:rPr>
            </w:pPr>
            <w:r>
              <w:rPr>
                <w:rFonts w:ascii="Arial" w:cs="Arial" w:eastAsia="Arial" w:hAnsi="Arial"/>
                <w:sz w:val="8"/>
                <w:szCs w:val="8"/>
                <w:b w:val="1"/>
                <w:bCs w:val="1"/>
                <w:color w:val="auto"/>
              </w:rPr>
              <w:t>Fiscal Year</w:t>
            </w:r>
          </w:p>
        </w:tc>
        <w:tc>
          <w:tcPr>
            <w:tcW w:w="300" w:type="dxa"/>
            <w:vAlign w:val="bottom"/>
          </w:tcPr>
          <w:p>
            <w:pPr>
              <w:spacing w:after="0"/>
              <w:rPr>
                <w:sz w:val="6"/>
                <w:szCs w:val="6"/>
                <w:color w:val="auto"/>
              </w:rPr>
            </w:pPr>
          </w:p>
        </w:tc>
        <w:tc>
          <w:tcPr>
            <w:tcW w:w="1080" w:type="dxa"/>
            <w:vAlign w:val="bottom"/>
            <w:gridSpan w:val="2"/>
          </w:tcPr>
          <w:p>
            <w:pPr>
              <w:jc w:val="center"/>
              <w:ind w:right="280"/>
              <w:spacing w:after="0" w:line="75" w:lineRule="exact"/>
              <w:rPr>
                <w:sz w:val="20"/>
                <w:szCs w:val="20"/>
                <w:color w:val="auto"/>
              </w:rPr>
            </w:pPr>
            <w:r>
              <w:rPr>
                <w:rFonts w:ascii="Arial" w:cs="Arial" w:eastAsia="Arial" w:hAnsi="Arial"/>
                <w:sz w:val="8"/>
                <w:szCs w:val="8"/>
                <w:b w:val="1"/>
                <w:bCs w:val="1"/>
                <w:color w:val="auto"/>
              </w:rPr>
              <w:t>Fiscal Year</w:t>
            </w:r>
          </w:p>
        </w:tc>
        <w:tc>
          <w:tcPr>
            <w:tcW w:w="800" w:type="dxa"/>
            <w:vAlign w:val="bottom"/>
          </w:tcPr>
          <w:p>
            <w:pPr>
              <w:ind w:left="180"/>
              <w:spacing w:after="0" w:line="75" w:lineRule="exact"/>
              <w:rPr>
                <w:sz w:val="20"/>
                <w:szCs w:val="20"/>
                <w:color w:val="auto"/>
              </w:rPr>
            </w:pPr>
            <w:r>
              <w:rPr>
                <w:rFonts w:ascii="Arial" w:cs="Arial" w:eastAsia="Arial" w:hAnsi="Arial"/>
                <w:sz w:val="8"/>
                <w:szCs w:val="8"/>
                <w:b w:val="1"/>
                <w:bCs w:val="1"/>
                <w:color w:val="auto"/>
              </w:rPr>
              <w:t>Fiscal Year</w:t>
            </w:r>
          </w:p>
        </w:tc>
      </w:tr>
      <w:tr>
        <w:trPr>
          <w:trHeight w:val="111"/>
        </w:trPr>
        <w:tc>
          <w:tcPr>
            <w:tcW w:w="372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89"/>
              </w:rPr>
              <w:t>2011</w:t>
            </w:r>
          </w:p>
        </w:tc>
        <w:tc>
          <w:tcPr>
            <w:tcW w:w="1100" w:type="dxa"/>
            <w:vAlign w:val="bottom"/>
            <w:gridSpan w:val="2"/>
          </w:tcPr>
          <w:p>
            <w:pPr>
              <w:jc w:val="center"/>
              <w:ind w:left="262"/>
              <w:spacing w:after="0"/>
              <w:rPr>
                <w:sz w:val="20"/>
                <w:szCs w:val="20"/>
                <w:color w:val="auto"/>
              </w:rPr>
            </w:pPr>
            <w:r>
              <w:rPr>
                <w:rFonts w:ascii="Arial" w:cs="Arial" w:eastAsia="Arial" w:hAnsi="Arial"/>
                <w:sz w:val="9"/>
                <w:szCs w:val="9"/>
                <w:b w:val="1"/>
                <w:bCs w:val="1"/>
                <w:color w:val="auto"/>
                <w:w w:val="89"/>
              </w:rPr>
              <w:t>2010</w:t>
            </w:r>
          </w:p>
        </w:tc>
        <w:tc>
          <w:tcPr>
            <w:tcW w:w="30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89"/>
              </w:rPr>
              <w:t>2009</w:t>
            </w:r>
          </w:p>
        </w:tc>
        <w:tc>
          <w:tcPr>
            <w:tcW w:w="1080" w:type="dxa"/>
            <w:vAlign w:val="bottom"/>
            <w:gridSpan w:val="2"/>
          </w:tcPr>
          <w:p>
            <w:pPr>
              <w:jc w:val="center"/>
              <w:ind w:left="239"/>
              <w:spacing w:after="0"/>
              <w:rPr>
                <w:sz w:val="20"/>
                <w:szCs w:val="20"/>
                <w:color w:val="auto"/>
              </w:rPr>
            </w:pPr>
            <w:r>
              <w:rPr>
                <w:rFonts w:ascii="Arial" w:cs="Arial" w:eastAsia="Arial" w:hAnsi="Arial"/>
                <w:sz w:val="9"/>
                <w:szCs w:val="9"/>
                <w:b w:val="1"/>
                <w:bCs w:val="1"/>
                <w:color w:val="auto"/>
                <w:w w:val="89"/>
              </w:rPr>
              <w:t>2011</w:t>
            </w:r>
          </w:p>
        </w:tc>
        <w:tc>
          <w:tcPr>
            <w:tcW w:w="1100" w:type="dxa"/>
            <w:vAlign w:val="bottom"/>
            <w:gridSpan w:val="2"/>
          </w:tcPr>
          <w:p>
            <w:pPr>
              <w:jc w:val="center"/>
              <w:ind w:left="222"/>
              <w:spacing w:after="0"/>
              <w:rPr>
                <w:sz w:val="20"/>
                <w:szCs w:val="20"/>
                <w:color w:val="auto"/>
              </w:rPr>
            </w:pPr>
            <w:r>
              <w:rPr>
                <w:rFonts w:ascii="Arial" w:cs="Arial" w:eastAsia="Arial" w:hAnsi="Arial"/>
                <w:sz w:val="9"/>
                <w:szCs w:val="9"/>
                <w:b w:val="1"/>
                <w:bCs w:val="1"/>
                <w:color w:val="auto"/>
                <w:w w:val="89"/>
              </w:rPr>
              <w:t>2010</w:t>
            </w:r>
          </w:p>
        </w:tc>
        <w:tc>
          <w:tcPr>
            <w:tcW w:w="28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89"/>
              </w:rPr>
              <w:t>2009</w:t>
            </w:r>
          </w:p>
        </w:tc>
      </w:tr>
      <w:tr>
        <w:trPr>
          <w:trHeight w:val="29"/>
        </w:trPr>
        <w:tc>
          <w:tcPr>
            <w:tcW w:w="37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42.2%</w:t>
            </w:r>
          </w:p>
        </w:tc>
        <w:tc>
          <w:tcPr>
            <w:tcW w:w="1100" w:type="dxa"/>
            <w:vAlign w:val="bottom"/>
            <w:gridSpan w:val="2"/>
            <w:shd w:val="clear" w:color="auto" w:fill="CCEEFF"/>
          </w:tcPr>
          <w:p>
            <w:pPr>
              <w:jc w:val="center"/>
              <w:ind w:left="262"/>
              <w:spacing w:after="0"/>
              <w:rPr>
                <w:sz w:val="20"/>
                <w:szCs w:val="20"/>
                <w:color w:val="auto"/>
              </w:rPr>
            </w:pPr>
            <w:r>
              <w:rPr>
                <w:rFonts w:ascii="Arial" w:cs="Arial" w:eastAsia="Arial" w:hAnsi="Arial"/>
                <w:sz w:val="13"/>
                <w:szCs w:val="13"/>
                <w:color w:val="auto"/>
                <w:w w:val="92"/>
              </w:rPr>
              <w:t>43.0%</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38.9%</w:t>
            </w:r>
          </w:p>
        </w:tc>
        <w:tc>
          <w:tcPr>
            <w:tcW w:w="1080" w:type="dxa"/>
            <w:vAlign w:val="bottom"/>
            <w:gridSpan w:val="2"/>
            <w:shd w:val="clear" w:color="auto" w:fill="CCEEFF"/>
          </w:tcPr>
          <w:p>
            <w:pPr>
              <w:jc w:val="center"/>
              <w:ind w:left="239"/>
              <w:spacing w:after="0"/>
              <w:rPr>
                <w:sz w:val="20"/>
                <w:szCs w:val="20"/>
                <w:color w:val="auto"/>
              </w:rPr>
            </w:pPr>
            <w:r>
              <w:rPr>
                <w:rFonts w:ascii="Arial" w:cs="Arial" w:eastAsia="Arial" w:hAnsi="Arial"/>
                <w:sz w:val="13"/>
                <w:szCs w:val="13"/>
                <w:color w:val="auto"/>
                <w:w w:val="92"/>
              </w:rPr>
              <w:t>28.3%</w:t>
            </w:r>
          </w:p>
        </w:tc>
        <w:tc>
          <w:tcPr>
            <w:tcW w:w="1100" w:type="dxa"/>
            <w:vAlign w:val="bottom"/>
            <w:gridSpan w:val="2"/>
            <w:shd w:val="clear" w:color="auto" w:fill="CCEEFF"/>
          </w:tcPr>
          <w:p>
            <w:pPr>
              <w:jc w:val="center"/>
              <w:ind w:left="222"/>
              <w:spacing w:after="0"/>
              <w:rPr>
                <w:sz w:val="20"/>
                <w:szCs w:val="20"/>
                <w:color w:val="auto"/>
              </w:rPr>
            </w:pPr>
            <w:r>
              <w:rPr>
                <w:rFonts w:ascii="Arial" w:cs="Arial" w:eastAsia="Arial" w:hAnsi="Arial"/>
                <w:sz w:val="13"/>
                <w:szCs w:val="13"/>
                <w:color w:val="auto"/>
                <w:w w:val="92"/>
              </w:rPr>
              <w:t>43.7%</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54.6%</w:t>
            </w: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0.9%</w:t>
            </w:r>
          </w:p>
        </w:tc>
        <w:tc>
          <w:tcPr>
            <w:tcW w:w="1100" w:type="dxa"/>
            <w:vAlign w:val="bottom"/>
            <w:gridSpan w:val="2"/>
          </w:tcPr>
          <w:p>
            <w:pPr>
              <w:jc w:val="center"/>
              <w:ind w:left="242"/>
              <w:spacing w:after="0"/>
              <w:rPr>
                <w:sz w:val="20"/>
                <w:szCs w:val="20"/>
                <w:color w:val="auto"/>
              </w:rPr>
            </w:pPr>
            <w:r>
              <w:rPr>
                <w:rFonts w:ascii="Arial" w:cs="Arial" w:eastAsia="Arial" w:hAnsi="Arial"/>
                <w:sz w:val="13"/>
                <w:szCs w:val="13"/>
                <w:color w:val="auto"/>
                <w:w w:val="94"/>
              </w:rPr>
              <w:t>1.6%</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2.7%</w:t>
            </w:r>
          </w:p>
        </w:tc>
        <w:tc>
          <w:tcPr>
            <w:tcW w:w="1080" w:type="dxa"/>
            <w:vAlign w:val="bottom"/>
            <w:gridSpan w:val="2"/>
          </w:tcPr>
          <w:p>
            <w:pPr>
              <w:jc w:val="center"/>
              <w:ind w:left="219"/>
              <w:spacing w:after="0"/>
              <w:rPr>
                <w:sz w:val="20"/>
                <w:szCs w:val="20"/>
                <w:color w:val="auto"/>
              </w:rPr>
            </w:pPr>
            <w:r>
              <w:rPr>
                <w:rFonts w:ascii="Arial" w:cs="Arial" w:eastAsia="Arial" w:hAnsi="Arial"/>
                <w:sz w:val="13"/>
                <w:szCs w:val="13"/>
                <w:color w:val="auto"/>
                <w:w w:val="94"/>
              </w:rPr>
              <w:t>0.2%</w:t>
            </w:r>
          </w:p>
        </w:tc>
        <w:tc>
          <w:tcPr>
            <w:tcW w:w="1100" w:type="dxa"/>
            <w:vAlign w:val="bottom"/>
            <w:gridSpan w:val="2"/>
          </w:tcPr>
          <w:p>
            <w:pPr>
              <w:jc w:val="center"/>
              <w:ind w:left="242"/>
              <w:spacing w:after="0"/>
              <w:rPr>
                <w:sz w:val="20"/>
                <w:szCs w:val="20"/>
                <w:color w:val="auto"/>
              </w:rPr>
            </w:pPr>
            <w:r>
              <w:rPr>
                <w:rFonts w:ascii="Arial" w:cs="Arial" w:eastAsia="Arial" w:hAnsi="Arial"/>
                <w:sz w:val="13"/>
                <w:szCs w:val="13"/>
                <w:color w:val="auto"/>
                <w:w w:val="94"/>
              </w:rPr>
              <w:t>0.3%</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1.2%</w:t>
            </w: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0.0%</w:t>
            </w:r>
          </w:p>
        </w:tc>
        <w:tc>
          <w:tcPr>
            <w:tcW w:w="1100" w:type="dxa"/>
            <w:vAlign w:val="bottom"/>
            <w:gridSpan w:val="2"/>
            <w:shd w:val="clear" w:color="auto" w:fill="CCEEFF"/>
          </w:tcPr>
          <w:p>
            <w:pPr>
              <w:jc w:val="center"/>
              <w:ind w:left="242"/>
              <w:spacing w:after="0"/>
              <w:rPr>
                <w:sz w:val="20"/>
                <w:szCs w:val="20"/>
                <w:color w:val="auto"/>
              </w:rPr>
            </w:pPr>
            <w:r>
              <w:rPr>
                <w:rFonts w:ascii="Arial" w:cs="Arial" w:eastAsia="Arial" w:hAnsi="Arial"/>
                <w:sz w:val="13"/>
                <w:szCs w:val="13"/>
                <w:color w:val="auto"/>
                <w:w w:val="94"/>
              </w:rPr>
              <w:t>0.0%</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0.0%</w:t>
            </w:r>
          </w:p>
        </w:tc>
        <w:tc>
          <w:tcPr>
            <w:tcW w:w="1080" w:type="dxa"/>
            <w:vAlign w:val="bottom"/>
            <w:gridSpan w:val="2"/>
            <w:shd w:val="clear" w:color="auto" w:fill="CCEEFF"/>
          </w:tcPr>
          <w:p>
            <w:pPr>
              <w:jc w:val="center"/>
              <w:ind w:left="219"/>
              <w:spacing w:after="0"/>
              <w:rPr>
                <w:sz w:val="20"/>
                <w:szCs w:val="20"/>
                <w:color w:val="auto"/>
              </w:rPr>
            </w:pPr>
            <w:r>
              <w:rPr>
                <w:rFonts w:ascii="Arial" w:cs="Arial" w:eastAsia="Arial" w:hAnsi="Arial"/>
                <w:sz w:val="13"/>
                <w:szCs w:val="13"/>
                <w:color w:val="auto"/>
                <w:w w:val="94"/>
              </w:rPr>
              <w:t>0.0%</w:t>
            </w:r>
          </w:p>
        </w:tc>
        <w:tc>
          <w:tcPr>
            <w:tcW w:w="1100" w:type="dxa"/>
            <w:vAlign w:val="bottom"/>
            <w:gridSpan w:val="2"/>
            <w:shd w:val="clear" w:color="auto" w:fill="CCEEFF"/>
          </w:tcPr>
          <w:p>
            <w:pPr>
              <w:jc w:val="center"/>
              <w:ind w:left="242"/>
              <w:spacing w:after="0"/>
              <w:rPr>
                <w:sz w:val="20"/>
                <w:szCs w:val="20"/>
                <w:color w:val="auto"/>
              </w:rPr>
            </w:pPr>
            <w:r>
              <w:rPr>
                <w:rFonts w:ascii="Arial" w:cs="Arial" w:eastAsia="Arial" w:hAnsi="Arial"/>
                <w:sz w:val="13"/>
                <w:szCs w:val="13"/>
                <w:color w:val="auto"/>
                <w:w w:val="94"/>
              </w:rPr>
              <w:t>0.0%</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0.0%</w:t>
            </w:r>
          </w:p>
        </w:tc>
      </w:tr>
      <w:tr>
        <w:trPr>
          <w:trHeight w:val="165"/>
        </w:trPr>
        <w:tc>
          <w:tcPr>
            <w:tcW w:w="3720" w:type="dxa"/>
            <w:vAlign w:val="bottom"/>
          </w:tcPr>
          <w:p>
            <w:pPr>
              <w:spacing w:after="0"/>
              <w:rPr>
                <w:sz w:val="20"/>
                <w:szCs w:val="20"/>
                <w:color w:val="auto"/>
              </w:rPr>
            </w:pPr>
            <w:r>
              <w:rPr>
                <w:rFonts w:ascii="Arial" w:cs="Arial" w:eastAsia="Arial" w:hAnsi="Arial"/>
                <w:sz w:val="13"/>
                <w:szCs w:val="13"/>
                <w:color w:val="auto"/>
              </w:rPr>
              <w:t>Weighted average expected life</w:t>
            </w:r>
          </w:p>
        </w:tc>
        <w:tc>
          <w:tcPr>
            <w:tcW w:w="800" w:type="dxa"/>
            <w:vAlign w:val="bottom"/>
          </w:tcPr>
          <w:p>
            <w:pPr>
              <w:ind w:left="160"/>
              <w:spacing w:after="0"/>
              <w:rPr>
                <w:sz w:val="20"/>
                <w:szCs w:val="20"/>
                <w:color w:val="auto"/>
              </w:rPr>
            </w:pPr>
            <w:r>
              <w:rPr>
                <w:rFonts w:ascii="Arial" w:cs="Arial" w:eastAsia="Arial" w:hAnsi="Arial"/>
                <w:sz w:val="13"/>
                <w:szCs w:val="13"/>
                <w:color w:val="auto"/>
              </w:rPr>
              <w:t>4.2 years</w:t>
            </w:r>
          </w:p>
        </w:tc>
        <w:tc>
          <w:tcPr>
            <w:tcW w:w="3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color w:val="auto"/>
                <w:w w:val="89"/>
              </w:rPr>
              <w:t>4.2 years</w:t>
            </w:r>
          </w:p>
        </w:tc>
        <w:tc>
          <w:tcPr>
            <w:tcW w:w="800" w:type="dxa"/>
            <w:vAlign w:val="bottom"/>
          </w:tcPr>
          <w:p>
            <w:pPr>
              <w:ind w:left="160"/>
              <w:spacing w:after="0"/>
              <w:rPr>
                <w:sz w:val="20"/>
                <w:szCs w:val="20"/>
                <w:color w:val="auto"/>
              </w:rPr>
            </w:pPr>
            <w:r>
              <w:rPr>
                <w:rFonts w:ascii="Arial" w:cs="Arial" w:eastAsia="Arial" w:hAnsi="Arial"/>
                <w:sz w:val="13"/>
                <w:szCs w:val="13"/>
                <w:color w:val="auto"/>
              </w:rPr>
              <w:t>4.1 years</w:t>
            </w:r>
          </w:p>
        </w:tc>
        <w:tc>
          <w:tcPr>
            <w:tcW w:w="280" w:type="dxa"/>
            <w:vAlign w:val="bottom"/>
          </w:tcPr>
          <w:p>
            <w:pPr>
              <w:spacing w:after="0"/>
              <w:rPr>
                <w:sz w:val="14"/>
                <w:szCs w:val="14"/>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0.5 years</w:t>
            </w:r>
          </w:p>
        </w:tc>
        <w:tc>
          <w:tcPr>
            <w:tcW w:w="3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0.5 years</w:t>
            </w:r>
          </w:p>
        </w:tc>
        <w:tc>
          <w:tcPr>
            <w:tcW w:w="800" w:type="dxa"/>
            <w:vAlign w:val="bottom"/>
          </w:tcPr>
          <w:p>
            <w:pPr>
              <w:ind w:left="180"/>
              <w:spacing w:after="0"/>
              <w:rPr>
                <w:sz w:val="20"/>
                <w:szCs w:val="20"/>
                <w:color w:val="auto"/>
              </w:rPr>
            </w:pPr>
            <w:r>
              <w:rPr>
                <w:rFonts w:ascii="Arial" w:cs="Arial" w:eastAsia="Arial" w:hAnsi="Arial"/>
                <w:sz w:val="13"/>
                <w:szCs w:val="13"/>
                <w:color w:val="auto"/>
              </w:rPr>
              <w:t>0.5 years</w:t>
            </w:r>
          </w:p>
        </w:tc>
      </w:tr>
    </w:tbl>
    <w:p>
      <w:pPr>
        <w:spacing w:after="0" w:line="7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Company’s expected volatility is a measure of the amount by which its stock price is expected to fluctuate over the expected term of the stock-based award. The estimated volatilities for stock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w:t>
      </w:r>
    </w:p>
    <w:p>
      <w:pPr>
        <w:spacing w:after="0" w:line="7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expected life of employee stock options represents the calculation using the simplified method consistent with the authoritative guidance for share-based payments. Due to significant changes in the Company’s option terms in October of 2006, the Company will continue to use the simplified method until it has the historical data necessary to provide a reasonable estimate of expected life. For the expected option life, the Company has “plain-vanilla” stock options, and therefore used a simple average of the vesting period and the contractual term for options as permitted by the authoritative guidance for share-based payments. The expected term or life of employee stock purchase rights issued represents the expected period of time from the date of grant to the estimated date that the stock purchase right under the Company’s Employee Stock Purchase Plan would be fully exercised.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employee stock option activity for fiscal year 2011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Number of</w:t>
            </w:r>
          </w:p>
        </w:tc>
        <w:tc>
          <w:tcPr>
            <w:tcW w:w="140" w:type="dxa"/>
            <w:vAlign w:val="bottom"/>
          </w:tcPr>
          <w:p>
            <w:pPr>
              <w:spacing w:after="0"/>
              <w:rPr>
                <w:sz w:val="10"/>
                <w:szCs w:val="1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Weighted Average</w:t>
            </w:r>
          </w:p>
        </w:tc>
        <w:tc>
          <w:tcPr>
            <w:tcW w:w="14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 Average</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6"/>
              </w:rPr>
              <w:t>Aggregate Intrinsic</w:t>
            </w: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4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5"/>
              </w:rPr>
              <w:t>per Share</w:t>
            </w:r>
          </w:p>
        </w:tc>
        <w:tc>
          <w:tcPr>
            <w:tcW w:w="14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Contractual Term</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2, 2010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4,718,176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20.90</w:t>
            </w: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Options granted</w:t>
            </w: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266,250</w:t>
            </w:r>
          </w:p>
        </w:tc>
        <w:tc>
          <w:tcPr>
            <w:tcW w:w="140" w:type="dxa"/>
            <w:vAlign w:val="bottom"/>
          </w:tcPr>
          <w:p>
            <w:pPr>
              <w:spacing w:after="0"/>
              <w:rPr>
                <w:sz w:val="13"/>
                <w:szCs w:val="1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3"/>
                <w:szCs w:val="13"/>
                <w:color w:val="auto"/>
              </w:rPr>
              <w:t>41.26</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(20,543)</w:t>
            </w:r>
          </w:p>
        </w:tc>
        <w:tc>
          <w:tcPr>
            <w:tcW w:w="1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27.40</w:t>
            </w:r>
          </w:p>
        </w:tc>
        <w:tc>
          <w:tcPr>
            <w:tcW w:w="1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Options exercised</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(1,124,415)</w:t>
            </w:r>
          </w:p>
        </w:tc>
        <w:tc>
          <w:tcPr>
            <w:tcW w:w="140" w:type="dxa"/>
            <w:vAlign w:val="bottom"/>
          </w:tcPr>
          <w:p>
            <w:pPr>
              <w:spacing w:after="0"/>
              <w:rPr>
                <w:sz w:val="13"/>
                <w:szCs w:val="1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3"/>
                <w:szCs w:val="13"/>
                <w:color w:val="auto"/>
              </w:rPr>
              <w:t>19.60</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1, 2011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3,839,468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22.66</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63,894</w:t>
            </w:r>
          </w:p>
        </w:tc>
        <w:tc>
          <w:tcPr>
            <w:tcW w:w="0" w:type="dxa"/>
            <w:vAlign w:val="bottom"/>
          </w:tcPr>
          <w:p>
            <w:pPr>
              <w:spacing w:after="0"/>
              <w:rPr>
                <w:sz w:val="1"/>
                <w:szCs w:val="1"/>
                <w:color w:val="auto"/>
              </w:rPr>
            </w:pPr>
          </w:p>
        </w:tc>
      </w:tr>
      <w:tr>
        <w:trPr>
          <w:trHeight w:val="29"/>
        </w:trPr>
        <w:tc>
          <w:tcPr>
            <w:tcW w:w="4500" w:type="dxa"/>
            <w:vAlign w:val="bottom"/>
            <w:vMerge w:val="restart"/>
          </w:tcPr>
          <w:p>
            <w:pPr>
              <w:spacing w:after="0"/>
              <w:rPr>
                <w:sz w:val="20"/>
                <w:szCs w:val="20"/>
                <w:color w:val="auto"/>
              </w:rPr>
            </w:pPr>
            <w:r>
              <w:rPr>
                <w:rFonts w:ascii="Arial" w:cs="Arial" w:eastAsia="Arial" w:hAnsi="Arial"/>
                <w:sz w:val="13"/>
                <w:szCs w:val="13"/>
                <w:color w:val="auto"/>
              </w:rPr>
              <w:t>Vested and exercisable at April 1, 2011</w:t>
            </w: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vMerge w:val="continue"/>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3,131,456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300"/>
              <w:spacing w:after="0"/>
              <w:rPr>
                <w:sz w:val="20"/>
                <w:szCs w:val="20"/>
                <w:color w:val="auto"/>
              </w:rPr>
            </w:pPr>
            <w:r>
              <w:rPr>
                <w:rFonts w:ascii="Arial" w:cs="Arial" w:eastAsia="Arial" w:hAnsi="Arial"/>
                <w:sz w:val="13"/>
                <w:szCs w:val="13"/>
                <w:color w:val="auto"/>
              </w:rPr>
              <w:t>20.50</w:t>
            </w:r>
          </w:p>
        </w:tc>
        <w:tc>
          <w:tcPr>
            <w:tcW w:w="1480" w:type="dxa"/>
            <w:vAlign w:val="bottom"/>
            <w:gridSpan w:val="2"/>
          </w:tcPr>
          <w:p>
            <w:pPr>
              <w:jc w:val="right"/>
              <w:ind w:right="300"/>
              <w:spacing w:after="0"/>
              <w:rPr>
                <w:sz w:val="20"/>
                <w:szCs w:val="20"/>
                <w:color w:val="auto"/>
              </w:rPr>
            </w:pPr>
            <w:r>
              <w:rPr>
                <w:rFonts w:ascii="Arial" w:cs="Arial" w:eastAsia="Arial" w:hAnsi="Arial"/>
                <w:sz w:val="13"/>
                <w:szCs w:val="13"/>
                <w:color w:val="auto"/>
              </w:rPr>
              <w:t>2.54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58,408</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stock options exercised during fiscal years 2011, 2010 and 2009 was $21.3 million, $11.3 million and $3.9 million, respectively.</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Restricted stock units. </w:t>
      </w:r>
      <w:r>
        <w:rPr>
          <w:rFonts w:ascii="Arial" w:cs="Arial" w:eastAsia="Arial" w:hAnsi="Arial"/>
          <w:sz w:val="12"/>
          <w:szCs w:val="12"/>
          <w:color w:val="auto"/>
        </w:rPr>
        <w:t>Restricted stock units represent a right to receive shares of common stock at a future date determined in accordance with the participant’s award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and have a six-year contractual term. Compensation cost for these awards is based on the fair value on the date of grant and recognized as compensation expense on a straight-line basis over the requisite service period. For fiscal years 2011, 2010 and 2009, the Company recognized $12.6 million, $7.4 million and $4.8 million, respectively, in stock-based compensation expense related to these restricted stock unit awards.</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per unit weighted average grant date fair value of restricted stock units granted during fiscal years 2011, 2010 and 2009 was $41.48, $29.19 and $20.41, respectively. A summary of restricted stock unit activity for fiscal year 2011 is presented below:</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jc w:val="center"/>
              <w:ind w:left="208"/>
              <w:spacing w:after="0"/>
              <w:rPr>
                <w:sz w:val="20"/>
                <w:szCs w:val="20"/>
                <w:color w:val="auto"/>
              </w:rPr>
            </w:pPr>
            <w:r>
              <w:rPr>
                <w:rFonts w:ascii="Arial" w:cs="Arial" w:eastAsia="Arial" w:hAnsi="Arial"/>
                <w:sz w:val="10"/>
                <w:szCs w:val="10"/>
                <w:b w:val="1"/>
                <w:bCs w:val="1"/>
                <w:color w:val="auto"/>
                <w:w w:val="93"/>
              </w:rPr>
              <w:t>Weighted Average</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0"/>
                <w:szCs w:val="10"/>
                <w:b w:val="1"/>
                <w:bCs w:val="1"/>
                <w:color w:val="auto"/>
              </w:rPr>
              <w:t>Restricted Stock</w:t>
            </w:r>
          </w:p>
        </w:tc>
        <w:tc>
          <w:tcPr>
            <w:tcW w:w="1120" w:type="dxa"/>
            <w:vAlign w:val="bottom"/>
          </w:tcPr>
          <w:p>
            <w:pPr>
              <w:jc w:val="center"/>
              <w:ind w:left="208"/>
              <w:spacing w:after="0" w:line="108" w:lineRule="exact"/>
              <w:rPr>
                <w:sz w:val="20"/>
                <w:szCs w:val="20"/>
                <w:color w:val="auto"/>
              </w:rPr>
            </w:pPr>
            <w:r>
              <w:rPr>
                <w:rFonts w:ascii="Arial" w:cs="Arial" w:eastAsia="Arial" w:hAnsi="Arial"/>
                <w:sz w:val="10"/>
                <w:szCs w:val="10"/>
                <w:b w:val="1"/>
                <w:bCs w:val="1"/>
                <w:color w:val="auto"/>
                <w:w w:val="97"/>
              </w:rPr>
              <w:t>Remaining</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20" w:type="dxa"/>
            <w:vAlign w:val="bottom"/>
          </w:tcPr>
          <w:p>
            <w:pPr>
              <w:jc w:val="center"/>
              <w:ind w:left="208"/>
              <w:spacing w:after="0" w:line="108" w:lineRule="exact"/>
              <w:rPr>
                <w:sz w:val="20"/>
                <w:szCs w:val="20"/>
                <w:color w:val="auto"/>
              </w:rPr>
            </w:pPr>
            <w:r>
              <w:rPr>
                <w:rFonts w:ascii="Arial" w:cs="Arial" w:eastAsia="Arial" w:hAnsi="Arial"/>
                <w:sz w:val="10"/>
                <w:szCs w:val="10"/>
                <w:b w:val="1"/>
                <w:bCs w:val="1"/>
                <w:color w:val="auto"/>
                <w:w w:val="97"/>
              </w:rPr>
              <w:t>Contractual</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Units</w:t>
            </w:r>
          </w:p>
        </w:tc>
        <w:tc>
          <w:tcPr>
            <w:tcW w:w="1120" w:type="dxa"/>
            <w:vAlign w:val="bottom"/>
          </w:tcPr>
          <w:p>
            <w:pPr>
              <w:jc w:val="center"/>
              <w:ind w:left="208"/>
              <w:spacing w:after="0"/>
              <w:rPr>
                <w:sz w:val="20"/>
                <w:szCs w:val="20"/>
                <w:color w:val="auto"/>
              </w:rPr>
            </w:pPr>
            <w:r>
              <w:rPr>
                <w:rFonts w:ascii="Arial" w:cs="Arial" w:eastAsia="Arial" w:hAnsi="Arial"/>
                <w:sz w:val="10"/>
                <w:szCs w:val="10"/>
                <w:b w:val="1"/>
                <w:bCs w:val="1"/>
                <w:color w:val="auto"/>
                <w:w w:val="93"/>
              </w:rPr>
              <w:t>Term in Years</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2, 2010</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1,389,615</w:t>
            </w: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Awarded</w:t>
            </w: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630,056</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(37,035)</w:t>
            </w: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Released</w:t>
            </w:r>
          </w:p>
        </w:tc>
        <w:tc>
          <w:tcPr>
            <w:tcW w:w="1620" w:type="dxa"/>
            <w:vAlign w:val="bottom"/>
            <w:gridSpan w:val="2"/>
          </w:tcPr>
          <w:p>
            <w:pPr>
              <w:jc w:val="right"/>
              <w:ind w:right="360"/>
              <w:spacing w:after="0"/>
              <w:rPr>
                <w:sz w:val="20"/>
                <w:szCs w:val="20"/>
                <w:color w:val="auto"/>
              </w:rPr>
            </w:pPr>
            <w:r>
              <w:rPr>
                <w:rFonts w:ascii="Arial" w:cs="Arial" w:eastAsia="Arial" w:hAnsi="Arial"/>
                <w:sz w:val="13"/>
                <w:szCs w:val="13"/>
                <w:color w:val="auto"/>
              </w:rPr>
              <w:t>(433,173)</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1, 2011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1,549,463</w:t>
            </w: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60,661</w:t>
            </w:r>
          </w:p>
        </w:tc>
        <w:tc>
          <w:tcPr>
            <w:tcW w:w="0" w:type="dxa"/>
            <w:vAlign w:val="bottom"/>
          </w:tcPr>
          <w:p>
            <w:pPr>
              <w:spacing w:after="0"/>
              <w:rPr>
                <w:sz w:val="1"/>
                <w:szCs w:val="1"/>
                <w:color w:val="auto"/>
              </w:rPr>
            </w:pPr>
          </w:p>
        </w:tc>
      </w:tr>
      <w:tr>
        <w:trPr>
          <w:trHeight w:val="29"/>
        </w:trPr>
        <w:tc>
          <w:tcPr>
            <w:tcW w:w="5500" w:type="dxa"/>
            <w:vAlign w:val="bottom"/>
            <w:vMerge w:val="restart"/>
          </w:tcPr>
          <w:p>
            <w:pPr>
              <w:spacing w:after="0"/>
              <w:rPr>
                <w:sz w:val="20"/>
                <w:szCs w:val="20"/>
                <w:color w:val="auto"/>
              </w:rPr>
            </w:pPr>
            <w:r>
              <w:rPr>
                <w:rFonts w:ascii="Arial" w:cs="Arial" w:eastAsia="Arial" w:hAnsi="Arial"/>
                <w:sz w:val="13"/>
                <w:szCs w:val="13"/>
                <w:color w:val="auto"/>
              </w:rPr>
              <w:t>Vested and deferred at April 1, 2011</w:t>
            </w:r>
          </w:p>
        </w:tc>
        <w:tc>
          <w:tcPr>
            <w:tcW w:w="1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41,467</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1,623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During fiscal years 2011, 2010 and 2009, 433,173 restricted stock units vested with a total intrinsic value of $16.7 million; 234,039 restricted stock units vested with a total intrinsic value of $6.2 million; and 94,181 restricted stock units vested with a total intrinsic value of $1.9 million,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Independent research and development</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Rent expense, deferred rent obligations and deferred lease incentives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Company leases all of its facilities under operating leases. Some of these lease agreements contain tenant improvement allowances funded by landlord incentives, rent holidays and rent escalation clauses. GAAP requires rent expense to be recognized on a straight-line basis over the lease term. The difference between the rent due under the stated periods of the lease compared to that of the straight-line basis is recorded as deferred rent within accrued and other long-term liabilities in the consolidated balance sheet.</w:t>
      </w:r>
    </w:p>
    <w:p>
      <w:pPr>
        <w:spacing w:after="0" w:line="5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For purposes of recognizing landlord incentives and minimum rental expenses on a straight-line basis over the terms of the leases, the Company uses the date that it obtains the legal right to use and control the leased space to begin amortization,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 and amortizes the deferred liability as a reduction to rent expense on the consolidated statement of operations over the term of the lease.</w:t>
      </w:r>
    </w:p>
    <w:p>
      <w:pPr>
        <w:spacing w:after="0" w:line="53"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Certain lease agreements contain rent escalation clauses which provide for scheduled rent increases during the lease term or for rental payments commencing at a date other than the date of initial occupancy. Such increasing rent expense is recorded in the consolidated statement of operations on a straight-line basis over the lease term.</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At April 1, 2011 and April 2, 2010, deferred rent included in accrued liabilities in the Company’s consolidated balance sheets was $0.6 million and $0.5 million, respectively, and deferred rent included in other long-term liabilities in the Company’s consolidated balance sheets was $6.3 million and $6.1 million, respectively.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Basic earnings per share is computed based upon the weighted average number of common shares outstanding during the period. Diluted earnings per share is based upon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weighted average number of common shares outstanding and potential common stock, if dilutive during the period. Potential common stock includes options granted and restricted stock</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units awarded under the Company’s equity compensation plan which are included in the earnings per share calculations using the treasury stock method, common shares expected to be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issued under the Company’s employee stock purchase plan, other conditions denoted in the Company’s agreements with the predecessor stockholders of certain acquired companies at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April 3, 2009, and shares potentially issuable under the amended ViaSat 401(k) Profit Sharing Plan in connection with the Company’s decision to pay a discretionary match in common stock</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 cash.</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reporting</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Company’s government systems, commercial networks and satellite services segments are primarily distinguished by the type of customer and the related contractual requirements. The Company’s government systems segment develops and produces network-centric,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The Company’s satellite services segment complements both the government systems and commercial networks segments by providing wholesale and retail satellite-based broadband internet services in the United States via the Company’s satellite and capacity agreements, as well as managed network services for the satellite communication systems of the Company’s consumer, enterprise and mobile broadband customers. The Company’s satellite services segment includes the Company’s WildBlue business (which it acquired in December 2009) and the Company’s ViaSat-1 satellite-related activities. The Company’s segments are determined consistent with the way management currently organizes and evaluates financial information internally for making operating decisions and assessing performance.</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authoritative guidance</w:t>
      </w:r>
    </w:p>
    <w:p>
      <w:pPr>
        <w:spacing w:after="0" w:line="96"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In October 2009, the Financial Accounting Standards Board (FASB) issued authoritative guidance for revenue recognition with multiple deliverables (ASU 2009-13, which updated ASC 605-25).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the Company beginning in the first quarter of fiscal year 2012; however, early adoption is permitted. The Company is currently evaluating the impact that the authoritative guidance may have on its consolidated financial statements and disclosures.</w:t>
      </w:r>
    </w:p>
    <w:p>
      <w:pPr>
        <w:spacing w:after="0" w:line="55"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In May 2011, the FASB issued ASU 2011-04, Fair Value Measurement (ASC 820): Amendments to Achieve Common Fair Value Measurement and Disclosure Requirements in U.S. GAAP and IFRSs. The new authoritative guidance results in a consistent definition of fair value and common requirements for measurement of and disclosure about fair value between U.S. GAAP and International Financial Reporting Standards. While many of the amendments to U.S. GAAP are not expected to have a significant effect on practice, the new guidance changes some fair value measurement principles and disclosure requirements. This guidance is effective for the Company beginning in the fourth quarter of fiscal year 2012. Adoption of this authoritative guidance is not expected to have a material impact on the Company’s consolidated financial statements and disclosures.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3"/>
                <w:szCs w:val="13"/>
                <w:b w:val="1"/>
                <w:bCs w:val="1"/>
                <w:color w:val="auto"/>
              </w:rPr>
              <w:t>Note 2 —</w:t>
            </w:r>
          </w:p>
        </w:tc>
        <w:tc>
          <w:tcPr>
            <w:tcW w:w="3800" w:type="dxa"/>
            <w:vAlign w:val="bottom"/>
          </w:tcPr>
          <w:p>
            <w:pPr>
              <w:ind w:left="40"/>
              <w:spacing w:after="0"/>
              <w:rPr>
                <w:sz w:val="20"/>
                <w:szCs w:val="20"/>
                <w:color w:val="auto"/>
              </w:rPr>
            </w:pPr>
            <w:r>
              <w:rPr>
                <w:rFonts w:ascii="Arial" w:cs="Arial" w:eastAsia="Arial" w:hAnsi="Arial"/>
                <w:sz w:val="13"/>
                <w:szCs w:val="13"/>
                <w:b w:val="1"/>
                <w:bCs w:val="1"/>
                <w:color w:val="auto"/>
              </w:rPr>
              <w:t>Composition of Certain Balance Sheet Captions</w:t>
            </w: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1"/>
        </w:trPr>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68"/>
              <w:spacing w:after="0"/>
              <w:rPr>
                <w:sz w:val="20"/>
                <w:szCs w:val="20"/>
                <w:color w:val="auto"/>
              </w:rPr>
            </w:pPr>
            <w:r>
              <w:rPr>
                <w:rFonts w:ascii="Arial" w:cs="Arial" w:eastAsia="Arial" w:hAnsi="Arial"/>
                <w:sz w:val="10"/>
                <w:szCs w:val="10"/>
                <w:b w:val="1"/>
                <w:bCs w:val="1"/>
                <w:color w:val="auto"/>
              </w:rPr>
              <w:t>April 1,</w:t>
            </w: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April 2,</w:t>
            </w:r>
          </w:p>
        </w:tc>
        <w:tc>
          <w:tcPr>
            <w:tcW w:w="800" w:type="dxa"/>
            <w:vAlign w:val="bottom"/>
          </w:tcPr>
          <w:p>
            <w:pPr>
              <w:spacing w:after="0"/>
              <w:rPr>
                <w:sz w:val="16"/>
                <w:szCs w:val="16"/>
                <w:color w:val="auto"/>
              </w:rPr>
            </w:pPr>
          </w:p>
        </w:tc>
      </w:tr>
      <w:tr>
        <w:trPr>
          <w:trHeight w:val="125"/>
        </w:trPr>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360"/>
              <w:spacing w:after="0"/>
              <w:rPr>
                <w:sz w:val="20"/>
                <w:szCs w:val="20"/>
                <w:color w:val="auto"/>
              </w:rPr>
            </w:pPr>
            <w:r>
              <w:rPr>
                <w:rFonts w:ascii="Arial" w:cs="Arial" w:eastAsia="Arial" w:hAnsi="Arial"/>
                <w:sz w:val="10"/>
                <w:szCs w:val="10"/>
                <w:b w:val="1"/>
                <w:bCs w:val="1"/>
                <w:color w:val="auto"/>
              </w:rPr>
              <w:t>(In</w:t>
            </w: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net:</w:t>
            </w:r>
          </w:p>
        </w:tc>
        <w:tc>
          <w:tcPr>
            <w:tcW w:w="3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auto"/>
              </w:rPr>
              <w:t>Billed</w:t>
            </w:r>
          </w:p>
        </w:tc>
        <w:tc>
          <w:tcPr>
            <w:tcW w:w="3800" w:type="dxa"/>
            <w:vAlign w:val="bottom"/>
          </w:tcPr>
          <w:p>
            <w:pPr>
              <w:spacing w:after="0"/>
              <w:rPr>
                <w:sz w:val="13"/>
                <w:szCs w:val="13"/>
                <w:color w:val="auto"/>
              </w:rPr>
            </w:pPr>
          </w:p>
        </w:tc>
        <w:tc>
          <w:tcPr>
            <w:tcW w:w="38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100,863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93,737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Unbilled</w:t>
            </w:r>
          </w:p>
        </w:tc>
        <w:tc>
          <w:tcPr>
            <w:tcW w:w="3800" w:type="dxa"/>
            <w:vAlign w:val="bottom"/>
            <w:shd w:val="clear" w:color="auto" w:fill="CCEEFF"/>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91,519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80" w:type="dxa"/>
            <w:vAlign w:val="bottom"/>
            <w:gridSpan w:val="2"/>
          </w:tcPr>
          <w:p>
            <w:pPr>
              <w:ind w:left="140"/>
              <w:spacing w:after="0"/>
              <w:rPr>
                <w:sz w:val="20"/>
                <w:szCs w:val="20"/>
                <w:color w:val="auto"/>
              </w:rPr>
            </w:pPr>
            <w:r>
              <w:rPr>
                <w:rFonts w:ascii="Arial" w:cs="Arial" w:eastAsia="Arial" w:hAnsi="Arial"/>
                <w:sz w:val="13"/>
                <w:szCs w:val="13"/>
                <w:color w:val="auto"/>
              </w:rPr>
              <w:t>Allowance for doubtful accounts</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(493)</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191,889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176,351</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Inventories:</w:t>
            </w:r>
          </w:p>
        </w:tc>
        <w:tc>
          <w:tcPr>
            <w:tcW w:w="3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Raw materials</w:t>
            </w:r>
          </w:p>
        </w:tc>
        <w:tc>
          <w:tcPr>
            <w:tcW w:w="384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46,651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80" w:type="dxa"/>
            <w:vAlign w:val="bottom"/>
            <w:gridSpan w:val="2"/>
          </w:tcPr>
          <w:p>
            <w:pPr>
              <w:ind w:left="140"/>
              <w:spacing w:after="0"/>
              <w:rPr>
                <w:sz w:val="20"/>
                <w:szCs w:val="20"/>
                <w:color w:val="auto"/>
              </w:rPr>
            </w:pPr>
            <w:r>
              <w:rPr>
                <w:rFonts w:ascii="Arial" w:cs="Arial" w:eastAsia="Arial" w:hAnsi="Arial"/>
                <w:sz w:val="13"/>
                <w:szCs w:val="13"/>
                <w:color w:val="auto"/>
              </w:rPr>
              <w:t>Work in process</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18,713</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21,345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Finished goods</w:t>
            </w: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33,191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25,362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98,555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82,962</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expenses and other current assets:</w:t>
            </w:r>
          </w:p>
        </w:tc>
        <w:tc>
          <w:tcPr>
            <w:tcW w:w="37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580" w:type="dxa"/>
            <w:vAlign w:val="bottom"/>
            <w:gridSpan w:val="2"/>
          </w:tcPr>
          <w:p>
            <w:pPr>
              <w:ind w:left="140"/>
              <w:spacing w:after="0"/>
              <w:rPr>
                <w:sz w:val="20"/>
                <w:szCs w:val="20"/>
                <w:color w:val="auto"/>
              </w:rPr>
            </w:pPr>
            <w:r>
              <w:rPr>
                <w:rFonts w:ascii="Arial" w:cs="Arial" w:eastAsia="Arial" w:hAnsi="Arial"/>
                <w:sz w:val="13"/>
                <w:szCs w:val="13"/>
                <w:color w:val="auto"/>
              </w:rPr>
              <w:t>Prepaid expenses</w:t>
            </w:r>
          </w:p>
        </w:tc>
        <w:tc>
          <w:tcPr>
            <w:tcW w:w="38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18,235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13,239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tax receivable</w:t>
            </w: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auto"/>
              </w:rPr>
              <w:t>Other</w:t>
            </w:r>
          </w:p>
        </w:tc>
        <w:tc>
          <w:tcPr>
            <w:tcW w:w="38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2,880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6,596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21,141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28,857</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3"/>
                <w:szCs w:val="13"/>
                <w:color w:val="auto"/>
                <w:w w:val="93"/>
              </w:rPr>
              <w:t>Satellites, net:</w:t>
            </w:r>
          </w:p>
        </w:tc>
        <w:tc>
          <w:tcPr>
            <w:tcW w:w="3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Satellite — WildBlue-1 (estimated useful life of 10 years)</w:t>
            </w:r>
          </w:p>
        </w:tc>
        <w:tc>
          <w:tcPr>
            <w:tcW w:w="384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195,890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195,890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80" w:type="dxa"/>
            <w:vAlign w:val="bottom"/>
            <w:gridSpan w:val="2"/>
          </w:tcPr>
          <w:p>
            <w:pPr>
              <w:ind w:left="140"/>
              <w:spacing w:after="0"/>
              <w:rPr>
                <w:sz w:val="20"/>
                <w:szCs w:val="20"/>
                <w:color w:val="auto"/>
              </w:rPr>
            </w:pPr>
            <w:r>
              <w:rPr>
                <w:rFonts w:ascii="Arial" w:cs="Arial" w:eastAsia="Arial" w:hAnsi="Arial"/>
                <w:sz w:val="13"/>
                <w:szCs w:val="13"/>
                <w:color w:val="auto"/>
                <w:w w:val="98"/>
              </w:rPr>
              <w:t>Capital lease of satellite capacity — Anik F2 (estimated useful life of 10 years)</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99,090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99,090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Satellite under construction</w:t>
            </w: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276,418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209,432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571,398</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504,412</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Less accumulated depreciation and amortization</w:t>
            </w: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(38,398)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(8,723)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533,000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495,689</w:t>
            </w:r>
          </w:p>
        </w:tc>
        <w:tc>
          <w:tcPr>
            <w:tcW w:w="800" w:type="dxa"/>
            <w:vAlign w:val="bottom"/>
          </w:tcPr>
          <w:p>
            <w:pPr>
              <w:spacing w:after="0"/>
              <w:rPr>
                <w:sz w:val="15"/>
                <w:szCs w:val="15"/>
                <w:color w:val="auto"/>
              </w:rPr>
            </w:pPr>
          </w:p>
        </w:tc>
      </w:tr>
      <w:tr>
        <w:trPr>
          <w:trHeight w:val="450"/>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20" w:type="dxa"/>
            <w:vAlign w:val="bottom"/>
          </w:tcPr>
          <w:p>
            <w:pPr>
              <w:ind w:left="300"/>
              <w:spacing w:after="0"/>
              <w:rPr>
                <w:sz w:val="20"/>
                <w:szCs w:val="20"/>
                <w:color w:val="auto"/>
              </w:rPr>
            </w:pPr>
            <w:r>
              <w:rPr>
                <w:rFonts w:ascii="Arial" w:cs="Arial" w:eastAsia="Arial" w:hAnsi="Arial"/>
                <w:sz w:val="13"/>
                <w:szCs w:val="13"/>
                <w:color w:val="auto"/>
              </w:rPr>
              <w:t>F-19</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68"/>
              <w:spacing w:after="0"/>
              <w:rPr>
                <w:sz w:val="20"/>
                <w:szCs w:val="20"/>
                <w:color w:val="auto"/>
              </w:rPr>
            </w:pPr>
            <w:r>
              <w:rPr>
                <w:rFonts w:ascii="Arial" w:cs="Arial" w:eastAsia="Arial" w:hAnsi="Arial"/>
                <w:sz w:val="10"/>
                <w:szCs w:val="10"/>
                <w:b w:val="1"/>
                <w:bCs w:val="1"/>
                <w:color w:val="auto"/>
              </w:rPr>
              <w:t>April 1,</w:t>
            </w:r>
          </w:p>
        </w:tc>
        <w:tc>
          <w:tcPr>
            <w:tcW w:w="12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April 2,</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360"/>
              <w:spacing w:after="0"/>
              <w:rPr>
                <w:sz w:val="20"/>
                <w:szCs w:val="20"/>
                <w:color w:val="auto"/>
              </w:rPr>
            </w:pPr>
            <w:r>
              <w:rPr>
                <w:rFonts w:ascii="Arial" w:cs="Arial" w:eastAsia="Arial" w:hAnsi="Arial"/>
                <w:sz w:val="10"/>
                <w:szCs w:val="10"/>
                <w:b w:val="1"/>
                <w:bCs w:val="1"/>
                <w:color w:val="auto"/>
              </w:rPr>
              <w:t>(In</w:t>
            </w: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3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Machinery and equipment (estimated useful life of 2-5 years)</w:t>
            </w:r>
          </w:p>
        </w:tc>
        <w:tc>
          <w:tcPr>
            <w:tcW w:w="40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122,113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96,484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Computer equipment and software (estimated useful life of 2-7 years)</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66,768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CPE leased equipment (estimated useful life of 3-5 years)</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61,610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41,469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Furniture and fixtures (estimated useful life of 7 years)</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13,053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10,760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Leasehold improvements (estimated useful life of 2-11 years)</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24,550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20,119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Building (estimated useful life of 24 years)</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8,923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Land</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4,384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4,384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Construction in progress</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80,976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18,578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382,377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256,101</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depreciation and amortization</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(149,238)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(100,297)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233,139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155,804</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39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Capitalized software costs, net</w:t>
            </w:r>
          </w:p>
        </w:tc>
        <w:tc>
          <w:tcPr>
            <w:tcW w:w="40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24,472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8,683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Patents, orbital slots and other licenses, net</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8,639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7,954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47,017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44,910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23,180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20,952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103,308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82,499</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Accrued liabilities:</w:t>
            </w:r>
          </w:p>
        </w:tc>
        <w:tc>
          <w:tcPr>
            <w:tcW w:w="39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Warranty reserve, current portion</w:t>
            </w:r>
          </w:p>
        </w:tc>
        <w:tc>
          <w:tcPr>
            <w:tcW w:w="40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8,014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6,410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vacation</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15,600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Accrued employee compensation</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18,804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17,268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Collections in excess of revenues and deferred revenues</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61,916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Other</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26,249</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18,956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130,583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102,251</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Other liabilities:</w:t>
            </w:r>
          </w:p>
        </w:tc>
        <w:tc>
          <w:tcPr>
            <w:tcW w:w="3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Warranty reserve, long-term portion</w:t>
            </w:r>
          </w:p>
        </w:tc>
        <w:tc>
          <w:tcPr>
            <w:tcW w:w="408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4,928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Deferred rent, long-term portion</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6,267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6,127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 long-term portion</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6,960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Deferred income taxes, long-term portion</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3,374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Unrecognized tax position liabilities</w:t>
            </w:r>
          </w:p>
        </w:tc>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2,217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Other</w:t>
            </w: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6,242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23,842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24,395</w:t>
            </w:r>
          </w:p>
        </w:tc>
        <w:tc>
          <w:tcPr>
            <w:tcW w:w="800" w:type="dxa"/>
            <w:vAlign w:val="bottom"/>
          </w:tcPr>
          <w:p>
            <w:pPr>
              <w:spacing w:after="0"/>
              <w:rPr>
                <w:sz w:val="14"/>
                <w:szCs w:val="14"/>
                <w:color w:val="auto"/>
              </w:rPr>
            </w:pPr>
          </w:p>
        </w:tc>
      </w:tr>
      <w:tr>
        <w:trPr>
          <w:trHeight w:val="303"/>
        </w:trPr>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960" w:type="dxa"/>
            <w:vAlign w:val="bottom"/>
          </w:tcPr>
          <w:p>
            <w:pPr>
              <w:ind w:left="540"/>
              <w:spacing w:after="0"/>
              <w:rPr>
                <w:sz w:val="20"/>
                <w:szCs w:val="20"/>
                <w:color w:val="auto"/>
              </w:rPr>
            </w:pPr>
            <w:r>
              <w:rPr>
                <w:rFonts w:ascii="Arial" w:cs="Arial" w:eastAsia="Arial" w:hAnsi="Arial"/>
                <w:sz w:val="13"/>
                <w:szCs w:val="13"/>
                <w:color w:val="auto"/>
              </w:rPr>
              <w:t>F-20</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3 —</w:t>
      </w:r>
      <w:r>
        <w:rPr>
          <w:sz w:val="20"/>
          <w:szCs w:val="20"/>
          <w:color w:val="auto"/>
        </w:rPr>
        <w:tab/>
      </w:r>
      <w:r>
        <w:rPr>
          <w:rFonts w:ascii="Arial" w:cs="Arial" w:eastAsia="Arial" w:hAnsi="Arial"/>
          <w:sz w:val="11"/>
          <w:szCs w:val="11"/>
          <w:b w:val="1"/>
          <w:bCs w:val="1"/>
          <w:color w:val="auto"/>
        </w:rPr>
        <w:t>Fair Value Measurements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9"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Level 1 — </w:t>
      </w:r>
      <w:r>
        <w:rPr>
          <w:rFonts w:ascii="Arial" w:cs="Arial" w:eastAsia="Arial" w:hAnsi="Arial"/>
          <w:sz w:val="13"/>
          <w:szCs w:val="13"/>
          <w:color w:val="auto"/>
        </w:rPr>
        <w:t>Inputs based on quoted market prices for identical assets or liabilities in active markets at the measurement date.</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Level 2 — </w:t>
      </w:r>
      <w:r>
        <w:rPr>
          <w:rFonts w:ascii="Arial" w:cs="Arial" w:eastAsia="Arial" w:hAnsi="Arial"/>
          <w:sz w:val="13"/>
          <w:szCs w:val="13"/>
          <w:color w:val="auto"/>
        </w:rPr>
        <w:t>Observable inputs other than quoted prices included in Level 1, such as quoted prices for similar assets and liabilities in active markets; quoted prices for identical or</w:t>
      </w:r>
      <w:r>
        <w:rPr>
          <w:rFonts w:ascii="Arial" w:cs="Arial" w:eastAsia="Arial" w:hAnsi="Arial"/>
          <w:sz w:val="13"/>
          <w:szCs w:val="13"/>
          <w:i w:val="1"/>
          <w:iCs w:val="1"/>
          <w:color w:val="auto"/>
        </w:rPr>
        <w:t xml:space="preserve"> </w:t>
      </w:r>
      <w:r>
        <w:rPr>
          <w:rFonts w:ascii="Arial" w:cs="Arial" w:eastAsia="Arial" w:hAnsi="Arial"/>
          <w:sz w:val="13"/>
          <w:szCs w:val="13"/>
          <w:color w:val="auto"/>
        </w:rPr>
        <w:t>similar assets and liabilities in markets that are not active; or other inputs that are observable or can be corroborated by observable market data.</w:t>
      </w:r>
    </w:p>
    <w:p>
      <w:pPr>
        <w:spacing w:after="0" w:line="49" w:lineRule="exact"/>
        <w:rPr>
          <w:rFonts w:ascii="Arial" w:cs="Arial" w:eastAsia="Arial" w:hAnsi="Arial"/>
          <w:sz w:val="13"/>
          <w:szCs w:val="13"/>
          <w:color w:val="auto"/>
        </w:rPr>
      </w:pPr>
    </w:p>
    <w:p>
      <w:pPr>
        <w:ind w:left="1280" w:right="50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Level 3 — </w:t>
      </w:r>
      <w:r>
        <w:rPr>
          <w:rFonts w:ascii="Arial" w:cs="Arial" w:eastAsia="Arial" w:hAnsi="Arial"/>
          <w:sz w:val="13"/>
          <w:szCs w:val="13"/>
          <w:color w:val="auto"/>
        </w:rPr>
        <w:t>Inputs which reflect management’s best estimate of what market participants would use in pricing the asset or liability at the measurement date. The inputs are</w:t>
      </w:r>
      <w:r>
        <w:rPr>
          <w:rFonts w:ascii="Arial" w:cs="Arial" w:eastAsia="Arial" w:hAnsi="Arial"/>
          <w:sz w:val="13"/>
          <w:szCs w:val="13"/>
          <w:i w:val="1"/>
          <w:iCs w:val="1"/>
          <w:color w:val="auto"/>
        </w:rPr>
        <w:t xml:space="preserve"> </w:t>
      </w:r>
      <w:r>
        <w:rPr>
          <w:rFonts w:ascii="Arial" w:cs="Arial" w:eastAsia="Arial" w:hAnsi="Arial"/>
          <w:sz w:val="13"/>
          <w:szCs w:val="13"/>
          <w:color w:val="auto"/>
        </w:rPr>
        <w:t>unobservable in the market and significant to the instruments valuation.</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Effective April 4, 2009, the Company adopted the authoritative guidance for non-financial assets and liabilities that are remeasured at fair value on a non-recurring basis without material impact on its consolidated financial statements and disclosures.</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The following tables present the Company’s hierarchy for its assets and liabilities measured at fair value on a recurring basis as of April 1, 2011 and April 2,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320" w:type="dxa"/>
            <w:vAlign w:val="bottom"/>
            <w:gridSpan w:val="5"/>
          </w:tcPr>
          <w:p>
            <w:pPr>
              <w:ind w:left="180"/>
              <w:spacing w:after="0"/>
              <w:rPr>
                <w:sz w:val="20"/>
                <w:szCs w:val="20"/>
                <w:color w:val="auto"/>
              </w:rPr>
            </w:pPr>
            <w:r>
              <w:rPr>
                <w:rFonts w:ascii="Arial" w:cs="Arial" w:eastAsia="Arial" w:hAnsi="Arial"/>
                <w:sz w:val="10"/>
                <w:szCs w:val="10"/>
                <w:b w:val="1"/>
                <w:bCs w:val="1"/>
                <w:color w:val="auto"/>
              </w:rPr>
              <w:t>Fair Value at</w:t>
            </w:r>
          </w:p>
        </w:tc>
        <w:tc>
          <w:tcPr>
            <w:tcW w:w="50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Level 1</w:t>
            </w:r>
          </w:p>
        </w:tc>
        <w:tc>
          <w:tcPr>
            <w:tcW w:w="480" w:type="dxa"/>
            <w:vAlign w:val="bottom"/>
            <w:gridSpan w:val="2"/>
            <w:vMerge w:val="restart"/>
          </w:tcPr>
          <w:p>
            <w:pPr>
              <w:spacing w:after="0"/>
              <w:rPr>
                <w:sz w:val="10"/>
                <w:szCs w:val="10"/>
                <w:color w:val="auto"/>
              </w:rPr>
            </w:pP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Level 2</w:t>
            </w:r>
          </w:p>
        </w:tc>
        <w:tc>
          <w:tcPr>
            <w:tcW w:w="400" w:type="dxa"/>
            <w:vAlign w:val="bottom"/>
            <w:gridSpan w:val="2"/>
            <w:vMerge w:val="restart"/>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rPr>
              <w:t>Level 3</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92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April 1, 2011</w:t>
            </w:r>
          </w:p>
        </w:tc>
        <w:tc>
          <w:tcPr>
            <w:tcW w:w="400" w:type="dxa"/>
            <w:vAlign w:val="bottom"/>
            <w:gridSpan w:val="2"/>
          </w:tcPr>
          <w:p>
            <w:pPr>
              <w:spacing w:after="0"/>
              <w:rPr>
                <w:sz w:val="10"/>
                <w:szCs w:val="10"/>
                <w:color w:val="auto"/>
              </w:rPr>
            </w:pPr>
          </w:p>
        </w:tc>
        <w:tc>
          <w:tcPr>
            <w:tcW w:w="500" w:type="dxa"/>
            <w:vAlign w:val="bottom"/>
            <w:tcBorders>
              <w:bottom w:val="single" w:sz="8" w:color="auto"/>
            </w:tcBorders>
            <w:gridSpan w:val="3"/>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00" w:type="dxa"/>
            <w:vAlign w:val="bottom"/>
            <w:tcBorders>
              <w:bottom w:val="single" w:sz="8" w:color="auto"/>
            </w:tcBorders>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ind w:left="6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200" w:type="dxa"/>
            <w:vAlign w:val="bottom"/>
          </w:tcPr>
          <w:p>
            <w:pPr>
              <w:jc w:val="right"/>
              <w:ind w:right="61"/>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4,488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4,488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forward contracts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Total assets measured at fair value on a recurring basis</w:t>
            </w: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200" w:type="dxa"/>
            <w:vAlign w:val="bottom"/>
          </w:tcPr>
          <w:p>
            <w:pPr>
              <w:jc w:val="right"/>
              <w:ind w:right="61"/>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4,670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4,488</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$182</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Fair Value at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Level 1</w:t>
            </w:r>
          </w:p>
        </w:tc>
        <w:tc>
          <w:tcPr>
            <w:tcW w:w="2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w w:val="94"/>
              </w:rPr>
              <w:t>Level 2</w:t>
            </w:r>
          </w:p>
        </w:tc>
        <w:tc>
          <w:tcPr>
            <w:tcW w:w="30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rPr>
              <w:t>Level 3</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April 2, 2010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80"/>
              <w:spacing w:after="0"/>
              <w:rPr>
                <w:sz w:val="20"/>
                <w:szCs w:val="20"/>
                <w:color w:val="auto"/>
              </w:rPr>
            </w:pPr>
            <w:r>
              <w:rPr>
                <w:rFonts w:ascii="Arial" w:cs="Arial" w:eastAsia="Arial" w:hAnsi="Arial"/>
                <w:sz w:val="10"/>
                <w:szCs w:val="10"/>
                <w:b w:val="1"/>
                <w:bCs w:val="1"/>
                <w:color w:val="auto"/>
                <w:w w:val="98"/>
              </w:rPr>
              <w:t>(In thousands)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14,810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14,810</w:t>
            </w:r>
          </w:p>
        </w:tc>
        <w:tc>
          <w:tcPr>
            <w:tcW w:w="2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2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Total assets measured at fair value on a recurring basis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14,810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14,810</w:t>
            </w: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section describes the valuation methodologies the Company uses to measure financial instruments at fair value:</w:t>
      </w:r>
    </w:p>
    <w:p>
      <w:pPr>
        <w:spacing w:after="0" w:line="96"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Cash equivalents </w:t>
      </w:r>
      <w:r>
        <w:rPr>
          <w:rFonts w:ascii="Arial" w:cs="Arial" w:eastAsia="Arial" w:hAnsi="Arial"/>
          <w:sz w:val="13"/>
          <w:szCs w:val="13"/>
          <w:color w:val="auto"/>
        </w:rPr>
        <w:t>— The Company’s cash equivalents consist of money market funds. Money market funds are valued using quoted prices for identical assets in an active market with</w:t>
      </w:r>
      <w:r>
        <w:rPr>
          <w:rFonts w:ascii="Arial" w:cs="Arial" w:eastAsia="Arial" w:hAnsi="Arial"/>
          <w:sz w:val="13"/>
          <w:szCs w:val="13"/>
          <w:i w:val="1"/>
          <w:iCs w:val="1"/>
          <w:color w:val="auto"/>
        </w:rPr>
        <w:t xml:space="preserve"> </w:t>
      </w:r>
      <w:r>
        <w:rPr>
          <w:rFonts w:ascii="Arial" w:cs="Arial" w:eastAsia="Arial" w:hAnsi="Arial"/>
          <w:sz w:val="13"/>
          <w:szCs w:val="13"/>
          <w:color w:val="auto"/>
        </w:rPr>
        <w:t>sufficient volume and frequency of transactions (Level 1).</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Foreign currency forward exchange contracts — </w:t>
      </w:r>
      <w:r>
        <w:rPr>
          <w:rFonts w:ascii="Arial" w:cs="Arial" w:eastAsia="Arial" w:hAnsi="Arial"/>
          <w:sz w:val="13"/>
          <w:szCs w:val="13"/>
          <w:color w:val="auto"/>
        </w:rPr>
        <w:t>The Company uses derivative financial instruments to manage foreign currency risk relating to foreign exchange rates.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accounting. The Company’s foreign currency forward contracts are valued using quoted prices for similar assets and liabilities in active markets or other inputs that are observable or can be corroborated by observable market data.</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Long-term debt </w:t>
      </w:r>
      <w:r>
        <w:rPr>
          <w:rFonts w:ascii="Arial" w:cs="Arial" w:eastAsia="Arial" w:hAnsi="Arial"/>
          <w:sz w:val="13"/>
          <w:szCs w:val="13"/>
          <w:color w:val="auto"/>
        </w:rPr>
        <w:t>— The Company’s long-term debt consists of borrowings under the Credit Facility, reported at the borrowed outstanding amount, capital lease obligations reported at</w:t>
      </w:r>
      <w:r>
        <w:rPr>
          <w:rFonts w:ascii="Arial" w:cs="Arial" w:eastAsia="Arial" w:hAnsi="Arial"/>
          <w:sz w:val="13"/>
          <w:szCs w:val="13"/>
          <w:i w:val="1"/>
          <w:iCs w:val="1"/>
          <w:color w:val="auto"/>
        </w:rPr>
        <w:t xml:space="preserve"> </w:t>
      </w:r>
      <w:r>
        <w:rPr>
          <w:rFonts w:ascii="Arial" w:cs="Arial" w:eastAsia="Arial" w:hAnsi="Arial"/>
          <w:sz w:val="13"/>
          <w:szCs w:val="13"/>
          <w:color w:val="auto"/>
        </w:rPr>
        <w:t>the present value of future minimum lease payments with current accrued interest, and the Notes reported at amortized cost. However, for disclosure purposes, the Company is required to measure the fair value of outstanding debt on a recurring basis. The fair value of the Company’s outstanding long-term debt related to the Notes is determined using quoted prices in active markets and was approximately $293.6 million and $281.2 million as of April 1, 2011 and April 2, 2010, respectively. The fair value of the Company’s long-term debt related to the Credit Facility approximates its carrying amount due to its variable interest rate on the revolving line of credit, which approximates a market interest rate. The fair value of the Company’s capital lease obligations is estimated at their carrying value based on current rates.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4 — Goodwill and Acquired Intangible Assets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During fiscal year 2011, the Company’s goodwill increased by approximately $8.5 million, net, of which $7.4 million was related to the acquisition of Stonewood recorded within the Company’s government systems segment. In addition, the Company recorded a $0.4 million increase to goodwill primarily for the tax effect of certain pre-acquisition net operating loss carryovers with a corresponding adjustment to deferred tax assets within the Company’s satellite services segment. The Company also recorded a $0.5 million decrease to goodwill for the tax effect of certain pre-acquisition net operating loss carryovers with a corresponding adjustment to deferred tax liabilities within the Company’s government systems segment. The remaining change relates to the effect of foreign currency translation recorded within the Company’s government systems and commercial networks segments.</w:t>
      </w:r>
    </w:p>
    <w:p>
      <w:pPr>
        <w:spacing w:after="0" w:line="55"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other acquired intangible assets are amortized using the straight-line method over their estimated useful lives of eight months to ten years. Amortization expense related to other acquired intangible assets was $19.4 million, $9.5 million and $8.8 million for the fiscal years ended April 1, 2011, April 2, 2010 and April 3, 2009, respectively.</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expected amortization expense of amortizable acquired intangible assets may change due to the effects of foreign currency fluctuations as a result of the international businesses acquired. Expected amortization expense for acquired intangible assets for each of the following periods is as follows:</w:t>
      </w:r>
    </w:p>
    <w:p>
      <w:pPr>
        <w:sectPr>
          <w:pgSz w:w="11900" w:h="16838" w:orient="portrait"/>
          <w:cols w:equalWidth="0" w:num="1">
            <w:col w:w="10640"/>
          </w:cols>
          <w:pgMar w:left="220" w:top="343" w:right="1039" w:bottom="1440" w:gutter="0" w:footer="0" w:header="0"/>
        </w:sectPr>
      </w:pPr>
    </w:p>
    <w:p>
      <w:pPr>
        <w:spacing w:after="0" w:line="3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for fiscal year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-81280</wp:posOffset>
            </wp:positionV>
            <wp:extent cx="6335395" cy="99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for fiscal year 2013</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for fiscal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2"/>
          <w:szCs w:val="12"/>
          <w:color w:val="auto"/>
        </w:rPr>
        <w:t>Expected for fiscal year 2015</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for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18415</wp:posOffset>
            </wp:positionV>
            <wp:extent cx="6335395" cy="996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06"/>
        <w:spacing w:after="0"/>
        <w:rPr>
          <w:sz w:val="20"/>
          <w:szCs w:val="20"/>
          <w:color w:val="auto"/>
        </w:rPr>
      </w:pPr>
      <w:r>
        <w:rPr>
          <w:rFonts w:ascii="Arial" w:cs="Arial" w:eastAsia="Arial" w:hAnsi="Arial"/>
          <w:sz w:val="10"/>
          <w:szCs w:val="10"/>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3055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ind w:left="166"/>
        <w:spacing w:after="0"/>
        <w:rPr>
          <w:sz w:val="20"/>
          <w:szCs w:val="20"/>
          <w:color w:val="auto"/>
        </w:rPr>
      </w:pPr>
      <w:r>
        <w:rPr>
          <w:rFonts w:ascii="Arial" w:cs="Arial" w:eastAsia="Arial" w:hAnsi="Arial"/>
          <w:sz w:val="10"/>
          <w:szCs w:val="10"/>
          <w:b w:val="1"/>
          <w:bCs w:val="1"/>
          <w:color w:val="auto"/>
        </w:rPr>
        <w:t>(In thousands)</w:t>
      </w:r>
    </w:p>
    <w:p>
      <w:pPr>
        <w:spacing w:after="0" w:line="29" w:lineRule="exact"/>
        <w:rPr>
          <w:sz w:val="20"/>
          <w:szCs w:val="20"/>
          <w:color w:val="auto"/>
        </w:rPr>
      </w:pPr>
    </w:p>
    <w:p>
      <w:pPr>
        <w:ind w:left="626" w:hanging="626"/>
        <w:spacing w:after="0"/>
        <w:tabs>
          <w:tab w:leader="none" w:pos="626" w:val="left"/>
        </w:tabs>
        <w:numPr>
          <w:ilvl w:val="0"/>
          <w:numId w:val="42"/>
        </w:numPr>
        <w:rPr>
          <w:rFonts w:ascii="Arial" w:cs="Arial" w:eastAsia="Arial" w:hAnsi="Arial"/>
          <w:sz w:val="11"/>
          <w:szCs w:val="11"/>
          <w:color w:val="auto"/>
        </w:rPr>
      </w:pPr>
      <w:r>
        <w:rPr>
          <w:rFonts w:ascii="Arial" w:cs="Arial" w:eastAsia="Arial" w:hAnsi="Arial"/>
          <w:sz w:val="11"/>
          <w:szCs w:val="11"/>
          <w:color w:val="auto"/>
        </w:rPr>
        <w:t>18,735</w:t>
      </w:r>
    </w:p>
    <w:p>
      <w:pPr>
        <w:spacing w:after="0" w:line="38" w:lineRule="exact"/>
        <w:rPr>
          <w:rFonts w:ascii="Arial" w:cs="Arial" w:eastAsia="Arial" w:hAnsi="Arial"/>
          <w:sz w:val="11"/>
          <w:szCs w:val="11"/>
          <w:color w:val="auto"/>
        </w:rPr>
      </w:pPr>
    </w:p>
    <w:p>
      <w:pPr>
        <w:ind w:left="626"/>
        <w:spacing w:after="0"/>
        <w:rPr>
          <w:rFonts w:ascii="Arial" w:cs="Arial" w:eastAsia="Arial" w:hAnsi="Arial"/>
          <w:sz w:val="11"/>
          <w:szCs w:val="11"/>
          <w:color w:val="auto"/>
        </w:rPr>
      </w:pPr>
      <w:r>
        <w:rPr>
          <w:rFonts w:ascii="Arial" w:cs="Arial" w:eastAsia="Arial" w:hAnsi="Arial"/>
          <w:sz w:val="11"/>
          <w:szCs w:val="11"/>
          <w:color w:val="auto"/>
        </w:rPr>
        <w:t>15,623</w:t>
      </w:r>
    </w:p>
    <w:p>
      <w:pPr>
        <w:spacing w:after="0" w:line="30" w:lineRule="exact"/>
        <w:rPr>
          <w:rFonts w:ascii="Arial" w:cs="Arial" w:eastAsia="Arial" w:hAnsi="Arial"/>
          <w:sz w:val="11"/>
          <w:szCs w:val="11"/>
          <w:color w:val="auto"/>
        </w:rPr>
      </w:pPr>
    </w:p>
    <w:p>
      <w:pPr>
        <w:ind w:left="626"/>
        <w:spacing w:after="0"/>
        <w:rPr>
          <w:rFonts w:ascii="Arial" w:cs="Arial" w:eastAsia="Arial" w:hAnsi="Arial"/>
          <w:sz w:val="11"/>
          <w:szCs w:val="11"/>
          <w:color w:val="auto"/>
        </w:rPr>
      </w:pPr>
      <w:r>
        <w:rPr>
          <w:rFonts w:ascii="Arial" w:cs="Arial" w:eastAsia="Arial" w:hAnsi="Arial"/>
          <w:sz w:val="11"/>
          <w:szCs w:val="11"/>
          <w:color w:val="auto"/>
        </w:rPr>
        <w:t>13,879</w:t>
      </w:r>
    </w:p>
    <w:p>
      <w:pPr>
        <w:spacing w:after="0" w:line="30" w:lineRule="exact"/>
        <w:rPr>
          <w:rFonts w:ascii="Arial" w:cs="Arial" w:eastAsia="Arial" w:hAnsi="Arial"/>
          <w:sz w:val="11"/>
          <w:szCs w:val="11"/>
          <w:color w:val="auto"/>
        </w:rPr>
      </w:pPr>
    </w:p>
    <w:p>
      <w:pPr>
        <w:ind w:left="626"/>
        <w:spacing w:after="0"/>
        <w:rPr>
          <w:rFonts w:ascii="Arial" w:cs="Arial" w:eastAsia="Arial" w:hAnsi="Arial"/>
          <w:sz w:val="11"/>
          <w:szCs w:val="11"/>
          <w:color w:val="auto"/>
        </w:rPr>
      </w:pPr>
      <w:r>
        <w:rPr>
          <w:rFonts w:ascii="Arial" w:cs="Arial" w:eastAsia="Arial" w:hAnsi="Arial"/>
          <w:sz w:val="11"/>
          <w:szCs w:val="11"/>
          <w:color w:val="auto"/>
        </w:rPr>
        <w:t>13,803</w:t>
      </w:r>
    </w:p>
    <w:p>
      <w:pPr>
        <w:spacing w:after="0" w:line="30" w:lineRule="exact"/>
        <w:rPr>
          <w:rFonts w:ascii="Arial" w:cs="Arial" w:eastAsia="Arial" w:hAnsi="Arial"/>
          <w:sz w:val="11"/>
          <w:szCs w:val="11"/>
          <w:color w:val="auto"/>
        </w:rPr>
      </w:pPr>
    </w:p>
    <w:p>
      <w:pPr>
        <w:ind w:left="626"/>
        <w:spacing w:after="0"/>
        <w:rPr>
          <w:rFonts w:ascii="Arial" w:cs="Arial" w:eastAsia="Arial" w:hAnsi="Arial"/>
          <w:sz w:val="11"/>
          <w:szCs w:val="11"/>
          <w:color w:val="auto"/>
        </w:rPr>
      </w:pPr>
      <w:r>
        <w:rPr>
          <w:rFonts w:ascii="Arial" w:cs="Arial" w:eastAsia="Arial" w:hAnsi="Arial"/>
          <w:sz w:val="11"/>
          <w:szCs w:val="11"/>
          <w:color w:val="auto"/>
        </w:rPr>
        <w:t>10,203</w:t>
      </w:r>
    </w:p>
    <w:p>
      <w:pPr>
        <w:spacing w:after="0" w:line="30" w:lineRule="exact"/>
        <w:rPr>
          <w:rFonts w:ascii="Arial" w:cs="Arial" w:eastAsia="Arial" w:hAnsi="Arial"/>
          <w:sz w:val="11"/>
          <w:szCs w:val="11"/>
          <w:color w:val="auto"/>
        </w:rPr>
      </w:pPr>
    </w:p>
    <w:p>
      <w:pPr>
        <w:ind w:left="706"/>
        <w:spacing w:after="0"/>
        <w:rPr>
          <w:rFonts w:ascii="Arial" w:cs="Arial" w:eastAsia="Arial" w:hAnsi="Arial"/>
          <w:sz w:val="11"/>
          <w:szCs w:val="11"/>
          <w:color w:val="auto"/>
        </w:rPr>
      </w:pPr>
      <w:r>
        <w:rPr>
          <w:rFonts w:ascii="Arial" w:cs="Arial" w:eastAsia="Arial" w:hAnsi="Arial"/>
          <w:sz w:val="11"/>
          <w:szCs w:val="11"/>
          <w:color w:val="auto"/>
        </w:rPr>
        <w:t>9,646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3055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23" w:lineRule="exact"/>
        <w:rPr>
          <w:sz w:val="20"/>
          <w:szCs w:val="20"/>
          <w:color w:val="auto"/>
        </w:rPr>
      </w:pPr>
    </w:p>
    <w:p>
      <w:pPr>
        <w:ind w:left="626" w:hanging="626"/>
        <w:spacing w:after="0"/>
        <w:tabs>
          <w:tab w:leader="none" w:pos="626" w:val="left"/>
        </w:tabs>
        <w:numPr>
          <w:ilvl w:val="0"/>
          <w:numId w:val="43"/>
        </w:numPr>
        <w:rPr>
          <w:rFonts w:ascii="Arial" w:cs="Arial" w:eastAsia="Arial" w:hAnsi="Arial"/>
          <w:sz w:val="11"/>
          <w:szCs w:val="11"/>
          <w:color w:val="auto"/>
        </w:rPr>
      </w:pPr>
      <w:r>
        <w:rPr>
          <w:rFonts w:ascii="Arial" w:cs="Arial" w:eastAsia="Arial" w:hAnsi="Arial"/>
          <w:sz w:val="11"/>
          <w:szCs w:val="11"/>
          <w:color w:val="auto"/>
        </w:rPr>
        <w:t>81,889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3055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63055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54" w:space="720"/>
            <w:col w:w="1066"/>
          </w:cols>
          <w:pgMar w:left="220" w:top="343" w:right="1039" w:bottom="1440" w:gutter="0" w:footer="0" w:header="0"/>
          <w:type w:val="continuous"/>
        </w:sectPr>
      </w:pP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1"/>
          <w:szCs w:val="1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allocation of the other acquired intangible assets and the related accumulated amortization as of April 1, 2011 and April 2, 2010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w w:val="96"/>
              </w:rPr>
              <w:t>As of April 1, 2011</w:t>
            </w: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As of April 2, 2010</w:t>
            </w: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Average</w:t>
            </w:r>
          </w:p>
        </w:tc>
        <w:tc>
          <w:tcPr>
            <w:tcW w:w="160" w:type="dxa"/>
            <w:vAlign w:val="bottom"/>
          </w:tcPr>
          <w:p>
            <w:pPr>
              <w:spacing w:after="0"/>
              <w:rPr>
                <w:sz w:val="7"/>
                <w:szCs w:val="7"/>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right"/>
              <w:ind w:right="220"/>
              <w:spacing w:after="0" w:line="81" w:lineRule="exact"/>
              <w:rPr>
                <w:sz w:val="20"/>
                <w:szCs w:val="20"/>
                <w:color w:val="auto"/>
              </w:rPr>
            </w:pPr>
            <w:r>
              <w:rPr>
                <w:rFonts w:ascii="Arial" w:cs="Arial" w:eastAsia="Arial" w:hAnsi="Arial"/>
                <w:sz w:val="9"/>
                <w:szCs w:val="9"/>
                <w:b w:val="1"/>
                <w:bCs w:val="1"/>
                <w:color w:val="auto"/>
              </w:rPr>
              <w:t>Accumulated</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Net book</w:t>
            </w: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3"/>
            <w:vMerge w:val="restart"/>
          </w:tcPr>
          <w:p>
            <w:pPr>
              <w:jc w:val="right"/>
              <w:ind w:right="300"/>
              <w:spacing w:after="0"/>
              <w:rPr>
                <w:sz w:val="20"/>
                <w:szCs w:val="20"/>
                <w:color w:val="auto"/>
              </w:rPr>
            </w:pPr>
            <w:r>
              <w:rPr>
                <w:rFonts w:ascii="Arial" w:cs="Arial" w:eastAsia="Arial" w:hAnsi="Arial"/>
                <w:sz w:val="10"/>
                <w:szCs w:val="10"/>
                <w:b w:val="1"/>
                <w:bCs w:val="1"/>
                <w:color w:val="auto"/>
              </w:rPr>
              <w:t>Total</w:t>
            </w:r>
          </w:p>
        </w:tc>
        <w:tc>
          <w:tcPr>
            <w:tcW w:w="220" w:type="dxa"/>
            <w:vAlign w:val="bottom"/>
          </w:tcPr>
          <w:p>
            <w:pPr>
              <w:spacing w:after="0"/>
              <w:rPr>
                <w:sz w:val="7"/>
                <w:szCs w:val="7"/>
                <w:color w:val="auto"/>
              </w:rPr>
            </w:pPr>
          </w:p>
        </w:tc>
        <w:tc>
          <w:tcPr>
            <w:tcW w:w="940" w:type="dxa"/>
            <w:vAlign w:val="bottom"/>
            <w:gridSpan w:val="3"/>
          </w:tcPr>
          <w:p>
            <w:pPr>
              <w:jc w:val="right"/>
              <w:ind w:right="240"/>
              <w:spacing w:after="0" w:line="81" w:lineRule="exact"/>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ind w:right="16"/>
              <w:spacing w:after="0" w:line="81" w:lineRule="exact"/>
              <w:rPr>
                <w:sz w:val="20"/>
                <w:szCs w:val="20"/>
                <w:color w:val="auto"/>
              </w:rPr>
            </w:pPr>
            <w:r>
              <w:rPr>
                <w:rFonts w:ascii="Arial" w:cs="Arial" w:eastAsia="Arial" w:hAnsi="Arial"/>
                <w:sz w:val="9"/>
                <w:szCs w:val="9"/>
                <w:b w:val="1"/>
                <w:bCs w:val="1"/>
                <w:color w:val="auto"/>
              </w:rPr>
              <w:t>Net book</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Useful Life</w:t>
            </w: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8"/>
              </w:rPr>
              <w:t>Amortization</w:t>
            </w:r>
          </w:p>
        </w:tc>
        <w:tc>
          <w:tcPr>
            <w:tcW w:w="18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81"/>
              </w:rPr>
              <w:t>(In</w:t>
            </w:r>
          </w:p>
        </w:tc>
        <w:tc>
          <w:tcPr>
            <w:tcW w:w="80" w:type="dxa"/>
            <w:vAlign w:val="bottom"/>
          </w:tcPr>
          <w:p>
            <w:pPr>
              <w:spacing w:after="0"/>
              <w:rPr>
                <w:sz w:val="10"/>
                <w:szCs w:val="10"/>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Value</w:t>
            </w:r>
          </w:p>
        </w:tc>
        <w:tc>
          <w:tcPr>
            <w:tcW w:w="16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Amortization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5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thousands)</w:t>
            </w: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Technology</w:t>
            </w:r>
          </w:p>
        </w:tc>
        <w:tc>
          <w:tcPr>
            <w:tcW w:w="24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54,344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(43,930)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10,414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44,552</w:t>
            </w:r>
          </w:p>
        </w:tc>
        <w:tc>
          <w:tcPr>
            <w:tcW w:w="620" w:type="dxa"/>
            <w:vAlign w:val="bottom"/>
            <w:gridSpan w:val="2"/>
            <w:shd w:val="clear" w:color="auto" w:fill="CCEEFF"/>
          </w:tcPr>
          <w:p>
            <w:pPr>
              <w:jc w:val="right"/>
              <w:ind w:right="266"/>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(39,147)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rPr>
              <w:t>Contracts and customer relationships</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88,834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(28,597)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60,237</w:t>
            </w:r>
          </w:p>
        </w:tc>
        <w:tc>
          <w:tcPr>
            <w:tcW w:w="1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86,707</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(17,184)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69,523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9,332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(9,101)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231</w:t>
            </w: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9,098</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(8,870)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rPr>
              <w:t>Satellite co-location rights</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8,600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(1,194)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7,406</w:t>
            </w:r>
          </w:p>
        </w:tc>
        <w:tc>
          <w:tcPr>
            <w:tcW w:w="1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8,600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(270)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8,330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Trade name</w:t>
            </w:r>
          </w:p>
        </w:tc>
        <w:tc>
          <w:tcPr>
            <w:tcW w:w="246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5,680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(2,446)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3,234</w:t>
            </w: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5,680</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Other</w:t>
            </w:r>
          </w:p>
        </w:tc>
        <w:tc>
          <w:tcPr>
            <w:tcW w:w="24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(8,964)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367</w:t>
            </w:r>
          </w:p>
        </w:tc>
        <w:tc>
          <w:tcPr>
            <w:tcW w:w="1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9,326</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(8,551)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other acquired intangible assets</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176,121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(94,232)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81,889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163,963</w:t>
            </w:r>
          </w:p>
        </w:tc>
        <w:tc>
          <w:tcPr>
            <w:tcW w:w="620" w:type="dxa"/>
            <w:vAlign w:val="bottom"/>
            <w:gridSpan w:val="2"/>
            <w:shd w:val="clear" w:color="auto" w:fill="CCEEFF"/>
          </w:tcPr>
          <w:p>
            <w:pPr>
              <w:jc w:val="right"/>
              <w:ind w:right="266"/>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(74,574)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rPr>
              <w:t>Note 5 —</w:t>
            </w: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w w:val="95"/>
              </w:rPr>
              <w:t>Senior Notes and Other Long-Term Debt</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5140" w:type="dxa"/>
            <w:vAlign w:val="bottom"/>
            <w:gridSpan w:val="7"/>
          </w:tcPr>
          <w:p>
            <w:pPr>
              <w:ind w:left="400"/>
              <w:spacing w:after="0"/>
              <w:rPr>
                <w:sz w:val="20"/>
                <w:szCs w:val="20"/>
                <w:color w:val="auto"/>
              </w:rPr>
            </w:pPr>
            <w:r>
              <w:rPr>
                <w:rFonts w:ascii="Arial" w:cs="Arial" w:eastAsia="Arial" w:hAnsi="Arial"/>
                <w:sz w:val="13"/>
                <w:szCs w:val="13"/>
                <w:color w:val="auto"/>
                <w:w w:val="98"/>
              </w:rPr>
              <w:t>Total long-term debt consisted of the following as of April 1, 2011 and April 2, 2010: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286"/>
              <w:spacing w:after="0"/>
              <w:rPr>
                <w:sz w:val="20"/>
                <w:szCs w:val="20"/>
                <w:color w:val="auto"/>
              </w:rPr>
            </w:pPr>
            <w:r>
              <w:rPr>
                <w:rFonts w:ascii="Arial" w:cs="Arial" w:eastAsia="Arial" w:hAnsi="Arial"/>
                <w:sz w:val="10"/>
                <w:szCs w:val="10"/>
                <w:b w:val="1"/>
                <w:bCs w:val="1"/>
                <w:color w:val="auto"/>
              </w:rPr>
              <w:t>As of</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5"/>
              </w:rPr>
              <w:t>As of</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auto"/>
            </w:tcBorders>
            <w:gridSpan w:val="4"/>
          </w:tcPr>
          <w:p>
            <w:pPr>
              <w:jc w:val="right"/>
              <w:ind w:right="106"/>
              <w:spacing w:after="0"/>
              <w:rPr>
                <w:sz w:val="20"/>
                <w:szCs w:val="20"/>
                <w:color w:val="auto"/>
              </w:rPr>
            </w:pPr>
            <w:r>
              <w:rPr>
                <w:rFonts w:ascii="Arial" w:cs="Arial" w:eastAsia="Arial" w:hAnsi="Arial"/>
                <w:sz w:val="10"/>
                <w:szCs w:val="10"/>
                <w:b w:val="1"/>
                <w:bCs w:val="1"/>
                <w:color w:val="auto"/>
              </w:rPr>
              <w:t>April 1, 2011</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0"/>
                <w:szCs w:val="10"/>
                <w:b w:val="1"/>
                <w:bCs w:val="1"/>
                <w:color w:val="auto"/>
                <w:w w:val="94"/>
              </w:rPr>
              <w:t>April 2, 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92"/>
              </w:rPr>
              <w:t>thousands)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Senior Notes due 2016 (the Notes)</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Notes</w:t>
            </w:r>
          </w:p>
        </w:tc>
        <w:tc>
          <w:tcPr>
            <w:tcW w:w="2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6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275,000</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275,000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Unamortized discount on the Notes</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CCEEFF"/>
            </w:tcBorders>
            <w:gridSpan w:val="3"/>
            <w:shd w:val="clear" w:color="auto" w:fill="CCEEFF"/>
          </w:tcPr>
          <w:p>
            <w:pPr>
              <w:jc w:val="right"/>
              <w:ind w:right="316"/>
              <w:spacing w:after="0"/>
              <w:rPr>
                <w:sz w:val="20"/>
                <w:szCs w:val="20"/>
                <w:color w:val="auto"/>
              </w:rPr>
            </w:pPr>
            <w:r>
              <w:rPr>
                <w:rFonts w:ascii="Arial" w:cs="Arial" w:eastAsia="Arial" w:hAnsi="Arial"/>
                <w:sz w:val="13"/>
                <w:szCs w:val="13"/>
                <w:color w:val="auto"/>
              </w:rPr>
              <w:t>(2,704)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3"/>
                <w:szCs w:val="13"/>
                <w:color w:val="auto"/>
              </w:rPr>
              <w:t>Total Notes, net of discount</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272,296</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271,801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of the Notes</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3"/>
                <w:szCs w:val="13"/>
                <w:color w:val="auto"/>
              </w:rPr>
              <w:t>Total Notes long-term, net</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272,296</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271,801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Other Long-Term Debt</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w w:val="99"/>
              </w:rPr>
              <w:t>Line of credit</w:t>
            </w:r>
          </w:p>
        </w:tc>
        <w:tc>
          <w:tcPr>
            <w:tcW w:w="2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60,000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140" w:type="dxa"/>
            <w:vAlign w:val="bottom"/>
            <w:gridSpan w:val="7"/>
            <w:shd w:val="clear" w:color="auto" w:fill="CCEEFF"/>
          </w:tcPr>
          <w:p>
            <w:pPr>
              <w:spacing w:after="0"/>
              <w:rPr>
                <w:sz w:val="20"/>
                <w:szCs w:val="20"/>
                <w:color w:val="auto"/>
              </w:rPr>
            </w:pPr>
            <w:r>
              <w:rPr>
                <w:rFonts w:ascii="Arial" w:cs="Arial" w:eastAsia="Arial" w:hAnsi="Arial"/>
                <w:sz w:val="13"/>
                <w:szCs w:val="13"/>
                <w:color w:val="auto"/>
                <w:w w:val="92"/>
              </w:rPr>
              <w:t>Capital lease obligations, due fiscal years 2014 to 2015, weighted average interest rate of 4.69%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3,074</w:t>
            </w:r>
          </w:p>
        </w:tc>
        <w:tc>
          <w:tcPr>
            <w:tcW w:w="4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3"/>
                <w:szCs w:val="13"/>
                <w:color w:val="auto"/>
              </w:rPr>
              <w:t>Total other long-term debt</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63,074</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of other long-term debt</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1,128</w:t>
            </w:r>
          </w:p>
        </w:tc>
        <w:tc>
          <w:tcPr>
            <w:tcW w:w="4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3"/>
                <w:szCs w:val="13"/>
                <w:color w:val="auto"/>
              </w:rPr>
              <w:t>Other long-term debt, net</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61,946</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2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335,370</w:t>
            </w:r>
          </w:p>
        </w:tc>
        <w:tc>
          <w:tcPr>
            <w:tcW w:w="4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331,801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3"/>
                <w:szCs w:val="13"/>
                <w:color w:val="auto"/>
              </w:rPr>
              <w:t>Less: current portion</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1,128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net</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334,242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331,801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w w:val="89"/>
              </w:rPr>
              <w:t>F-23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aggregate payments on the Company’s long-term debt obligations, excluding the effects of discount accretion, on its $275.0 million of Notes and required interest payments on the Credit Facility as of April 1, 2011 were as follows:</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0"/>
          <w:szCs w:val="10"/>
          <w:b w:val="1"/>
          <w:bCs w:val="1"/>
          <w:color w:val="auto"/>
        </w:rPr>
        <w:t>For the Fiscal Years Ending</w:t>
      </w:r>
    </w:p>
    <w:p>
      <w:pPr>
        <w:spacing w:after="0" w:line="10"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8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2013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1,308</w:t>
            </w: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2015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2016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60,000</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Thereafter</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275,000</w:t>
            </w: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338,269</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Less: imputed interest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Less: unamortized discount on the Notes</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2,704</w:t>
            </w:r>
          </w:p>
        </w:tc>
        <w:tc>
          <w:tcPr>
            <w:tcW w:w="100" w:type="dxa"/>
            <w:vAlign w:val="bottom"/>
            <w:shd w:val="clear" w:color="auto" w:fill="CCEEFF"/>
          </w:tcPr>
          <w:p>
            <w:pPr>
              <w:spacing w:after="0"/>
              <w:rPr>
                <w:sz w:val="13"/>
                <w:szCs w:val="13"/>
                <w:color w:val="auto"/>
              </w:rPr>
            </w:pPr>
          </w:p>
        </w:tc>
      </w:tr>
      <w:tr>
        <w:trPr>
          <w:trHeight w:val="156"/>
        </w:trPr>
        <w:tc>
          <w:tcPr>
            <w:tcW w:w="8700" w:type="dxa"/>
            <w:vAlign w:val="bottom"/>
          </w:tcPr>
          <w:p>
            <w:pPr>
              <w:spacing w:after="0"/>
              <w:rPr>
                <w:sz w:val="20"/>
                <w:szCs w:val="20"/>
                <w:color w:val="auto"/>
              </w:rPr>
            </w:pPr>
            <w:r>
              <w:rPr>
                <w:rFonts w:ascii="Arial" w:cs="Arial" w:eastAsia="Arial" w:hAnsi="Arial"/>
                <w:sz w:val="13"/>
                <w:szCs w:val="13"/>
                <w:color w:val="auto"/>
              </w:rPr>
              <w:t>Total</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335,370</w:t>
            </w:r>
          </w:p>
        </w:tc>
        <w:tc>
          <w:tcPr>
            <w:tcW w:w="100" w:type="dxa"/>
            <w:vAlign w:val="bottom"/>
          </w:tcPr>
          <w:p>
            <w:pPr>
              <w:spacing w:after="0"/>
              <w:rPr>
                <w:sz w:val="13"/>
                <w:szCs w:val="13"/>
                <w:color w:val="auto"/>
              </w:rPr>
            </w:pPr>
          </w:p>
        </w:tc>
      </w:tr>
      <w:tr>
        <w:trPr>
          <w:trHeight w:val="30"/>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Notes due 2016</w:t>
      </w:r>
    </w:p>
    <w:p>
      <w:pPr>
        <w:spacing w:after="0" w:line="96" w:lineRule="exact"/>
        <w:rPr>
          <w:sz w:val="20"/>
          <w:szCs w:val="20"/>
          <w:color w:val="auto"/>
        </w:rPr>
      </w:pPr>
    </w:p>
    <w:p>
      <w:pPr>
        <w:jc w:val="both"/>
        <w:ind w:left="680" w:right="80" w:firstLine="399"/>
        <w:spacing w:after="0" w:line="258" w:lineRule="auto"/>
        <w:rPr>
          <w:sz w:val="20"/>
          <w:szCs w:val="20"/>
          <w:color w:val="auto"/>
        </w:rPr>
      </w:pPr>
      <w:r>
        <w:rPr>
          <w:rFonts w:ascii="Arial" w:cs="Arial" w:eastAsia="Arial" w:hAnsi="Arial"/>
          <w:sz w:val="13"/>
          <w:szCs w:val="13"/>
          <w:color w:val="auto"/>
        </w:rPr>
        <w:t>On October 22, 2009, the Company issued $275.0 million in principal amount of Notes in a private placement to institutional buyers, which Notes were exchanged in May 2010 for substantially identical Notes that had been registered with the SEC. The Notes bear interest at the rate of 8.875% per year, payable semi-annually in cash in arrears, which interest payments commenced in March 2010. The Notes were issued with an original issue discount of 1.24%, or $3.4 million. The Notes are recorded as long-term debt, net of original issue discount, in the Company’s consolidated financial statements. The original issue discount and deferred financing cost associated with the issuance of the Notes is amortized to interest expense on a straight-line basis over the term of the Notes.</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Notes are guaranteed on an unsecured senior basis by each of the Company’s existing and future subsidiaries that guarantees the Credit Facility (the Guarantor Subsidiaries). The Notes and the guarantees are the Company’s and the Guarantor Subsidiaries’ general senior unsecured obligations and rank equally in right of payment with all of the Company’s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Notes, and are senior in right of payment to all of their existing and future subordinated indebtedness.</w:t>
      </w:r>
    </w:p>
    <w:p>
      <w:pPr>
        <w:spacing w:after="0" w:line="55"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indenture agreement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53"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Prior to September 15, 2012, the Company may redeem up to 35% of the Notes at a redemption price of 108.875% of the principal amount thereof, plus accrued and unpaid interest, if any, thereon to the redemption date, from the net cash proceeds of specified equity offerings. The Company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plus (2) 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71"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In the event a change of control occurs (as defined under the indenture), each holder will have the right to require the Company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Facility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As of April 1, 2011, the Credit Facility provided a revolving line of credit of $325.0 million (including up to $35.0 million of letters of credit), with a maturity date of January 25, 2016. On January 25, 2011, the Company amended the Credit Facility to (1) increase the Company’s revolving line of credit from $275.0 million to $325.0 million, (2) extend the maturity date of the Credit Facility from July 1, 2012 to January 25, 2016, (3) decrease the commitment fee and the applicable margin for Eurodollar and base rate loans under the Credit Facility, and (4) amend certain financial and other covenants to provide the Company with increased flexibility. Borrowings under the Credit Facility bear interest, at the Company’s option, at either</w:t>
      </w:r>
    </w:p>
    <w:p>
      <w:pPr>
        <w:spacing w:after="0" w:line="2" w:lineRule="exact"/>
        <w:rPr>
          <w:sz w:val="20"/>
          <w:szCs w:val="20"/>
          <w:color w:val="auto"/>
        </w:rPr>
      </w:pPr>
    </w:p>
    <w:p>
      <w:pPr>
        <w:ind w:left="680" w:right="20" w:firstLine="7"/>
        <w:spacing w:after="0" w:line="281" w:lineRule="auto"/>
        <w:tabs>
          <w:tab w:leader="none" w:pos="866"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highest of the Federal Funds rate plus 0.50%, the Eurodollar rate plus 1.00% or the administrative agent’s prime rate as announced from time to time, or (2) at the Eurodollar rate plus, in the case of each of (1) and (2), an applicable margin that is based on the ratio of the Company’s debt to earnings before interest, taxes, depreciation and amortization (EBITDA). At April 1, 2011, the weighted average effective interest rate on the Company’s outstanding borrowings under the Credit Facility was 3.29%. The Company has capitalized certain amounts of interest expense on the Credit Facility in connection with the construction of ViaSat-1, related gateway and networking equipment and other assets currently under construction. The Credit Facility is guaranteed by certain of the Company’s domestic subsidiaries and collateralized by substantially all of the Company’s and the Guarantor Subsidiaries’ assets.</w:t>
      </w:r>
    </w:p>
    <w:p>
      <w:pPr>
        <w:spacing w:after="0" w:line="6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Credit Facility contains financial covenants regarding a maximum leverage ratio, a maximum senior secured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Company was in compliance with its financial covenants under the Credit Facility as of April 1, 2011. At April 1, 2011, the Company had $60.0 million in principal amount of outstanding borrowings under the Credit Facility and $14.3 million outstanding under standby letters of credit, leaving borrowing availability under the Credit Facility as of April 1, 2011of $250.7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leases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Occasionally the Company may enter into capital lease agreements for various machinery, equipment, computer-related equipment, software, furniture or fixtures. As of April 1, 2011, the Company had approximately $3.1 million outstanding under capital leases payable over a weighted average period of 36 months. These lease agreements bear interest at a weighted average rate of 4.69% and can be extended on a month-to-month basis after the original term. The Company had no material capital lease arrangements as of April 2, 2010.</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6 —</w:t>
      </w:r>
      <w:r>
        <w:rPr>
          <w:sz w:val="20"/>
          <w:szCs w:val="20"/>
          <w:color w:val="auto"/>
        </w:rPr>
        <w:tab/>
      </w:r>
      <w:r>
        <w:rPr>
          <w:rFonts w:ascii="Arial" w:cs="Arial" w:eastAsia="Arial" w:hAnsi="Arial"/>
          <w:sz w:val="11"/>
          <w:szCs w:val="11"/>
          <w:b w:val="1"/>
          <w:bCs w:val="1"/>
          <w:color w:val="auto"/>
        </w:rPr>
        <w:t>Common Stock and Stock Plans</w:t>
      </w:r>
    </w:p>
    <w:p>
      <w:pPr>
        <w:spacing w:after="0" w:line="100" w:lineRule="exact"/>
        <w:rPr>
          <w:sz w:val="20"/>
          <w:szCs w:val="20"/>
          <w:color w:val="auto"/>
        </w:rPr>
      </w:pPr>
    </w:p>
    <w:p>
      <w:pPr>
        <w:ind w:left="680" w:right="220" w:firstLine="399"/>
        <w:spacing w:after="0" w:line="316" w:lineRule="auto"/>
        <w:rPr>
          <w:sz w:val="20"/>
          <w:szCs w:val="20"/>
          <w:color w:val="auto"/>
        </w:rPr>
      </w:pPr>
      <w:r>
        <w:rPr>
          <w:rFonts w:ascii="Arial" w:cs="Arial" w:eastAsia="Arial" w:hAnsi="Arial"/>
          <w:sz w:val="11"/>
          <w:szCs w:val="11"/>
          <w:color w:val="auto"/>
        </w:rPr>
        <w:t>On March 31, 2010, the Company and certain former WildBlue equity and debt holders (the WildBlue Investors) completed the sale of an aggregate of 6,900,000 shares of ViaSat common stock in an underwritten public offering, 3,173,962 of which were sold by the Company and 3,726,038 of which were sold by such WildBlue Investors. The Company’s net proceeds from the offering were approximately $100.5 million after deducting underwriting discounts and estimated offering expenses. The shares sold by such WildBlue Investors in the offering constituted shares of ViaSat common stock issued to such WildBlue Investors in connection with the Company’s acquisition of WildBlue. On April 1, 2010, the Company used $80.0 million of the net proceeds to repay outstanding borrowings under the Credit Facility. The remaining net proceeds from the offering were used for general corporate purposes.</w:t>
      </w:r>
    </w:p>
    <w:p>
      <w:pPr>
        <w:spacing w:after="0" w:line="42"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In March 2010, the Company filed a universal shelf registration statement with the SEC for the future sale of an unlimited amount of debt securities, common stock, preferred stock,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67" w:lineRule="exact"/>
        <w:rPr>
          <w:sz w:val="20"/>
          <w:szCs w:val="20"/>
          <w:color w:val="auto"/>
        </w:rPr>
      </w:pPr>
    </w:p>
    <w:p>
      <w:pPr>
        <w:ind w:left="680" w:firstLine="399"/>
        <w:spacing w:after="0" w:line="300" w:lineRule="auto"/>
        <w:rPr>
          <w:sz w:val="20"/>
          <w:szCs w:val="20"/>
          <w:color w:val="auto"/>
        </w:rPr>
      </w:pPr>
      <w:r>
        <w:rPr>
          <w:rFonts w:ascii="Arial" w:cs="Arial" w:eastAsia="Arial" w:hAnsi="Arial"/>
          <w:sz w:val="11"/>
          <w:szCs w:val="11"/>
          <w:color w:val="auto"/>
        </w:rPr>
        <w:t>In November 1996, the Company adopted the 1996 Equity Participation Plan. The 1996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2010 through various amendments of the 1996 Equity Participation Plan, the Company increased the maximum number of shares reserved for issuance under this plan from 2,500,000 shares to 17,400,000 shares. The Company believes that such awards better align the interests of its employees with those of its stockholders. Shares of the Company’s common stock granted under the Plan in the form of stock options or stock appreciation right are counted against the Plan share reserve on a one for one basis. Shares of the Company’s common stock granted under the Plan as an award other than as an option or as a stock appreciation right with a per share purchase price lower than 100% of fair market value on the date of grant are counted against the Plan share reserve as two shares for each share of common stock up to September 22, 2010 and subsequently as</w:t>
      </w:r>
    </w:p>
    <w:p>
      <w:pPr>
        <w:spacing w:after="0" w:line="2" w:lineRule="exact"/>
        <w:rPr>
          <w:sz w:val="20"/>
          <w:szCs w:val="20"/>
          <w:color w:val="auto"/>
        </w:rPr>
      </w:pPr>
    </w:p>
    <w:p>
      <w:pPr>
        <w:jc w:val="both"/>
        <w:ind w:left="680" w:right="20"/>
        <w:spacing w:after="0" w:line="356" w:lineRule="auto"/>
        <w:rPr>
          <w:sz w:val="20"/>
          <w:szCs w:val="20"/>
          <w:color w:val="auto"/>
        </w:rPr>
      </w:pPr>
      <w:r>
        <w:rPr>
          <w:rFonts w:ascii="Arial" w:cs="Arial" w:eastAsia="Arial" w:hAnsi="Arial"/>
          <w:sz w:val="11"/>
          <w:szCs w:val="11"/>
          <w:color w:val="auto"/>
        </w:rPr>
        <w:t>2.65 shares for each share of common stock. Restricted stock units are granted to eligible employees and directors and represent rights to receive shares of common stock at a future date. As of April 1, 2011, the Company had granted options and restricted stock units, net of cancellations, to purchase 8,962,233 and 2,405,021 shares of common stock, respectively, under the Plan.</w:t>
      </w:r>
    </w:p>
    <w:p>
      <w:pPr>
        <w:spacing w:after="0" w:line="20" w:lineRule="exact"/>
        <w:rPr>
          <w:sz w:val="20"/>
          <w:szCs w:val="20"/>
          <w:color w:val="auto"/>
        </w:rPr>
      </w:pPr>
    </w:p>
    <w:p>
      <w:pPr>
        <w:jc w:val="both"/>
        <w:ind w:left="680" w:right="240" w:firstLine="399"/>
        <w:spacing w:after="0" w:line="303" w:lineRule="auto"/>
        <w:rPr>
          <w:sz w:val="20"/>
          <w:szCs w:val="20"/>
          <w:color w:val="auto"/>
        </w:rPr>
      </w:pPr>
      <w:r>
        <w:rPr>
          <w:rFonts w:ascii="Arial" w:cs="Arial" w:eastAsia="Arial" w:hAnsi="Arial"/>
          <w:sz w:val="11"/>
          <w:szCs w:val="11"/>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July of 2009, the Company amended the Employee Stock Purchase Plan to increase the maximum number of shares reserved for issuance under this plan from</w:t>
      </w:r>
    </w:p>
    <w:p>
      <w:pPr>
        <w:ind w:left="680"/>
        <w:spacing w:after="0" w:line="256" w:lineRule="auto"/>
        <w:rPr>
          <w:sz w:val="20"/>
          <w:szCs w:val="20"/>
          <w:color w:val="auto"/>
        </w:rPr>
      </w:pPr>
      <w:r>
        <w:rPr>
          <w:rFonts w:ascii="Arial" w:cs="Arial" w:eastAsia="Arial" w:hAnsi="Arial"/>
          <w:sz w:val="13"/>
          <w:szCs w:val="13"/>
          <w:color w:val="auto"/>
        </w:rPr>
        <w:t>1,500,000 shares to 2,250,000 shares.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 As of April 1, 2011, the Company had issued 1,710,854 shares of common stock under this plan.</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Transactions related to the Company’s stock options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80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Number of</w:t>
            </w:r>
          </w:p>
        </w:tc>
        <w:tc>
          <w:tcPr>
            <w:tcW w:w="200" w:type="dxa"/>
            <w:vAlign w:val="bottom"/>
          </w:tcPr>
          <w:p>
            <w:pPr>
              <w:spacing w:after="0"/>
              <w:rPr>
                <w:sz w:val="10"/>
                <w:szCs w:val="10"/>
                <w:color w:val="auto"/>
              </w:rPr>
            </w:pPr>
          </w:p>
        </w:tc>
        <w:tc>
          <w:tcPr>
            <w:tcW w:w="1480" w:type="dxa"/>
            <w:vAlign w:val="bottom"/>
            <w:gridSpan w:val="3"/>
            <w:vMerge w:val="restart"/>
          </w:tcPr>
          <w:p>
            <w:pPr>
              <w:jc w:val="right"/>
              <w:ind w:right="720"/>
              <w:spacing w:after="0"/>
              <w:rPr>
                <w:sz w:val="20"/>
                <w:szCs w:val="20"/>
                <w:color w:val="auto"/>
              </w:rPr>
            </w:pPr>
            <w:r>
              <w:rPr>
                <w:rFonts w:ascii="Arial" w:cs="Arial" w:eastAsia="Arial" w:hAnsi="Arial"/>
                <w:sz w:val="10"/>
                <w:szCs w:val="10"/>
                <w:b w:val="1"/>
                <w:bCs w:val="1"/>
                <w:color w:val="auto"/>
              </w:rPr>
              <w:t>Exercise Price</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0"/>
              </w:rPr>
              <w:t>Exercise Price</w:t>
            </w: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0"/>
                <w:szCs w:val="10"/>
                <w:color w:val="auto"/>
              </w:rPr>
            </w:pPr>
          </w:p>
        </w:tc>
        <w:tc>
          <w:tcPr>
            <w:tcW w:w="1480" w:type="dxa"/>
            <w:vAlign w:val="bottom"/>
            <w:gridSpan w:val="3"/>
          </w:tcPr>
          <w:p>
            <w:pPr>
              <w:jc w:val="right"/>
              <w:ind w:right="820"/>
              <w:spacing w:after="0"/>
              <w:rPr>
                <w:sz w:val="20"/>
                <w:szCs w:val="20"/>
                <w:color w:val="auto"/>
              </w:rPr>
            </w:pPr>
            <w:r>
              <w:rPr>
                <w:rFonts w:ascii="Arial" w:cs="Arial" w:eastAsia="Arial" w:hAnsi="Arial"/>
                <w:sz w:val="10"/>
                <w:szCs w:val="10"/>
                <w:b w:val="1"/>
                <w:bCs w:val="1"/>
                <w:color w:val="auto"/>
              </w:rPr>
              <w:t>per Share</w:t>
            </w:r>
          </w:p>
        </w:tc>
        <w:tc>
          <w:tcPr>
            <w:tcW w:w="12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per Share</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28, 2008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5,641,225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4.70 — $43.82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19.63</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280,800</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19.05</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 27.27</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21.04</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(135,700)</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3"/>
              </w:rPr>
              <w:t>— 33.68</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24.86</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(337,276)</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4.70</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 22.03</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10.73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3, 2009</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5,449,049</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3"/>
              </w:rPr>
              <w:t>— 43.82</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383,900</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23.66</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 29.45</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(94,874)</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3"/>
              </w:rPr>
              <w:t>— 43.82</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29.06</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(1,019,899)</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5.03</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 30.74</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19.06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2,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4,718,176</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3"/>
              </w:rPr>
              <w:t>— 33.68</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20.90</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266,250</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39.21</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 41.52</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41.26</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(20,543)</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3"/>
              </w:rPr>
              <w:t>— 33.68</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27.40</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(1,124,415)</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5.03</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 33.68</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19.60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1, 2011</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3,839,468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5.03 — $41.52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22.66</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options issued under the Company’s stock option plans have an exercise price equal to the fair market value of the Company’s stock on the date of the grant.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all options outstanding and exercisable by price range as of April 1, 2011: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Weighted</w:t>
            </w:r>
          </w:p>
        </w:tc>
        <w:tc>
          <w:tcPr>
            <w:tcW w:w="60" w:type="dxa"/>
            <w:vAlign w:val="bottom"/>
          </w:tcPr>
          <w:p>
            <w:pPr>
              <w:spacing w:after="0"/>
              <w:rPr>
                <w:sz w:val="10"/>
                <w:szCs w:val="10"/>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6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6"/>
              </w:rPr>
              <w:t>Average</w:t>
            </w: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00" w:type="dxa"/>
            <w:vAlign w:val="bottom"/>
            <w:gridSpan w:val="2"/>
            <w:vMerge w:val="restart"/>
          </w:tcPr>
          <w:p>
            <w:pPr>
              <w:jc w:val="center"/>
              <w:ind w:right="3434"/>
              <w:spacing w:after="0"/>
              <w:rPr>
                <w:sz w:val="20"/>
                <w:szCs w:val="20"/>
                <w:color w:val="auto"/>
              </w:rPr>
            </w:pPr>
            <w:r>
              <w:rPr>
                <w:rFonts w:ascii="Arial" w:cs="Arial" w:eastAsia="Arial" w:hAnsi="Arial"/>
                <w:sz w:val="10"/>
                <w:szCs w:val="10"/>
                <w:b w:val="1"/>
                <w:bCs w:val="1"/>
                <w:color w:val="auto"/>
                <w:w w:val="92"/>
              </w:rPr>
              <w:t>Range of Exercise Prices</w:t>
            </w: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6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2"/>
              </w:rPr>
              <w:t>Exercise</w:t>
            </w: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Outstanding</w:t>
            </w: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Life-Years</w:t>
            </w: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Price</w:t>
            </w:r>
          </w:p>
        </w:tc>
        <w:tc>
          <w:tcPr>
            <w:tcW w:w="10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Exercisable</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$5.03 — $12.76</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387,292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387,292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3"/>
                <w:szCs w:val="13"/>
                <w:color w:val="auto"/>
                <w:w w:val="92"/>
              </w:rPr>
              <w:t>13.01</w:t>
            </w:r>
          </w:p>
        </w:tc>
        <w:tc>
          <w:tcPr>
            <w:tcW w:w="4280" w:type="dxa"/>
            <w:vAlign w:val="bottom"/>
          </w:tcPr>
          <w:p>
            <w:pPr>
              <w:jc w:val="center"/>
              <w:ind w:right="3714"/>
              <w:spacing w:after="0"/>
              <w:rPr>
                <w:sz w:val="20"/>
                <w:szCs w:val="20"/>
                <w:color w:val="auto"/>
              </w:rPr>
            </w:pPr>
            <w:r>
              <w:rPr>
                <w:rFonts w:ascii="Arial" w:cs="Arial" w:eastAsia="Arial" w:hAnsi="Arial"/>
                <w:sz w:val="13"/>
                <w:szCs w:val="13"/>
                <w:color w:val="auto"/>
                <w:w w:val="93"/>
              </w:rPr>
              <w:t>— 18.25</w:t>
            </w:r>
          </w:p>
        </w:tc>
        <w:tc>
          <w:tcPr>
            <w:tcW w:w="1440" w:type="dxa"/>
            <w:vAlign w:val="bottom"/>
            <w:gridSpan w:val="3"/>
          </w:tcPr>
          <w:p>
            <w:pPr>
              <w:jc w:val="right"/>
              <w:ind w:right="420"/>
              <w:spacing w:after="0"/>
              <w:rPr>
                <w:sz w:val="20"/>
                <w:szCs w:val="20"/>
                <w:color w:val="auto"/>
              </w:rPr>
            </w:pPr>
            <w:r>
              <w:rPr>
                <w:rFonts w:ascii="Arial" w:cs="Arial" w:eastAsia="Arial" w:hAnsi="Arial"/>
                <w:sz w:val="13"/>
                <w:szCs w:val="13"/>
                <w:color w:val="auto"/>
              </w:rPr>
              <w:t>546,376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1.61</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15.31</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546,376</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18.41</w:t>
            </w:r>
          </w:p>
        </w:tc>
        <w:tc>
          <w:tcPr>
            <w:tcW w:w="4280" w:type="dxa"/>
            <w:vAlign w:val="bottom"/>
            <w:shd w:val="clear" w:color="auto" w:fill="CCEEFF"/>
          </w:tcPr>
          <w:p>
            <w:pPr>
              <w:jc w:val="center"/>
              <w:ind w:right="3714"/>
              <w:spacing w:after="0"/>
              <w:rPr>
                <w:sz w:val="20"/>
                <w:szCs w:val="20"/>
                <w:color w:val="auto"/>
              </w:rPr>
            </w:pPr>
            <w:r>
              <w:rPr>
                <w:rFonts w:ascii="Arial" w:cs="Arial" w:eastAsia="Arial" w:hAnsi="Arial"/>
                <w:sz w:val="13"/>
                <w:szCs w:val="13"/>
                <w:color w:val="auto"/>
                <w:w w:val="93"/>
              </w:rPr>
              <w:t>— 18.41</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3,500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3"/>
                <w:szCs w:val="13"/>
                <w:color w:val="auto"/>
                <w:w w:val="92"/>
              </w:rPr>
              <w:t>18.73</w:t>
            </w:r>
          </w:p>
        </w:tc>
        <w:tc>
          <w:tcPr>
            <w:tcW w:w="4280" w:type="dxa"/>
            <w:vAlign w:val="bottom"/>
          </w:tcPr>
          <w:p>
            <w:pPr>
              <w:jc w:val="center"/>
              <w:ind w:right="3714"/>
              <w:spacing w:after="0"/>
              <w:rPr>
                <w:sz w:val="20"/>
                <w:szCs w:val="20"/>
                <w:color w:val="auto"/>
              </w:rPr>
            </w:pPr>
            <w:r>
              <w:rPr>
                <w:rFonts w:ascii="Arial" w:cs="Arial" w:eastAsia="Arial" w:hAnsi="Arial"/>
                <w:sz w:val="13"/>
                <w:szCs w:val="13"/>
                <w:color w:val="auto"/>
                <w:w w:val="93"/>
              </w:rPr>
              <w:t>— 18.73</w:t>
            </w:r>
          </w:p>
        </w:tc>
        <w:tc>
          <w:tcPr>
            <w:tcW w:w="1440" w:type="dxa"/>
            <w:vAlign w:val="bottom"/>
            <w:gridSpan w:val="3"/>
          </w:tcPr>
          <w:p>
            <w:pPr>
              <w:jc w:val="right"/>
              <w:ind w:right="420"/>
              <w:spacing w:after="0"/>
              <w:rPr>
                <w:sz w:val="20"/>
                <w:szCs w:val="20"/>
                <w:color w:val="auto"/>
              </w:rPr>
            </w:pPr>
            <w:r>
              <w:rPr>
                <w:rFonts w:ascii="Arial" w:cs="Arial" w:eastAsia="Arial" w:hAnsi="Arial"/>
                <w:sz w:val="13"/>
                <w:szCs w:val="13"/>
                <w:color w:val="auto"/>
              </w:rPr>
              <w:t>470,315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3.52</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18.73</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470,315</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18.97</w:t>
            </w:r>
          </w:p>
        </w:tc>
        <w:tc>
          <w:tcPr>
            <w:tcW w:w="4280" w:type="dxa"/>
            <w:vAlign w:val="bottom"/>
            <w:shd w:val="clear" w:color="auto" w:fill="CCEEFF"/>
          </w:tcPr>
          <w:p>
            <w:pPr>
              <w:jc w:val="center"/>
              <w:ind w:right="3714"/>
              <w:spacing w:after="0"/>
              <w:rPr>
                <w:sz w:val="20"/>
                <w:szCs w:val="20"/>
                <w:color w:val="auto"/>
              </w:rPr>
            </w:pPr>
            <w:r>
              <w:rPr>
                <w:rFonts w:ascii="Arial" w:cs="Arial" w:eastAsia="Arial" w:hAnsi="Arial"/>
                <w:sz w:val="13"/>
                <w:szCs w:val="13"/>
                <w:color w:val="auto"/>
                <w:w w:val="93"/>
              </w:rPr>
              <w:t>— 20.95</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392,366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270,866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3"/>
                <w:szCs w:val="13"/>
                <w:color w:val="auto"/>
                <w:w w:val="92"/>
              </w:rPr>
              <w:t>21.02</w:t>
            </w:r>
          </w:p>
        </w:tc>
        <w:tc>
          <w:tcPr>
            <w:tcW w:w="4280" w:type="dxa"/>
            <w:vAlign w:val="bottom"/>
          </w:tcPr>
          <w:p>
            <w:pPr>
              <w:jc w:val="center"/>
              <w:ind w:right="3714"/>
              <w:spacing w:after="0"/>
              <w:rPr>
                <w:sz w:val="20"/>
                <w:szCs w:val="20"/>
                <w:color w:val="auto"/>
              </w:rPr>
            </w:pPr>
            <w:r>
              <w:rPr>
                <w:rFonts w:ascii="Arial" w:cs="Arial" w:eastAsia="Arial" w:hAnsi="Arial"/>
                <w:sz w:val="13"/>
                <w:szCs w:val="13"/>
                <w:color w:val="auto"/>
                <w:w w:val="93"/>
              </w:rPr>
              <w:t>— 23.37</w:t>
            </w:r>
          </w:p>
        </w:tc>
        <w:tc>
          <w:tcPr>
            <w:tcW w:w="1440" w:type="dxa"/>
            <w:vAlign w:val="bottom"/>
            <w:gridSpan w:val="3"/>
          </w:tcPr>
          <w:p>
            <w:pPr>
              <w:jc w:val="right"/>
              <w:ind w:right="420"/>
              <w:spacing w:after="0"/>
              <w:rPr>
                <w:sz w:val="20"/>
                <w:szCs w:val="20"/>
                <w:color w:val="auto"/>
              </w:rPr>
            </w:pPr>
            <w:r>
              <w:rPr>
                <w:rFonts w:ascii="Arial" w:cs="Arial" w:eastAsia="Arial" w:hAnsi="Arial"/>
                <w:sz w:val="13"/>
                <w:szCs w:val="13"/>
                <w:color w:val="auto"/>
              </w:rPr>
              <w:t>387,669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3.73</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21.62</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387,669</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21.62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23.66</w:t>
            </w:r>
          </w:p>
        </w:tc>
        <w:tc>
          <w:tcPr>
            <w:tcW w:w="4280" w:type="dxa"/>
            <w:vAlign w:val="bottom"/>
            <w:shd w:val="clear" w:color="auto" w:fill="CCEEFF"/>
          </w:tcPr>
          <w:p>
            <w:pPr>
              <w:jc w:val="center"/>
              <w:ind w:right="3714"/>
              <w:spacing w:after="0"/>
              <w:rPr>
                <w:sz w:val="20"/>
                <w:szCs w:val="20"/>
                <w:color w:val="auto"/>
              </w:rPr>
            </w:pPr>
            <w:r>
              <w:rPr>
                <w:rFonts w:ascii="Arial" w:cs="Arial" w:eastAsia="Arial" w:hAnsi="Arial"/>
                <w:sz w:val="13"/>
                <w:szCs w:val="13"/>
                <w:color w:val="auto"/>
                <w:w w:val="93"/>
              </w:rPr>
              <w:t>— 25.88</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214,317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2.62</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199,967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3"/>
                <w:szCs w:val="13"/>
                <w:color w:val="auto"/>
                <w:w w:val="92"/>
              </w:rPr>
              <w:t>26.15</w:t>
            </w:r>
          </w:p>
        </w:tc>
        <w:tc>
          <w:tcPr>
            <w:tcW w:w="4280" w:type="dxa"/>
            <w:vAlign w:val="bottom"/>
          </w:tcPr>
          <w:p>
            <w:pPr>
              <w:jc w:val="center"/>
              <w:ind w:right="3714"/>
              <w:spacing w:after="0"/>
              <w:rPr>
                <w:sz w:val="20"/>
                <w:szCs w:val="20"/>
                <w:color w:val="auto"/>
              </w:rPr>
            </w:pPr>
            <w:r>
              <w:rPr>
                <w:rFonts w:ascii="Arial" w:cs="Arial" w:eastAsia="Arial" w:hAnsi="Arial"/>
                <w:sz w:val="13"/>
                <w:szCs w:val="13"/>
                <w:color w:val="auto"/>
                <w:w w:val="93"/>
              </w:rPr>
              <w:t>— 26.15</w:t>
            </w:r>
          </w:p>
        </w:tc>
        <w:tc>
          <w:tcPr>
            <w:tcW w:w="1440" w:type="dxa"/>
            <w:vAlign w:val="bottom"/>
            <w:gridSpan w:val="3"/>
          </w:tcPr>
          <w:p>
            <w:pPr>
              <w:jc w:val="right"/>
              <w:ind w:right="420"/>
              <w:spacing w:after="0"/>
              <w:rPr>
                <w:sz w:val="20"/>
                <w:szCs w:val="20"/>
                <w:color w:val="auto"/>
              </w:rPr>
            </w:pPr>
            <w:r>
              <w:rPr>
                <w:rFonts w:ascii="Arial" w:cs="Arial" w:eastAsia="Arial" w:hAnsi="Arial"/>
                <w:sz w:val="13"/>
                <w:szCs w:val="13"/>
                <w:color w:val="auto"/>
              </w:rPr>
              <w:t>501,438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1.52</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26.15</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501,438</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26.15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26.63</w:t>
            </w:r>
          </w:p>
        </w:tc>
        <w:tc>
          <w:tcPr>
            <w:tcW w:w="4280" w:type="dxa"/>
            <w:vAlign w:val="bottom"/>
            <w:shd w:val="clear" w:color="auto" w:fill="CCEEFF"/>
          </w:tcPr>
          <w:p>
            <w:pPr>
              <w:jc w:val="center"/>
              <w:ind w:right="3714"/>
              <w:spacing w:after="0"/>
              <w:rPr>
                <w:sz w:val="20"/>
                <w:szCs w:val="20"/>
                <w:color w:val="auto"/>
              </w:rPr>
            </w:pPr>
            <w:r>
              <w:rPr>
                <w:rFonts w:ascii="Arial" w:cs="Arial" w:eastAsia="Arial" w:hAnsi="Arial"/>
                <w:sz w:val="13"/>
                <w:szCs w:val="13"/>
                <w:color w:val="auto"/>
                <w:w w:val="93"/>
              </w:rPr>
              <w:t>— 29.45</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440,350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169,200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3"/>
                <w:szCs w:val="13"/>
                <w:color w:val="auto"/>
                <w:w w:val="92"/>
              </w:rPr>
              <w:t>30.37</w:t>
            </w:r>
          </w:p>
        </w:tc>
        <w:tc>
          <w:tcPr>
            <w:tcW w:w="4280" w:type="dxa"/>
            <w:vAlign w:val="bottom"/>
          </w:tcPr>
          <w:p>
            <w:pPr>
              <w:jc w:val="center"/>
              <w:ind w:right="3714"/>
              <w:spacing w:after="0"/>
              <w:rPr>
                <w:sz w:val="20"/>
                <w:szCs w:val="20"/>
                <w:color w:val="auto"/>
              </w:rPr>
            </w:pPr>
            <w:r>
              <w:rPr>
                <w:rFonts w:ascii="Arial" w:cs="Arial" w:eastAsia="Arial" w:hAnsi="Arial"/>
                <w:sz w:val="13"/>
                <w:szCs w:val="13"/>
                <w:color w:val="auto"/>
                <w:w w:val="93"/>
              </w:rPr>
              <w:t>— 41.52</w:t>
            </w:r>
          </w:p>
        </w:tc>
        <w:tc>
          <w:tcPr>
            <w:tcW w:w="2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495,845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4.05</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36.91</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194,833</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$5.03 — $41.52</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3,839,468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3,131,456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jc w:val="right"/>
              <w:ind w:right="440"/>
              <w:spacing w:after="0"/>
              <w:rPr>
                <w:sz w:val="20"/>
                <w:szCs w:val="20"/>
                <w:color w:val="auto"/>
              </w:rPr>
            </w:pPr>
            <w:r>
              <w:rPr>
                <w:rFonts w:ascii="Arial" w:cs="Arial" w:eastAsia="Arial" w:hAnsi="Arial"/>
                <w:sz w:val="13"/>
                <w:szCs w:val="13"/>
                <w:color w:val="auto"/>
              </w:rPr>
              <w:t>F-27</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6880" w:type="dxa"/>
            <w:vAlign w:val="bottom"/>
          </w:tcPr>
          <w:p>
            <w:pPr>
              <w:jc w:val="center"/>
              <w:ind w:left="1594"/>
              <w:spacing w:after="0"/>
              <w:rPr>
                <w:sz w:val="20"/>
                <w:szCs w:val="20"/>
                <w:color w:val="auto"/>
              </w:rPr>
            </w:pPr>
            <w:r>
              <w:rPr>
                <w:rFonts w:ascii="Arial" w:cs="Arial" w:eastAsia="Arial" w:hAnsi="Arial"/>
                <w:sz w:val="13"/>
                <w:szCs w:val="13"/>
                <w:b w:val="1"/>
                <w:bCs w:val="1"/>
                <w:color w:val="auto"/>
              </w:rPr>
              <w:t>VIASAT, INC.</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20" w:type="dxa"/>
            <w:vAlign w:val="bottom"/>
          </w:tcPr>
          <w:p>
            <w:pPr>
              <w:spacing w:after="0"/>
              <w:rPr>
                <w:sz w:val="21"/>
                <w:szCs w:val="21"/>
                <w:color w:val="auto"/>
              </w:rPr>
            </w:pPr>
          </w:p>
        </w:tc>
        <w:tc>
          <w:tcPr>
            <w:tcW w:w="6880" w:type="dxa"/>
            <w:vAlign w:val="bottom"/>
          </w:tcPr>
          <w:p>
            <w:pPr>
              <w:jc w:val="center"/>
              <w:ind w:left="159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7600" w:type="dxa"/>
            <w:vAlign w:val="bottom"/>
            <w:gridSpan w:val="2"/>
          </w:tcPr>
          <w:p>
            <w:pPr>
              <w:ind w:left="400"/>
              <w:spacing w:after="0"/>
              <w:rPr>
                <w:sz w:val="20"/>
                <w:szCs w:val="20"/>
                <w:color w:val="auto"/>
              </w:rPr>
            </w:pPr>
            <w:r>
              <w:rPr>
                <w:rFonts w:ascii="Arial" w:cs="Arial" w:eastAsia="Arial" w:hAnsi="Arial"/>
                <w:sz w:val="13"/>
                <w:szCs w:val="13"/>
                <w:color w:val="auto"/>
              </w:rPr>
              <w:t>Transactions related to the Company’s restricted stock units are summarized as follows: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9"/>
              </w:rPr>
              <w:t>Number of</w:t>
            </w: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5"/>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Restricted Stock</w:t>
            </w: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tcPr>
          <w:p>
            <w:pPr>
              <w:jc w:val="center"/>
              <w:ind w:right="560"/>
              <w:spacing w:after="0"/>
              <w:rPr>
                <w:sz w:val="20"/>
                <w:szCs w:val="20"/>
                <w:color w:val="auto"/>
              </w:rPr>
            </w:pPr>
            <w:r>
              <w:rPr>
                <w:rFonts w:ascii="Arial" w:cs="Arial" w:eastAsia="Arial" w:hAnsi="Arial"/>
                <w:sz w:val="10"/>
                <w:szCs w:val="10"/>
                <w:b w:val="1"/>
                <w:bCs w:val="1"/>
                <w:color w:val="auto"/>
                <w:w w:val="95"/>
              </w:rPr>
              <w:t>Units</w:t>
            </w:r>
          </w:p>
        </w:tc>
        <w:tc>
          <w:tcPr>
            <w:tcW w:w="0" w:type="dxa"/>
            <w:vAlign w:val="bottom"/>
          </w:tcPr>
          <w:p>
            <w:pPr>
              <w:spacing w:after="0"/>
              <w:rPr>
                <w:sz w:val="1"/>
                <w:szCs w:val="1"/>
                <w:color w:val="auto"/>
              </w:rPr>
            </w:pPr>
          </w:p>
        </w:tc>
      </w:tr>
      <w:tr>
        <w:trPr>
          <w:trHeight w:val="29"/>
        </w:trPr>
        <w:tc>
          <w:tcPr>
            <w:tcW w:w="7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March 28, 2008</w:t>
            </w: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300,909</w:t>
            </w:r>
          </w:p>
        </w:tc>
        <w:tc>
          <w:tcPr>
            <w:tcW w:w="0" w:type="dxa"/>
            <w:vAlign w:val="bottom"/>
          </w:tcPr>
          <w:p>
            <w:pPr>
              <w:spacing w:after="0"/>
              <w:rPr>
                <w:sz w:val="1"/>
                <w:szCs w:val="1"/>
                <w:color w:val="auto"/>
              </w:rPr>
            </w:pPr>
          </w:p>
        </w:tc>
      </w:tr>
      <w:tr>
        <w:trPr>
          <w:trHeight w:val="157"/>
        </w:trPr>
        <w:tc>
          <w:tcPr>
            <w:tcW w:w="720" w:type="dxa"/>
            <w:vAlign w:val="bottom"/>
          </w:tcPr>
          <w:p>
            <w:pPr>
              <w:ind w:left="140"/>
              <w:spacing w:after="0"/>
              <w:rPr>
                <w:sz w:val="20"/>
                <w:szCs w:val="20"/>
                <w:color w:val="auto"/>
              </w:rPr>
            </w:pPr>
            <w:r>
              <w:rPr>
                <w:rFonts w:ascii="Arial" w:cs="Arial" w:eastAsia="Arial" w:hAnsi="Arial"/>
                <w:sz w:val="13"/>
                <w:szCs w:val="13"/>
                <w:color w:val="auto"/>
              </w:rPr>
              <w:t>Awarded</w:t>
            </w:r>
          </w:p>
        </w:tc>
        <w:tc>
          <w:tcPr>
            <w:tcW w:w="6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637,200</w:t>
            </w:r>
          </w:p>
        </w:tc>
        <w:tc>
          <w:tcPr>
            <w:tcW w:w="0" w:type="dxa"/>
            <w:vAlign w:val="bottom"/>
          </w:tcPr>
          <w:p>
            <w:pPr>
              <w:spacing w:after="0"/>
              <w:rPr>
                <w:sz w:val="1"/>
                <w:szCs w:val="1"/>
                <w:color w:val="auto"/>
              </w:rPr>
            </w:pPr>
          </w:p>
        </w:tc>
      </w:tr>
      <w:tr>
        <w:trPr>
          <w:trHeight w:val="157"/>
        </w:trPr>
        <w:tc>
          <w:tcPr>
            <w:tcW w:w="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6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(29,717)</w:t>
            </w:r>
          </w:p>
        </w:tc>
        <w:tc>
          <w:tcPr>
            <w:tcW w:w="0" w:type="dxa"/>
            <w:vAlign w:val="bottom"/>
          </w:tcPr>
          <w:p>
            <w:pPr>
              <w:spacing w:after="0"/>
              <w:rPr>
                <w:sz w:val="1"/>
                <w:szCs w:val="1"/>
                <w:color w:val="auto"/>
              </w:rPr>
            </w:pPr>
          </w:p>
        </w:tc>
      </w:tr>
      <w:tr>
        <w:trPr>
          <w:trHeight w:val="157"/>
        </w:trPr>
        <w:tc>
          <w:tcPr>
            <w:tcW w:w="720" w:type="dxa"/>
            <w:vAlign w:val="bottom"/>
          </w:tcPr>
          <w:p>
            <w:pPr>
              <w:ind w:left="140"/>
              <w:spacing w:after="0"/>
              <w:rPr>
                <w:sz w:val="20"/>
                <w:szCs w:val="20"/>
                <w:color w:val="auto"/>
              </w:rPr>
            </w:pPr>
            <w:r>
              <w:rPr>
                <w:rFonts w:ascii="Arial" w:cs="Arial" w:eastAsia="Arial" w:hAnsi="Arial"/>
                <w:sz w:val="13"/>
                <w:szCs w:val="13"/>
                <w:color w:val="auto"/>
              </w:rPr>
              <w:t>Released</w:t>
            </w:r>
          </w:p>
        </w:tc>
        <w:tc>
          <w:tcPr>
            <w:tcW w:w="6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(94,181)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April 3, 2009</w:t>
            </w: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814,211</w:t>
            </w:r>
          </w:p>
        </w:tc>
        <w:tc>
          <w:tcPr>
            <w:tcW w:w="0" w:type="dxa"/>
            <w:vAlign w:val="bottom"/>
          </w:tcPr>
          <w:p>
            <w:pPr>
              <w:spacing w:after="0"/>
              <w:rPr>
                <w:sz w:val="1"/>
                <w:szCs w:val="1"/>
                <w:color w:val="auto"/>
              </w:rPr>
            </w:pPr>
          </w:p>
        </w:tc>
      </w:tr>
      <w:tr>
        <w:trPr>
          <w:trHeight w:val="157"/>
        </w:trPr>
        <w:tc>
          <w:tcPr>
            <w:tcW w:w="720" w:type="dxa"/>
            <w:vAlign w:val="bottom"/>
          </w:tcPr>
          <w:p>
            <w:pPr>
              <w:ind w:left="140"/>
              <w:spacing w:after="0"/>
              <w:rPr>
                <w:sz w:val="20"/>
                <w:szCs w:val="20"/>
                <w:color w:val="auto"/>
              </w:rPr>
            </w:pPr>
            <w:r>
              <w:rPr>
                <w:rFonts w:ascii="Arial" w:cs="Arial" w:eastAsia="Arial" w:hAnsi="Arial"/>
                <w:sz w:val="13"/>
                <w:szCs w:val="13"/>
                <w:color w:val="auto"/>
              </w:rPr>
              <w:t>Awarded</w:t>
            </w:r>
          </w:p>
        </w:tc>
        <w:tc>
          <w:tcPr>
            <w:tcW w:w="6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831,250</w:t>
            </w:r>
          </w:p>
        </w:tc>
        <w:tc>
          <w:tcPr>
            <w:tcW w:w="0" w:type="dxa"/>
            <w:vAlign w:val="bottom"/>
          </w:tcPr>
          <w:p>
            <w:pPr>
              <w:spacing w:after="0"/>
              <w:rPr>
                <w:sz w:val="1"/>
                <w:szCs w:val="1"/>
                <w:color w:val="auto"/>
              </w:rPr>
            </w:pPr>
          </w:p>
        </w:tc>
      </w:tr>
      <w:tr>
        <w:trPr>
          <w:trHeight w:val="157"/>
        </w:trPr>
        <w:tc>
          <w:tcPr>
            <w:tcW w:w="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6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(21,807)</w:t>
            </w:r>
          </w:p>
        </w:tc>
        <w:tc>
          <w:tcPr>
            <w:tcW w:w="0" w:type="dxa"/>
            <w:vAlign w:val="bottom"/>
          </w:tcPr>
          <w:p>
            <w:pPr>
              <w:spacing w:after="0"/>
              <w:rPr>
                <w:sz w:val="1"/>
                <w:szCs w:val="1"/>
                <w:color w:val="auto"/>
              </w:rPr>
            </w:pPr>
          </w:p>
        </w:tc>
      </w:tr>
      <w:tr>
        <w:trPr>
          <w:trHeight w:val="157"/>
        </w:trPr>
        <w:tc>
          <w:tcPr>
            <w:tcW w:w="720" w:type="dxa"/>
            <w:vAlign w:val="bottom"/>
          </w:tcPr>
          <w:p>
            <w:pPr>
              <w:ind w:left="140"/>
              <w:spacing w:after="0"/>
              <w:rPr>
                <w:sz w:val="20"/>
                <w:szCs w:val="20"/>
                <w:color w:val="auto"/>
              </w:rPr>
            </w:pPr>
            <w:r>
              <w:rPr>
                <w:rFonts w:ascii="Arial" w:cs="Arial" w:eastAsia="Arial" w:hAnsi="Arial"/>
                <w:sz w:val="13"/>
                <w:szCs w:val="13"/>
                <w:color w:val="auto"/>
              </w:rPr>
              <w:t>Released</w:t>
            </w:r>
          </w:p>
        </w:tc>
        <w:tc>
          <w:tcPr>
            <w:tcW w:w="6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(234,039)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April 2, 2010</w:t>
            </w: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1,389,615</w:t>
            </w:r>
          </w:p>
        </w:tc>
        <w:tc>
          <w:tcPr>
            <w:tcW w:w="0" w:type="dxa"/>
            <w:vAlign w:val="bottom"/>
          </w:tcPr>
          <w:p>
            <w:pPr>
              <w:spacing w:after="0"/>
              <w:rPr>
                <w:sz w:val="1"/>
                <w:szCs w:val="1"/>
                <w:color w:val="auto"/>
              </w:rPr>
            </w:pPr>
          </w:p>
        </w:tc>
      </w:tr>
      <w:tr>
        <w:trPr>
          <w:trHeight w:val="157"/>
        </w:trPr>
        <w:tc>
          <w:tcPr>
            <w:tcW w:w="720" w:type="dxa"/>
            <w:vAlign w:val="bottom"/>
          </w:tcPr>
          <w:p>
            <w:pPr>
              <w:ind w:left="140"/>
              <w:spacing w:after="0"/>
              <w:rPr>
                <w:sz w:val="20"/>
                <w:szCs w:val="20"/>
                <w:color w:val="auto"/>
              </w:rPr>
            </w:pPr>
            <w:r>
              <w:rPr>
                <w:rFonts w:ascii="Arial" w:cs="Arial" w:eastAsia="Arial" w:hAnsi="Arial"/>
                <w:sz w:val="13"/>
                <w:szCs w:val="13"/>
                <w:color w:val="auto"/>
              </w:rPr>
              <w:t>Awarded</w:t>
            </w:r>
          </w:p>
        </w:tc>
        <w:tc>
          <w:tcPr>
            <w:tcW w:w="6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630,056</w:t>
            </w:r>
          </w:p>
        </w:tc>
        <w:tc>
          <w:tcPr>
            <w:tcW w:w="0" w:type="dxa"/>
            <w:vAlign w:val="bottom"/>
          </w:tcPr>
          <w:p>
            <w:pPr>
              <w:spacing w:after="0"/>
              <w:rPr>
                <w:sz w:val="1"/>
                <w:szCs w:val="1"/>
                <w:color w:val="auto"/>
              </w:rPr>
            </w:pPr>
          </w:p>
        </w:tc>
      </w:tr>
      <w:tr>
        <w:trPr>
          <w:trHeight w:val="157"/>
        </w:trPr>
        <w:tc>
          <w:tcPr>
            <w:tcW w:w="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6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(37,035)</w:t>
            </w:r>
          </w:p>
        </w:tc>
        <w:tc>
          <w:tcPr>
            <w:tcW w:w="0" w:type="dxa"/>
            <w:vAlign w:val="bottom"/>
          </w:tcPr>
          <w:p>
            <w:pPr>
              <w:spacing w:after="0"/>
              <w:rPr>
                <w:sz w:val="1"/>
                <w:szCs w:val="1"/>
                <w:color w:val="auto"/>
              </w:rPr>
            </w:pPr>
          </w:p>
        </w:tc>
      </w:tr>
      <w:tr>
        <w:trPr>
          <w:trHeight w:val="157"/>
        </w:trPr>
        <w:tc>
          <w:tcPr>
            <w:tcW w:w="720" w:type="dxa"/>
            <w:vAlign w:val="bottom"/>
          </w:tcPr>
          <w:p>
            <w:pPr>
              <w:ind w:left="140"/>
              <w:spacing w:after="0"/>
              <w:rPr>
                <w:sz w:val="20"/>
                <w:szCs w:val="20"/>
                <w:color w:val="auto"/>
              </w:rPr>
            </w:pPr>
            <w:r>
              <w:rPr>
                <w:rFonts w:ascii="Arial" w:cs="Arial" w:eastAsia="Arial" w:hAnsi="Arial"/>
                <w:sz w:val="13"/>
                <w:szCs w:val="13"/>
                <w:color w:val="auto"/>
              </w:rPr>
              <w:t>Released</w:t>
            </w:r>
          </w:p>
        </w:tc>
        <w:tc>
          <w:tcPr>
            <w:tcW w:w="6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(433,173)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April 1, 2011</w:t>
            </w: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1,549,463</w:t>
            </w:r>
          </w:p>
        </w:tc>
        <w:tc>
          <w:tcPr>
            <w:tcW w:w="0" w:type="dxa"/>
            <w:vAlign w:val="bottom"/>
          </w:tcPr>
          <w:p>
            <w:pPr>
              <w:spacing w:after="0"/>
              <w:rPr>
                <w:sz w:val="1"/>
                <w:szCs w:val="1"/>
                <w:color w:val="auto"/>
              </w:rPr>
            </w:pPr>
          </w:p>
        </w:tc>
      </w:tr>
      <w:tr>
        <w:trPr>
          <w:trHeight w:val="254"/>
        </w:trPr>
        <w:tc>
          <w:tcPr>
            <w:tcW w:w="7600" w:type="dxa"/>
            <w:vAlign w:val="bottom"/>
            <w:gridSpan w:val="2"/>
          </w:tcPr>
          <w:p>
            <w:pPr>
              <w:ind w:left="400"/>
              <w:spacing w:after="0"/>
              <w:rPr>
                <w:sz w:val="20"/>
                <w:szCs w:val="20"/>
                <w:color w:val="auto"/>
              </w:rPr>
            </w:pPr>
            <w:r>
              <w:rPr>
                <w:rFonts w:ascii="Arial" w:cs="Arial" w:eastAsia="Arial" w:hAnsi="Arial"/>
                <w:sz w:val="13"/>
                <w:szCs w:val="13"/>
                <w:color w:val="auto"/>
              </w:rPr>
              <w:t>All restricted stock units awarded under the Company’s stock plans have an exercise price equal to zero.</w:t>
            </w: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3"/>
                <w:szCs w:val="13"/>
                <w:b w:val="1"/>
                <w:bCs w:val="1"/>
                <w:color w:val="auto"/>
              </w:rPr>
              <w:t>Note 7 —</w:t>
            </w:r>
          </w:p>
        </w:tc>
        <w:tc>
          <w:tcPr>
            <w:tcW w:w="6880" w:type="dxa"/>
            <w:vAlign w:val="bottom"/>
          </w:tcPr>
          <w:p>
            <w:pPr>
              <w:ind w:left="100"/>
              <w:spacing w:after="0"/>
              <w:rPr>
                <w:sz w:val="20"/>
                <w:szCs w:val="20"/>
                <w:color w:val="auto"/>
              </w:rPr>
            </w:pPr>
            <w:r>
              <w:rPr>
                <w:rFonts w:ascii="Arial" w:cs="Arial" w:eastAsia="Arial" w:hAnsi="Arial"/>
                <w:sz w:val="13"/>
                <w:szCs w:val="13"/>
                <w:b w:val="1"/>
                <w:bCs w:val="1"/>
                <w:color w:val="auto"/>
              </w:rPr>
              <w:t>Shares Used In Computing Diluted Net Income Per Share</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left="139"/>
              <w:spacing w:after="0"/>
              <w:rPr>
                <w:sz w:val="20"/>
                <w:szCs w:val="20"/>
                <w:color w:val="auto"/>
              </w:rPr>
            </w:pPr>
            <w:r>
              <w:rPr>
                <w:rFonts w:ascii="Arial" w:cs="Arial" w:eastAsia="Arial" w:hAnsi="Arial"/>
                <w:sz w:val="10"/>
                <w:szCs w:val="10"/>
                <w:b w:val="1"/>
                <w:bCs w:val="1"/>
                <w:color w:val="auto"/>
                <w:w w:val="93"/>
              </w:rPr>
              <w:t>Fiscal Years Ended</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520" w:type="dxa"/>
            <w:vAlign w:val="bottom"/>
          </w:tcPr>
          <w:p>
            <w:pPr>
              <w:jc w:val="right"/>
              <w:ind w:right="18"/>
              <w:spacing w:after="0" w:line="81" w:lineRule="exact"/>
              <w:rPr>
                <w:sz w:val="20"/>
                <w:szCs w:val="20"/>
                <w:color w:val="auto"/>
              </w:rPr>
            </w:pPr>
            <w:r>
              <w:rPr>
                <w:rFonts w:ascii="Arial" w:cs="Arial" w:eastAsia="Arial" w:hAnsi="Arial"/>
                <w:sz w:val="9"/>
                <w:szCs w:val="9"/>
                <w:b w:val="1"/>
                <w:bCs w:val="1"/>
                <w:color w:val="auto"/>
              </w:rPr>
              <w:t>April 1,</w:t>
            </w:r>
          </w:p>
        </w:tc>
        <w:tc>
          <w:tcPr>
            <w:tcW w:w="380" w:type="dxa"/>
            <w:vAlign w:val="bottom"/>
          </w:tcPr>
          <w:p>
            <w:pPr>
              <w:spacing w:after="0"/>
              <w:rPr>
                <w:sz w:val="7"/>
                <w:szCs w:val="7"/>
                <w:color w:val="auto"/>
              </w:rPr>
            </w:pPr>
          </w:p>
        </w:tc>
        <w:tc>
          <w:tcPr>
            <w:tcW w:w="680" w:type="dxa"/>
            <w:vAlign w:val="bottom"/>
            <w:gridSpan w:val="3"/>
          </w:tcPr>
          <w:p>
            <w:pPr>
              <w:jc w:val="center"/>
              <w:ind w:right="128"/>
              <w:spacing w:after="0" w:line="81" w:lineRule="exact"/>
              <w:rPr>
                <w:sz w:val="20"/>
                <w:szCs w:val="20"/>
                <w:color w:val="auto"/>
              </w:rPr>
            </w:pPr>
            <w:r>
              <w:rPr>
                <w:rFonts w:ascii="Arial" w:cs="Arial" w:eastAsia="Arial" w:hAnsi="Arial"/>
                <w:sz w:val="9"/>
                <w:szCs w:val="9"/>
                <w:b w:val="1"/>
                <w:bCs w:val="1"/>
                <w:color w:val="auto"/>
              </w:rPr>
              <w:t>April 2,</w:t>
            </w:r>
          </w:p>
        </w:tc>
        <w:tc>
          <w:tcPr>
            <w:tcW w:w="22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rPr>
              <w:t>2011</w:t>
            </w:r>
          </w:p>
        </w:tc>
        <w:tc>
          <w:tcPr>
            <w:tcW w:w="380" w:type="dxa"/>
            <w:vAlign w:val="bottom"/>
          </w:tcPr>
          <w:p>
            <w:pPr>
              <w:spacing w:after="0"/>
              <w:rPr>
                <w:sz w:val="10"/>
                <w:szCs w:val="10"/>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9"/>
              </w:rPr>
              <w:t>2010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3"/>
          </w:tcPr>
          <w:p>
            <w:pPr>
              <w:ind w:left="300"/>
              <w:spacing w:after="0"/>
              <w:rPr>
                <w:sz w:val="20"/>
                <w:szCs w:val="20"/>
                <w:color w:val="auto"/>
              </w:rPr>
            </w:pPr>
            <w:r>
              <w:rPr>
                <w:rFonts w:ascii="Arial" w:cs="Arial" w:eastAsia="Arial" w:hAnsi="Arial"/>
                <w:sz w:val="10"/>
                <w:szCs w:val="10"/>
                <w:b w:val="1"/>
                <w:bCs w:val="1"/>
                <w:color w:val="auto"/>
                <w:w w:val="81"/>
              </w:rPr>
              <w:t>(In thousands)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Weighted average:</w:t>
            </w: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Common shares outstanding used in calculating basic net income per share attributable to ViaSat, Inc. common stockholders</w:t>
            </w:r>
          </w:p>
        </w:tc>
        <w:tc>
          <w:tcPr>
            <w:tcW w:w="520" w:type="dxa"/>
            <w:vAlign w:val="bottom"/>
          </w:tcPr>
          <w:p>
            <w:pPr>
              <w:jc w:val="right"/>
              <w:spacing w:after="0"/>
              <w:rPr>
                <w:sz w:val="20"/>
                <w:szCs w:val="20"/>
                <w:color w:val="auto"/>
              </w:rPr>
            </w:pPr>
            <w:r>
              <w:rPr>
                <w:rFonts w:ascii="Arial" w:cs="Arial" w:eastAsia="Arial" w:hAnsi="Arial"/>
                <w:sz w:val="13"/>
                <w:szCs w:val="13"/>
                <w:color w:val="auto"/>
              </w:rPr>
              <w:t>40,858</w:t>
            </w:r>
          </w:p>
        </w:tc>
        <w:tc>
          <w:tcPr>
            <w:tcW w:w="1060" w:type="dxa"/>
            <w:vAlign w:val="bottom"/>
            <w:gridSpan w:val="4"/>
          </w:tcPr>
          <w:p>
            <w:pPr>
              <w:jc w:val="right"/>
              <w:ind w:right="128"/>
              <w:spacing w:after="0"/>
              <w:rPr>
                <w:sz w:val="20"/>
                <w:szCs w:val="20"/>
                <w:color w:val="auto"/>
              </w:rPr>
            </w:pPr>
            <w:r>
              <w:rPr>
                <w:rFonts w:ascii="Arial" w:cs="Arial" w:eastAsia="Arial" w:hAnsi="Arial"/>
                <w:sz w:val="13"/>
                <w:szCs w:val="13"/>
                <w:color w:val="auto"/>
              </w:rPr>
              <w:t>33,020</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30,772</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to purchase common stock as determined by application of the treasury stock method</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w:t>
            </w:r>
          </w:p>
        </w:tc>
        <w:tc>
          <w:tcPr>
            <w:tcW w:w="1060" w:type="dxa"/>
            <w:vAlign w:val="bottom"/>
            <w:gridSpan w:val="4"/>
            <w:shd w:val="clear" w:color="auto" w:fill="CCEEFF"/>
          </w:tcPr>
          <w:p>
            <w:pPr>
              <w:jc w:val="right"/>
              <w:ind w:right="128"/>
              <w:spacing w:after="0"/>
              <w:rPr>
                <w:sz w:val="20"/>
                <w:szCs w:val="20"/>
                <w:color w:val="auto"/>
              </w:rPr>
            </w:pPr>
            <w:r>
              <w:rPr>
                <w:rFonts w:ascii="Arial" w:cs="Arial" w:eastAsia="Arial" w:hAnsi="Arial"/>
                <w:sz w:val="13"/>
                <w:szCs w:val="13"/>
                <w:color w:val="auto"/>
              </w:rPr>
              <w:t>1,404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944</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Restricted stock units to acquire common stock as determined by application of the treasury stock method</w:t>
            </w:r>
          </w:p>
        </w:tc>
        <w:tc>
          <w:tcPr>
            <w:tcW w:w="520" w:type="dxa"/>
            <w:vAlign w:val="bottom"/>
          </w:tcPr>
          <w:p>
            <w:pPr>
              <w:jc w:val="right"/>
              <w:spacing w:after="0"/>
              <w:rPr>
                <w:sz w:val="20"/>
                <w:szCs w:val="20"/>
                <w:color w:val="auto"/>
              </w:rPr>
            </w:pPr>
            <w:r>
              <w:rPr>
                <w:rFonts w:ascii="Arial" w:cs="Arial" w:eastAsia="Arial" w:hAnsi="Arial"/>
                <w:sz w:val="13"/>
                <w:szCs w:val="13"/>
                <w:color w:val="auto"/>
              </w:rPr>
              <w:t>428</w:t>
            </w:r>
          </w:p>
        </w:tc>
        <w:tc>
          <w:tcPr>
            <w:tcW w:w="1060" w:type="dxa"/>
            <w:vAlign w:val="bottom"/>
            <w:gridSpan w:val="4"/>
          </w:tcPr>
          <w:p>
            <w:pPr>
              <w:jc w:val="right"/>
              <w:ind w:right="128"/>
              <w:spacing w:after="0"/>
              <w:rPr>
                <w:sz w:val="20"/>
                <w:szCs w:val="20"/>
                <w:color w:val="auto"/>
              </w:rPr>
            </w:pPr>
            <w:r>
              <w:rPr>
                <w:rFonts w:ascii="Arial" w:cs="Arial" w:eastAsia="Arial" w:hAnsi="Arial"/>
                <w:sz w:val="13"/>
                <w:szCs w:val="13"/>
                <w:color w:val="auto"/>
              </w:rPr>
              <w:t>272</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Contingently issuable shares in connection with certain terms of the JAST acquisition agreement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Potentially issuable shares in connection with certain terms of the amended ViaSat 401(k) Profit Sharing Plan</w:t>
            </w:r>
          </w:p>
        </w:tc>
        <w:tc>
          <w:tcPr>
            <w:tcW w:w="520" w:type="dxa"/>
            <w:vAlign w:val="bottom"/>
          </w:tcPr>
          <w:p>
            <w:pPr>
              <w:jc w:val="right"/>
              <w:spacing w:after="0"/>
              <w:rPr>
                <w:sz w:val="20"/>
                <w:szCs w:val="20"/>
                <w:color w:val="auto"/>
              </w:rPr>
            </w:pPr>
            <w:r>
              <w:rPr>
                <w:rFonts w:ascii="Arial" w:cs="Arial" w:eastAsia="Arial" w:hAnsi="Arial"/>
                <w:sz w:val="13"/>
                <w:szCs w:val="13"/>
                <w:color w:val="auto"/>
              </w:rPr>
              <w:t>113</w:t>
            </w:r>
          </w:p>
        </w:tc>
        <w:tc>
          <w:tcPr>
            <w:tcW w:w="1060" w:type="dxa"/>
            <w:vAlign w:val="bottom"/>
            <w:gridSpan w:val="4"/>
          </w:tcPr>
          <w:p>
            <w:pPr>
              <w:jc w:val="right"/>
              <w:ind w:right="128"/>
              <w:spacing w:after="0"/>
              <w:rPr>
                <w:sz w:val="20"/>
                <w:szCs w:val="20"/>
                <w:color w:val="auto"/>
              </w:rPr>
            </w:pPr>
            <w:r>
              <w:rPr>
                <w:rFonts w:ascii="Arial" w:cs="Arial" w:eastAsia="Arial" w:hAnsi="Arial"/>
                <w:sz w:val="13"/>
                <w:szCs w:val="13"/>
                <w:color w:val="auto"/>
              </w:rPr>
              <w:t>114</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Employee Stock Purchase Plan equivalents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3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29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3"/>
                <w:szCs w:val="13"/>
                <w:color w:val="auto"/>
              </w:rPr>
              <w:t>Shares used in computing diluted net income per share attributable to ViaSat, Inc. common stockholders</w:t>
            </w: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gridSpan w:val="2"/>
            <w:vMerge w:val="continue"/>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43,059</w:t>
            </w:r>
          </w:p>
        </w:tc>
        <w:tc>
          <w:tcPr>
            <w:tcW w:w="380" w:type="dxa"/>
            <w:vAlign w:val="bottom"/>
          </w:tcPr>
          <w:p>
            <w:pPr>
              <w:spacing w:after="0"/>
              <w:rPr>
                <w:sz w:val="13"/>
                <w:szCs w:val="13"/>
                <w:color w:val="auto"/>
              </w:rPr>
            </w:pPr>
          </w:p>
        </w:tc>
        <w:tc>
          <w:tcPr>
            <w:tcW w:w="680" w:type="dxa"/>
            <w:vAlign w:val="bottom"/>
            <w:gridSpan w:val="3"/>
          </w:tcPr>
          <w:p>
            <w:pPr>
              <w:jc w:val="right"/>
              <w:ind w:right="128"/>
              <w:spacing w:after="0"/>
              <w:rPr>
                <w:sz w:val="20"/>
                <w:szCs w:val="20"/>
                <w:color w:val="auto"/>
              </w:rPr>
            </w:pPr>
            <w:r>
              <w:rPr>
                <w:rFonts w:ascii="Arial" w:cs="Arial" w:eastAsia="Arial" w:hAnsi="Arial"/>
                <w:sz w:val="13"/>
                <w:szCs w:val="13"/>
                <w:color w:val="auto"/>
              </w:rPr>
              <w:t>34,839</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31,884</w:t>
            </w: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Antidilutive shares relating to stock options excluded from the calculation were 108,637 for the fiscal year ended April 1, 2011, 496,545 for the fiscal year ended April 2, 2010 and 2,771,573 for the fiscal year ended April 3, 2009. Antidilutive shares relating to restricted stock units excluded from the calculation were 4,525 for the fiscal year ended April 1, 2011, 521 for the fiscal year ended April 2, 2010 and 8,490 for the fiscal year ended April 3, 2009.</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rPr>
              <w:t>Note 8 —</w:t>
            </w:r>
          </w:p>
        </w:tc>
        <w:tc>
          <w:tcPr>
            <w:tcW w:w="4060" w:type="dxa"/>
            <w:vAlign w:val="bottom"/>
          </w:tcPr>
          <w:p>
            <w:pPr>
              <w:ind w:left="140"/>
              <w:spacing w:after="0"/>
              <w:rPr>
                <w:sz w:val="20"/>
                <w:szCs w:val="20"/>
                <w:color w:val="auto"/>
              </w:rPr>
            </w:pPr>
            <w:r>
              <w:rPr>
                <w:rFonts w:ascii="Arial" w:cs="Arial" w:eastAsia="Arial" w:hAnsi="Arial"/>
                <w:sz w:val="13"/>
                <w:szCs w:val="13"/>
                <w:b w:val="1"/>
                <w:bCs w:val="1"/>
                <w:color w:val="auto"/>
              </w:rPr>
              <w:t>Income Taxes</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740" w:type="dxa"/>
            <w:vAlign w:val="bottom"/>
            <w:gridSpan w:val="2"/>
          </w:tcPr>
          <w:p>
            <w:pPr>
              <w:ind w:left="400"/>
              <w:spacing w:after="0"/>
              <w:rPr>
                <w:sz w:val="20"/>
                <w:szCs w:val="20"/>
                <w:color w:val="auto"/>
              </w:rPr>
            </w:pPr>
            <w:r>
              <w:rPr>
                <w:rFonts w:ascii="Arial" w:cs="Arial" w:eastAsia="Arial" w:hAnsi="Arial"/>
                <w:sz w:val="13"/>
                <w:szCs w:val="13"/>
                <w:color w:val="auto"/>
              </w:rPr>
              <w:t>The provision for income taxes includes the following:</w:t>
            </w: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0"/>
                <w:szCs w:val="10"/>
                <w:b w:val="1"/>
                <w:bCs w:val="1"/>
                <w:color w:val="auto"/>
                <w:w w:val="93"/>
              </w:rPr>
              <w:t>Fiscal Years Ended</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right"/>
              <w:ind w:right="420"/>
              <w:spacing w:after="0" w:line="81" w:lineRule="exact"/>
              <w:rPr>
                <w:sz w:val="20"/>
                <w:szCs w:val="20"/>
                <w:color w:val="auto"/>
              </w:rPr>
            </w:pPr>
            <w:r>
              <w:rPr>
                <w:rFonts w:ascii="Arial" w:cs="Arial" w:eastAsia="Arial" w:hAnsi="Arial"/>
                <w:sz w:val="9"/>
                <w:szCs w:val="9"/>
                <w:b w:val="1"/>
                <w:bCs w:val="1"/>
                <w:color w:val="auto"/>
              </w:rPr>
              <w:t>April 1,</w:t>
            </w:r>
          </w:p>
        </w:tc>
        <w:tc>
          <w:tcPr>
            <w:tcW w:w="180" w:type="dxa"/>
            <w:vAlign w:val="bottom"/>
          </w:tcPr>
          <w:p>
            <w:pPr>
              <w:spacing w:after="0"/>
              <w:rPr>
                <w:sz w:val="7"/>
                <w:szCs w:val="7"/>
                <w:color w:val="auto"/>
              </w:rPr>
            </w:pPr>
          </w:p>
        </w:tc>
        <w:tc>
          <w:tcPr>
            <w:tcW w:w="92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April 2,</w:t>
            </w:r>
          </w:p>
        </w:tc>
        <w:tc>
          <w:tcPr>
            <w:tcW w:w="140" w:type="dxa"/>
            <w:vAlign w:val="bottom"/>
          </w:tcPr>
          <w:p>
            <w:pPr>
              <w:spacing w:after="0"/>
              <w:rPr>
                <w:sz w:val="7"/>
                <w:szCs w:val="7"/>
                <w:color w:val="auto"/>
              </w:rPr>
            </w:pPr>
          </w:p>
        </w:tc>
        <w:tc>
          <w:tcPr>
            <w:tcW w:w="540" w:type="dxa"/>
            <w:vAlign w:val="bottom"/>
          </w:tcPr>
          <w:p>
            <w:pPr>
              <w:jc w:val="center"/>
              <w:ind w:right="57"/>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77"/>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b w:val="1"/>
                <w:bCs w:val="1"/>
                <w:color w:val="auto"/>
                <w:w w:val="72"/>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tax provision (benefit)</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Federal</w:t>
            </w:r>
          </w:p>
        </w:tc>
        <w:tc>
          <w:tcPr>
            <w:tcW w:w="4060" w:type="dxa"/>
            <w:vAlign w:val="bottom"/>
          </w:tcPr>
          <w:p>
            <w:pPr>
              <w:spacing w:after="0"/>
              <w:rPr>
                <w:sz w:val="13"/>
                <w:szCs w:val="13"/>
                <w:color w:val="auto"/>
              </w:rPr>
            </w:pPr>
          </w:p>
        </w:tc>
        <w:tc>
          <w:tcPr>
            <w:tcW w:w="2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433</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308"/>
              <w:spacing w:after="0"/>
              <w:rPr>
                <w:sz w:val="20"/>
                <w:szCs w:val="20"/>
                <w:color w:val="auto"/>
              </w:rPr>
            </w:pPr>
            <w:r>
              <w:rPr>
                <w:rFonts w:ascii="Arial" w:cs="Arial" w:eastAsia="Arial" w:hAnsi="Arial"/>
                <w:sz w:val="13"/>
                <w:szCs w:val="13"/>
                <w:color w:val="auto"/>
              </w:rPr>
              <w:t>(6,461)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3,178</w:t>
            </w: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(667)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Foreign</w:t>
            </w:r>
          </w:p>
        </w:tc>
        <w:tc>
          <w:tcPr>
            <w:tcW w:w="4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199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3,833</w:t>
            </w: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(6,929)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3"/>
                <w:szCs w:val="13"/>
                <w:color w:val="auto"/>
              </w:rPr>
              <w:t>Deferred tax provision (benefit)</w:t>
            </w:r>
          </w:p>
        </w:tc>
        <w:tc>
          <w:tcPr>
            <w:tcW w:w="2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3,704</w:t>
            </w: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13,608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State</w:t>
            </w:r>
          </w:p>
        </w:tc>
        <w:tc>
          <w:tcPr>
            <w:tcW w:w="4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(7,064)</w:t>
            </w:r>
          </w:p>
        </w:tc>
        <w:tc>
          <w:tcPr>
            <w:tcW w:w="180" w:type="dxa"/>
            <w:vAlign w:val="bottom"/>
          </w:tcPr>
          <w:p>
            <w:pPr>
              <w:spacing w:after="0"/>
              <w:rPr>
                <w:sz w:val="13"/>
                <w:szCs w:val="13"/>
                <w:color w:val="auto"/>
              </w:rPr>
            </w:pPr>
          </w:p>
        </w:tc>
        <w:tc>
          <w:tcPr>
            <w:tcW w:w="920" w:type="dxa"/>
            <w:vAlign w:val="bottom"/>
            <w:gridSpan w:val="2"/>
          </w:tcPr>
          <w:p>
            <w:pPr>
              <w:jc w:val="right"/>
              <w:ind w:right="308"/>
              <w:spacing w:after="0"/>
              <w:rPr>
                <w:sz w:val="20"/>
                <w:szCs w:val="20"/>
                <w:color w:val="auto"/>
              </w:rPr>
            </w:pPr>
            <w:r>
              <w:rPr>
                <w:rFonts w:ascii="Arial" w:cs="Arial" w:eastAsia="Arial" w:hAnsi="Arial"/>
                <w:sz w:val="13"/>
                <w:szCs w:val="13"/>
                <w:color w:val="auto"/>
              </w:rPr>
              <w:t>(1,191)</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(475)</w:t>
            </w: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(3,835)</w:t>
            </w:r>
          </w:p>
        </w:tc>
        <w:tc>
          <w:tcPr>
            <w:tcW w:w="1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12,367</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(10,086)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(benefit from) provision for income taxes</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5,438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4740" w:type="dxa"/>
            <w:vAlign w:val="bottom"/>
            <w:gridSpan w:val="2"/>
          </w:tcPr>
          <w:p>
            <w:pPr>
              <w:ind w:left="400"/>
              <w:spacing w:after="0"/>
              <w:rPr>
                <w:sz w:val="20"/>
                <w:szCs w:val="20"/>
                <w:color w:val="auto"/>
              </w:rPr>
            </w:pPr>
            <w:r>
              <w:rPr>
                <w:rFonts w:ascii="Arial" w:cs="Arial" w:eastAsia="Arial" w:hAnsi="Arial"/>
                <w:sz w:val="13"/>
                <w:szCs w:val="13"/>
                <w:color w:val="auto"/>
                <w:w w:val="93"/>
              </w:rPr>
              <w:t>Significant components of the Company’s net deferred tax assets are as follows:</w:t>
            </w:r>
          </w:p>
        </w:tc>
        <w:tc>
          <w:tcPr>
            <w:tcW w:w="24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As of</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tcPr>
          <w:p>
            <w:pPr>
              <w:jc w:val="right"/>
              <w:ind w:right="528"/>
              <w:spacing w:after="0" w:line="81" w:lineRule="exact"/>
              <w:rPr>
                <w:sz w:val="20"/>
                <w:szCs w:val="20"/>
                <w:color w:val="auto"/>
              </w:rPr>
            </w:pPr>
            <w:r>
              <w:rPr>
                <w:rFonts w:ascii="Arial" w:cs="Arial" w:eastAsia="Arial" w:hAnsi="Arial"/>
                <w:sz w:val="9"/>
                <w:szCs w:val="9"/>
                <w:b w:val="1"/>
                <w:bCs w:val="1"/>
                <w:color w:val="auto"/>
              </w:rPr>
              <w:t>April 1,</w:t>
            </w:r>
          </w:p>
        </w:tc>
        <w:tc>
          <w:tcPr>
            <w:tcW w:w="140" w:type="dxa"/>
            <w:vAlign w:val="bottom"/>
          </w:tcPr>
          <w:p>
            <w:pPr>
              <w:spacing w:after="0"/>
              <w:rPr>
                <w:sz w:val="7"/>
                <w:szCs w:val="7"/>
                <w:color w:val="auto"/>
              </w:rPr>
            </w:pPr>
          </w:p>
        </w:tc>
        <w:tc>
          <w:tcPr>
            <w:tcW w:w="540" w:type="dxa"/>
            <w:vAlign w:val="bottom"/>
          </w:tcPr>
          <w:p>
            <w:pPr>
              <w:jc w:val="center"/>
              <w:ind w:right="57"/>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77"/>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tcPr>
          <w:p>
            <w:pPr>
              <w:ind w:left="140"/>
              <w:spacing w:after="0"/>
              <w:rPr>
                <w:sz w:val="20"/>
                <w:szCs w:val="20"/>
                <w:color w:val="auto"/>
              </w:rPr>
            </w:pPr>
            <w:r>
              <w:rPr>
                <w:rFonts w:ascii="Arial" w:cs="Arial" w:eastAsia="Arial" w:hAnsi="Arial"/>
                <w:sz w:val="13"/>
                <w:szCs w:val="13"/>
                <w:color w:val="auto"/>
              </w:rPr>
              <w:t>Net operating loss carryforwards</w:t>
            </w: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ind w:right="7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79,930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86,325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Tax credit carryforwards</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46,355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tcPr>
          <w:p>
            <w:pPr>
              <w:ind w:left="140"/>
              <w:spacing w:after="0"/>
              <w:rPr>
                <w:sz w:val="20"/>
                <w:szCs w:val="20"/>
                <w:color w:val="auto"/>
              </w:rPr>
            </w:pPr>
            <w:r>
              <w:rPr>
                <w:rFonts w:ascii="Arial" w:cs="Arial" w:eastAsia="Arial" w:hAnsi="Arial"/>
                <w:sz w:val="13"/>
                <w:szCs w:val="13"/>
                <w:color w:val="auto"/>
              </w:rPr>
              <w:t>Warranty reserve</w:t>
            </w: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5,086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Accrued compensation</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5,125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tcPr>
          <w:p>
            <w:pPr>
              <w:ind w:left="140"/>
              <w:spacing w:after="0"/>
              <w:rPr>
                <w:sz w:val="20"/>
                <w:szCs w:val="20"/>
                <w:color w:val="auto"/>
              </w:rPr>
            </w:pPr>
            <w:r>
              <w:rPr>
                <w:rFonts w:ascii="Arial" w:cs="Arial" w:eastAsia="Arial" w:hAnsi="Arial"/>
                <w:sz w:val="13"/>
                <w:szCs w:val="13"/>
                <w:color w:val="auto"/>
              </w:rPr>
              <w:t>Deferred rent</w:t>
            </w: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2,673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2,582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Inventory reserve</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4,899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tcPr>
          <w:p>
            <w:pPr>
              <w:ind w:left="140"/>
              <w:spacing w:after="0"/>
              <w:rPr>
                <w:sz w:val="20"/>
                <w:szCs w:val="20"/>
                <w:color w:val="auto"/>
              </w:rPr>
            </w:pPr>
            <w:r>
              <w:rPr>
                <w:rFonts w:ascii="Arial" w:cs="Arial" w:eastAsia="Arial" w:hAnsi="Arial"/>
                <w:sz w:val="13"/>
                <w:szCs w:val="13"/>
                <w:color w:val="auto"/>
              </w:rPr>
              <w:t>Stock-based compensation</w:t>
            </w: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8,830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7,654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Contract accounting</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1,415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Other</w:t>
            </w:r>
          </w:p>
        </w:tc>
        <w:tc>
          <w:tcPr>
            <w:tcW w:w="4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8,060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Valuation allowance</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(12,671)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(13,074)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4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deferred tax assets</w:t>
            </w: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40" w:type="dxa"/>
            <w:vAlign w:val="bottom"/>
            <w:gridSpan w:val="2"/>
            <w:vMerge w:val="continue"/>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149,702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132,421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tcPr>
          <w:p>
            <w:pPr>
              <w:ind w:left="140"/>
              <w:spacing w:after="0"/>
              <w:rPr>
                <w:sz w:val="20"/>
                <w:szCs w:val="20"/>
                <w:color w:val="auto"/>
              </w:rPr>
            </w:pPr>
            <w:r>
              <w:rPr>
                <w:rFonts w:ascii="Arial" w:cs="Arial" w:eastAsia="Arial" w:hAnsi="Arial"/>
                <w:sz w:val="13"/>
                <w:szCs w:val="13"/>
                <w:color w:val="auto"/>
              </w:rPr>
              <w:t>Property, equipment and satellites and intangible assets</w:t>
            </w: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87,254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70,160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87,254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40" w:type="dxa"/>
            <w:vAlign w:val="bottom"/>
            <w:gridSpan w:val="2"/>
            <w:vMerge w:val="restart"/>
          </w:tcPr>
          <w:p>
            <w:pPr>
              <w:spacing w:after="0"/>
              <w:rPr>
                <w:sz w:val="20"/>
                <w:szCs w:val="20"/>
                <w:color w:val="auto"/>
              </w:rPr>
            </w:pPr>
            <w:r>
              <w:rPr>
                <w:rFonts w:ascii="Arial" w:cs="Arial" w:eastAsia="Arial" w:hAnsi="Arial"/>
                <w:sz w:val="13"/>
                <w:szCs w:val="13"/>
                <w:color w:val="auto"/>
              </w:rPr>
              <w:t>Net deferred tax assets</w:t>
            </w: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jc w:val="right"/>
              <w:ind w:right="7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62,448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62,261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60" w:type="dxa"/>
            <w:vAlign w:val="bottom"/>
            <w:gridSpan w:val="2"/>
          </w:tcPr>
          <w:p>
            <w:pPr>
              <w:jc w:val="right"/>
              <w:ind w:right="2131"/>
              <w:spacing w:after="0"/>
              <w:rPr>
                <w:sz w:val="20"/>
                <w:szCs w:val="20"/>
                <w:color w:val="auto"/>
              </w:rPr>
            </w:pPr>
            <w:r>
              <w:rPr>
                <w:rFonts w:ascii="Arial" w:cs="Arial" w:eastAsia="Arial" w:hAnsi="Arial"/>
                <w:sz w:val="13"/>
                <w:szCs w:val="13"/>
                <w:color w:val="auto"/>
              </w:rPr>
              <w:t>F-29</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provision for income taxes to the amount computed by applying the statutory federal income tax rate to income before income taxes is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April 1,</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56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Tax expense at federal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12,749</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12,698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15,834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State tax provision, net of federal benefit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1,375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2,259</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Tax credits, net of valuation allowance</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(15,615)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(11,408)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(10,017)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Manufacturing deduction</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Non-deductible transaction costs</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Non-deductible compensation</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1,054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Total provision for income taxes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5,438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6,794</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of April 1, 2011, the Company had federal and state research credit carryforwards of approximately $42.3 million and $46.1 million, respectively, which begin to expire in fiscal year 2027 and fiscal year 2018, respectively, and federal and state net operating loss carryforwards of approximately $211.9 million and $278.8 million, respectively, which begin to expire in fiscal year 2020 and fiscal year 2012, respectively.</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Company recognizes excess tax benefits associated with share-based compensation to stockholders’ equity only when realized. When assessing whether excess tax benefits relating to share-based compensation have been realized, the Company follows the with-and-without approach excluding any indirect effects of the excess tax deductions. Under this approach, excess tax benefits related to share-based compensation are not deemed to be realized until after the utilization of all other tax benefits available to the Company. During fiscal year 2011, the Company realized $1.3 million of such excess state tax benefits and, accordingly, recorded a corresponding credit to additional paid in capital. As of April 1, 2011, the Company had $9.6 million of unrealized excess tax benefits associated with share-based compensation. These tax benefits will be accounted for as a credit to additional paid-in capital if and when realized, rather than a reduction of the provision for income taxes.</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A valuation allowance of $12.7 million at April 1, 2011 and $13.1 million at April 2, 2010 has been established relating to state net operating loss carryforwards and research credit carryforwards that, based on management’s estimate of future taxable income attributable to certain states and generation of additional research credits, are considered more likely than not to expire unused.</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If the Company has an “Ownership Change” as defined under Internal Revenue Code Section 382, it may have an annual limitation on the utilization of its net operating loss and tax credit carryforwards.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March 31, 2007, the Company adopted the provisions of the authoritative guidance for accounting for uncertainty in income taxes (ASC 740).</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activity related to the Company’s unrecognized tax benefits: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0"/>
                <w:szCs w:val="10"/>
                <w:b w:val="1"/>
                <w:bCs w:val="1"/>
                <w:color w:val="auto"/>
                <w:w w:val="87"/>
              </w:rPr>
              <w:t>As of</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April 1,</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48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2011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140"/>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Balance, beginning of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31,759</w:t>
            </w:r>
          </w:p>
        </w:tc>
        <w:tc>
          <w:tcPr>
            <w:tcW w:w="220" w:type="dxa"/>
            <w:vAlign w:val="bottom"/>
            <w:tcBorders>
              <w:lef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30,691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Increases related to current year tax positions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3,031</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8,880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related to prior year tax positions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22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(2,058)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Statute expirations</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(5,303)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(3,452)</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(3,679)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Balance, end of fiscal year</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33,015</w:t>
            </w:r>
          </w:p>
        </w:tc>
        <w:tc>
          <w:tcPr>
            <w:tcW w:w="22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31,759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37,917</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Of the total unrecognized tax benefits at April 1, 2011, approximately $26.1 million would reduce the Company’s annual effective tax rate if recognized, subject to valuation allowance consideration.</w:t>
      </w:r>
    </w:p>
    <w:p>
      <w:pPr>
        <w:spacing w:after="0" w:line="5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Included in the balance at April 1, 2011 are $1.4 million of tax positions for which the ultimate deductibility is highly certain but for which there is uncertainty about the timing of such deductibility. Because of the impact of deferred tax accounting, other than interest and penalties, the disallowance of the shorter deductibility period would not affect the annual effective tax rate but would accelerate the payment of cash to the taxing authority to an earlier period.</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the next twelve months it is reasonably possible that the amount of unrecognized tax benefits will decrease by approximately $2.5 million as a result of the expiration of the statute of limitations or settlements with tax authorities for previously filed tax returns.</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The Company is subject to periodic audits by domestic and foreign tax authorities. By statute, the Company’s U.S. federal returns are subject to examination by the IRS for fiscal years 2008 through 2010. Additionally, tax credit carryovers that were generated in prior years and utilized in these years may also be subject to examination by the IRS. In September 2010, the IRS commenced an examination of our fiscal year 2009 federal income tax return. Subsequently, the IRS added our fiscal year 2010 income tax return to the examination. With few exceptions, fiscal years 2007 to 2010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were no accrued interest or penalties associated with uncertain tax positions as of April 1, 2011. A decrease of $0.5 million of interest and penalties was recorded in the period ended April 1, 2011.</w:t>
      </w:r>
    </w:p>
    <w:p>
      <w:pPr>
        <w:spacing w:after="0" w:line="1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9 —</w:t>
      </w:r>
      <w:r>
        <w:rPr>
          <w:sz w:val="20"/>
          <w:szCs w:val="20"/>
          <w:color w:val="auto"/>
        </w:rPr>
        <w:tab/>
      </w:r>
      <w:r>
        <w:rPr>
          <w:rFonts w:ascii="Arial" w:cs="Arial" w:eastAsia="Arial" w:hAnsi="Arial"/>
          <w:sz w:val="11"/>
          <w:szCs w:val="11"/>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Stonewood acquisition</w:t>
      </w:r>
    </w:p>
    <w:p>
      <w:pPr>
        <w:spacing w:after="0" w:line="96" w:lineRule="exact"/>
        <w:rPr>
          <w:sz w:val="20"/>
          <w:szCs w:val="20"/>
          <w:color w:val="auto"/>
        </w:rPr>
      </w:pPr>
    </w:p>
    <w:p>
      <w:pPr>
        <w:ind w:left="680" w:right="440" w:firstLine="399"/>
        <w:spacing w:after="0" w:line="285" w:lineRule="auto"/>
        <w:rPr>
          <w:sz w:val="20"/>
          <w:szCs w:val="20"/>
          <w:color w:val="auto"/>
        </w:rPr>
      </w:pPr>
      <w:r>
        <w:rPr>
          <w:rFonts w:ascii="Arial" w:cs="Arial" w:eastAsia="Arial" w:hAnsi="Arial"/>
          <w:sz w:val="12"/>
          <w:szCs w:val="12"/>
          <w:color w:val="auto"/>
        </w:rPr>
        <w:t>On July 8, 2010, the Company completed the acquisition of all outstanding shares of the parent company of Stonewood.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The purchase price of approximately $18.8 million was comprised of $4.6 million related to the fair value of 144,962 shares of the Company’s common stock issued at the closing and $14.2 million in cash consideration paid to former Stonewood stockholders. The $14.2 million in cash consideration paid to the former Stonewood stockholders less cash acquired of $0.7 million resulted in a net cash outlay of approximately $13.5 million.</w:t>
      </w:r>
    </w:p>
    <w:p>
      <w:pPr>
        <w:spacing w:after="0" w:line="55"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accordance with the authoritative guidance for business combinations (ASC 805), the Company allocated the purchase price of the acquired company to the net tangible assets and intangible assets acquired based upon their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Total merger-related transaction costs incurred by the Company were approximately $0.9 million, all of which were incurred and recorded in selling, general and administrative expenses in fiscal year 2011.</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preliminary purchase price allocation of the acquired assets and assumed liabilities based on the estimated fair values as of July 8, 2010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7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4,382</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Property and equipment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Identifiable intangible 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11,199</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7,381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 acquired</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23,446</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(1,843)</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Other long term liabilities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(2,770)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140"/>
              <w:spacing w:after="0"/>
              <w:rPr>
                <w:sz w:val="20"/>
                <w:szCs w:val="20"/>
                <w:color w:val="auto"/>
              </w:rPr>
            </w:pPr>
            <w:r>
              <w:rPr>
                <w:rFonts w:ascii="Arial" w:cs="Arial" w:eastAsia="Arial" w:hAnsi="Arial"/>
                <w:sz w:val="13"/>
                <w:szCs w:val="13"/>
                <w:color w:val="auto"/>
              </w:rPr>
              <w:t>Total liabilities assumed</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(4,613)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Total purchase price</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18,833</w:t>
            </w:r>
          </w:p>
        </w:tc>
        <w:tc>
          <w:tcPr>
            <w:tcW w:w="0" w:type="dxa"/>
            <w:vAlign w:val="bottom"/>
          </w:tcPr>
          <w:p>
            <w:pPr>
              <w:spacing w:after="0"/>
              <w:rPr>
                <w:sz w:val="1"/>
                <w:szCs w:val="1"/>
                <w:color w:val="auto"/>
              </w:rPr>
            </w:pPr>
          </w:p>
        </w:tc>
      </w:tr>
      <w:tr>
        <w:trPr>
          <w:trHeight w:val="254"/>
        </w:trPr>
        <w:tc>
          <w:tcPr>
            <w:tcW w:w="8900" w:type="dxa"/>
            <w:vAlign w:val="bottom"/>
            <w:gridSpan w:val="5"/>
          </w:tcPr>
          <w:p>
            <w:pPr>
              <w:ind w:left="400"/>
              <w:spacing w:after="0"/>
              <w:rPr>
                <w:sz w:val="20"/>
                <w:szCs w:val="20"/>
                <w:color w:val="auto"/>
              </w:rPr>
            </w:pPr>
            <w:r>
              <w:rPr>
                <w:rFonts w:ascii="Arial" w:cs="Arial" w:eastAsia="Arial" w:hAnsi="Arial"/>
                <w:sz w:val="13"/>
                <w:szCs w:val="13"/>
                <w:color w:val="auto"/>
              </w:rPr>
              <w:t>Amounts assigned to identifiable intangible assets are being amortized on a straight-line basis over their estimated useful lives and are as follows:</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Estimated</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0"/>
                <w:szCs w:val="10"/>
                <w:b w:val="1"/>
                <w:bCs w:val="1"/>
                <w:color w:val="auto"/>
                <w:w w:val="99"/>
              </w:rPr>
              <w:t>Preliminary</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rPr>
              <w:t>Fair Value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Life</w:t>
            </w: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2"/>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Technology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2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1,977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6"/>
        </w:trPr>
        <w:tc>
          <w:tcPr>
            <w:tcW w:w="7800" w:type="dxa"/>
            <w:vAlign w:val="bottom"/>
          </w:tcPr>
          <w:p>
            <w:pPr>
              <w:spacing w:after="0"/>
              <w:rPr>
                <w:sz w:val="20"/>
                <w:szCs w:val="20"/>
                <w:color w:val="auto"/>
              </w:rPr>
            </w:pPr>
            <w:r>
              <w:rPr>
                <w:rFonts w:ascii="Arial" w:cs="Arial" w:eastAsia="Arial" w:hAnsi="Arial"/>
                <w:sz w:val="13"/>
                <w:szCs w:val="13"/>
                <w:color w:val="auto"/>
              </w:rPr>
              <w:t>Total identifiable intangible assets</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11,199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intangible assets acquired in the Stonewood business combination were determined, in accordance with the authoritative guidance for business combinations, based on the estimated fair values using valuation techniques consistent with the market approach and/or income approach to measure fair value. The remaining useful lives were estimated based on the underlying agreements and/or the future economic benefit expected to be received from the assets.</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acquisition of Stonewood is beneficial to the Company as it enhances the Company’s current encryption security offerings within the Company’s information assurance products and provides additional solutions in the design, manufacture and delivery of data at rest encryption products and services. These benefits and additional opportunities were among the factors that contributed to a purchase price resulting in the recognition of preliminary estimated goodwill, which was recorded within the Company’s government systems segment. The intangible assets and goodwill recognized are not deductible for federal income tax purposes. The purchase price allocation is preliminary due to pending resolution of certain Stonewood tax attributes. During the fourth quarter of fiscal year 2011, the Company recorded a $0.5 million adjustment to the preliminary purchase price allocation for Stonewood related to pre-acquisition net operating loss carryovers, reducing the Company’s government systems segment goodwill with a corresponding adjustment to deferred tax liabilities.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consolidated financial statements include the operating results of Stonewood from the date of acquisition. Pro forma results of operations have not been presented because the effect of the acquisition was insignificant to the financial statements for all periods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WildBlue acquisition</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On December 15, 2009, the Company completed the acquisition of all outstanding shares of WildBlue, a privately held provider of broadband internet service, delivering two-way broadband internet access via satellite in the contiguous United States. The purchase price of approximately $574.6 million was comprised primarily of $131.9 million related to the fair value of 4,286,250 shares of the Company’s common stock issued at the closing date and $442.7 million in cash consideration. The $442.7 million in cash consideration paid to the former WildBlue stockholders less cash and restricted cash acquired of $64.7 million resulted in a net cash outlay of approximately $378.0 million. As of April 2, 2010, all of the acquired restricted cash had become unrestricted. Total merger-related transaction costs incurred by the Company related to WildBlue acquisition were approximately $8.7 million, all of which were incurred and recorded in selling, general and administrative expenses in fiscal year 2010.</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purchase price allocation of the acquired assets and assumed liabilities based on the estimated fair values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7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106,672</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Property, equipment and satellites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378,263</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Identifiable intangible 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82,070</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9,809</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22,693</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1,969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 acquired</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601,476</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(19,689)</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Other long term liabilities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(7,168)</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140"/>
              <w:spacing w:after="0"/>
              <w:rPr>
                <w:sz w:val="20"/>
                <w:szCs w:val="20"/>
                <w:color w:val="auto"/>
              </w:rPr>
            </w:pPr>
            <w:r>
              <w:rPr>
                <w:rFonts w:ascii="Arial" w:cs="Arial" w:eastAsia="Arial" w:hAnsi="Arial"/>
                <w:sz w:val="13"/>
                <w:szCs w:val="13"/>
                <w:color w:val="auto"/>
              </w:rPr>
              <w:t>Total liabilities assumed</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(26,857)</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Total purchase price</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574,619</w:t>
            </w:r>
          </w:p>
        </w:tc>
        <w:tc>
          <w:tcPr>
            <w:tcW w:w="0" w:type="dxa"/>
            <w:vAlign w:val="bottom"/>
          </w:tcPr>
          <w:p>
            <w:pPr>
              <w:spacing w:after="0"/>
              <w:rPr>
                <w:sz w:val="1"/>
                <w:szCs w:val="1"/>
                <w:color w:val="auto"/>
              </w:rPr>
            </w:pPr>
          </w:p>
        </w:tc>
      </w:tr>
      <w:tr>
        <w:trPr>
          <w:trHeight w:val="254"/>
        </w:trPr>
        <w:tc>
          <w:tcPr>
            <w:tcW w:w="8900" w:type="dxa"/>
            <w:vAlign w:val="bottom"/>
            <w:gridSpan w:val="4"/>
          </w:tcPr>
          <w:p>
            <w:pPr>
              <w:ind w:left="400"/>
              <w:spacing w:after="0"/>
              <w:rPr>
                <w:sz w:val="20"/>
                <w:szCs w:val="20"/>
                <w:color w:val="auto"/>
              </w:rPr>
            </w:pPr>
            <w:r>
              <w:rPr>
                <w:rFonts w:ascii="Arial" w:cs="Arial" w:eastAsia="Arial" w:hAnsi="Arial"/>
                <w:sz w:val="13"/>
                <w:szCs w:val="13"/>
                <w:color w:val="auto"/>
              </w:rPr>
              <w:t>Amounts assigned to identifiable intangible assets are being amortized on a straight-line basis over their estimated useful lives and are as follows:</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Estimated</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rPr>
              <w:t>Fair Value</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Life</w:t>
            </w: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Trade name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5,680</w:t>
            </w:r>
          </w:p>
        </w:tc>
        <w:tc>
          <w:tcPr>
            <w:tcW w:w="1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Customer relationships — retail</w:t>
            </w:r>
          </w:p>
        </w:tc>
        <w:tc>
          <w:tcPr>
            <w:tcW w:w="1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39,840</w:t>
            </w: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 — wholesale</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27,950</w:t>
            </w: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Satellite co-location rights</w:t>
            </w:r>
          </w:p>
        </w:tc>
        <w:tc>
          <w:tcPr>
            <w:tcW w:w="1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8,600</w:t>
            </w: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Total identifiable intangible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82,070</w:t>
            </w: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intangible assets acquired in the WildBlue business combination were determined, in accordance with the authoritative guidance for business combinations, based on the estimated fair values using valuation techniques consistent with the market approach, income approach and/or cost approach to measure fair value. The remaining useful lives were estimated based on the underlying agreements and/or the future economic benefit expected to be</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received from the assets. Under the terms of the co-location right agreement, the Company has certain option periods that begin in approximately 10 years based upon the life of Anik F2 Ka-Band Payload.</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acquisition of WildBlue is beneficial to the Company as it is expected to enable the Company to integrate the extensive bandwidth capacity of its ViaSat-1 satellite into WildBlue’s existing distribution and fulfillment resources, which are expected to reduce initial service costs and improve subscriber growth. These benefits and additional opportunities were among the factors that contributed to a purchase price resulting in the recognition of goodwill, which was recorded within the Company’s satellite services segment. The intangible assets and goodwill recognized are not deductible for federal income tax purposes. During fiscal year 2011, the Company recorded a $0.4 million adjustment to the final purchase price allocation for WildBlue primarily related to pre-acquisition net operating loss carryovers, increasing the Company’s satellite services segment goodwill with a corresponding adjustment to deferred tax assets.</w:t>
      </w:r>
    </w:p>
    <w:p>
      <w:pPr>
        <w:spacing w:after="0" w:line="72" w:lineRule="exact"/>
        <w:rPr>
          <w:sz w:val="20"/>
          <w:szCs w:val="20"/>
          <w:color w:val="auto"/>
        </w:rPr>
      </w:pPr>
    </w:p>
    <w:p>
      <w:pPr>
        <w:ind w:left="680" w:right="460" w:firstLine="399"/>
        <w:spacing w:after="0" w:line="371" w:lineRule="auto"/>
        <w:rPr>
          <w:sz w:val="20"/>
          <w:szCs w:val="20"/>
          <w:color w:val="auto"/>
        </w:rPr>
      </w:pPr>
      <w:r>
        <w:rPr>
          <w:rFonts w:ascii="Arial" w:cs="Arial" w:eastAsia="Arial" w:hAnsi="Arial"/>
          <w:sz w:val="11"/>
          <w:szCs w:val="11"/>
          <w:color w:val="auto"/>
        </w:rPr>
        <w:t>The consolidated financial statements include the operating results of WildBlue from the date of acquisition. During fiscal year 2010, since the acquisition date, the Company recorded approximately $63.4 million in revenue and $0.4 million of net income with respect to the WildBlue business in the Company’s consolidated statements of operations.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Unaudited pro forma financial information</w:t>
      </w:r>
    </w:p>
    <w:p>
      <w:pPr>
        <w:spacing w:after="0" w:line="96"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The unaudited financial information in the table below summarizes the combined results of operations for the Company and WildBlue on a pro forma basis, as though the companies had been combined as of the beginning of the related fiscal years. The pro forma financial information is presented for informational purposes only and may not be indicative of the results of operations that would have been achieved if the acquisition had taken place at the beginning of the related fiscal years. The pro forma financial information for fiscal years 2010 and 2009 include the business combination accounting effect on historical WildBlue revenue, elimination of the historical ViaSat revenues and related costs of revenues derived from sales of CPE units to WildBlue, amortization and depreciation charges from acquired intangible and tangible assets, the difference between WildBlue’s and ViaSat’s historical interest expense/interest income due to ViaSat’s new capitalization structure as a result of the acquisition, related tax effects and adjustment to shares outstanding for shares issued for the acquisition.</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Fiscal Years Ended</w:t>
            </w:r>
          </w:p>
        </w:tc>
        <w:tc>
          <w:tcPr>
            <w:tcW w:w="0" w:type="dxa"/>
            <w:vAlign w:val="bottom"/>
          </w:tcPr>
          <w:p>
            <w:pPr>
              <w:spacing w:after="0"/>
              <w:rPr>
                <w:sz w:val="1"/>
                <w:szCs w:val="1"/>
                <w:color w:val="auto"/>
              </w:rPr>
            </w:pPr>
          </w:p>
        </w:tc>
      </w:tr>
      <w:tr>
        <w:trPr>
          <w:trHeight w:val="98"/>
        </w:trPr>
        <w:tc>
          <w:tcPr>
            <w:tcW w:w="77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100"/>
              <w:spacing w:after="0" w:line="98" w:lineRule="exact"/>
              <w:rPr>
                <w:sz w:val="20"/>
                <w:szCs w:val="20"/>
                <w:color w:val="auto"/>
              </w:rPr>
            </w:pPr>
            <w:r>
              <w:rPr>
                <w:rFonts w:ascii="Arial" w:cs="Arial" w:eastAsia="Arial" w:hAnsi="Arial"/>
                <w:sz w:val="10"/>
                <w:szCs w:val="10"/>
                <w:b w:val="1"/>
                <w:bCs w:val="1"/>
                <w:color w:val="auto"/>
              </w:rPr>
              <w:t>April 2, 2010</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rPr>
              <w:t>April 3, 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(In thousands,</w:t>
            </w:r>
          </w:p>
        </w:tc>
        <w:tc>
          <w:tcPr>
            <w:tcW w:w="1280" w:type="dxa"/>
            <w:vAlign w:val="bottom"/>
            <w:gridSpan w:val="3"/>
          </w:tcPr>
          <w:p>
            <w:pPr>
              <w:jc w:val="right"/>
              <w:ind w:right="197"/>
              <w:spacing w:after="0"/>
              <w:rPr>
                <w:sz w:val="20"/>
                <w:szCs w:val="20"/>
                <w:color w:val="auto"/>
              </w:rPr>
            </w:pPr>
            <w:r>
              <w:rPr>
                <w:rFonts w:ascii="Arial" w:cs="Arial" w:eastAsia="Arial" w:hAnsi="Arial"/>
                <w:sz w:val="10"/>
                <w:szCs w:val="10"/>
                <w:b w:val="1"/>
                <w:bCs w:val="1"/>
                <w:color w:val="auto"/>
                <w:w w:val="94"/>
              </w:rPr>
              <w:t>except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818,505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792,241</w:t>
            </w:r>
          </w:p>
        </w:tc>
        <w:tc>
          <w:tcPr>
            <w:tcW w:w="0" w:type="dxa"/>
            <w:vAlign w:val="bottom"/>
          </w:tcPr>
          <w:p>
            <w:pPr>
              <w:spacing w:after="0"/>
              <w:rPr>
                <w:sz w:val="1"/>
                <w:szCs w:val="1"/>
                <w:color w:val="auto"/>
              </w:rPr>
            </w:pPr>
          </w:p>
        </w:tc>
      </w:tr>
      <w:tr>
        <w:trPr>
          <w:trHeight w:val="29"/>
        </w:trPr>
        <w:tc>
          <w:tcPr>
            <w:tcW w:w="7700" w:type="dxa"/>
            <w:vAlign w:val="bottom"/>
            <w:vMerge w:val="restart"/>
          </w:tcPr>
          <w:p>
            <w:pPr>
              <w:spacing w:after="0"/>
              <w:rPr>
                <w:sz w:val="20"/>
                <w:szCs w:val="20"/>
                <w:color w:val="auto"/>
              </w:rPr>
            </w:pPr>
            <w:r>
              <w:rPr>
                <w:rFonts w:ascii="Arial" w:cs="Arial" w:eastAsia="Arial" w:hAnsi="Arial"/>
                <w:sz w:val="13"/>
                <w:szCs w:val="13"/>
                <w:color w:val="auto"/>
              </w:rPr>
              <w:t>Net income attributable to ViaSat, Inc.</w:t>
            </w: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30,792</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4,921</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 attributable to ViaSat, Inc.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29"/>
        </w:trPr>
        <w:tc>
          <w:tcPr>
            <w:tcW w:w="7700" w:type="dxa"/>
            <w:vAlign w:val="bottom"/>
            <w:vMerge w:val="restart"/>
          </w:tcPr>
          <w:p>
            <w:pPr>
              <w:spacing w:after="0"/>
              <w:rPr>
                <w:sz w:val="20"/>
                <w:szCs w:val="20"/>
                <w:color w:val="auto"/>
              </w:rPr>
            </w:pPr>
            <w:r>
              <w:rPr>
                <w:rFonts w:ascii="Arial" w:cs="Arial" w:eastAsia="Arial" w:hAnsi="Arial"/>
                <w:sz w:val="13"/>
                <w:szCs w:val="13"/>
                <w:color w:val="auto"/>
              </w:rPr>
              <w:t>Diluted net income per share attributable to ViaSat, Inc. common stockholders</w:t>
            </w: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0.81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10 —</w:t>
      </w:r>
      <w:r>
        <w:rPr>
          <w:sz w:val="20"/>
          <w:szCs w:val="20"/>
          <w:color w:val="auto"/>
        </w:rPr>
        <w:tab/>
      </w:r>
      <w:r>
        <w:rPr>
          <w:rFonts w:ascii="Arial" w:cs="Arial" w:eastAsia="Arial" w:hAnsi="Arial"/>
          <w:sz w:val="11"/>
          <w:szCs w:val="11"/>
          <w:b w:val="1"/>
          <w:bCs w:val="1"/>
          <w:color w:val="auto"/>
        </w:rPr>
        <w:t>Employee Benefits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is a sponsor of a voluntary deferred compensation plan under Section 401(k) of the Internal Revenue Code which was amended during the fourth quarter of fiscal year 2009. Under the amended plan, the Company may make discretionary contributions to the plan which vest over six years. The Company’s discretionary matching contributions to the plan are based on the amount of employee contributions and can be made in cash or the Company’s common stock at the Company’s election. Subsequent to the fiscal year-end, the Company elected to settle the discretionary contributions liability in stock. Based on the year-end common stock closing price, the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Company would issue 161,865 shares of common stock at this time. Discretionary contributions accrued by the Company as of April 1, 2011 and April 2, 2010 amounted to $6.3 million and $5.2 million, respectively.</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11 —</w:t>
      </w:r>
      <w:r>
        <w:rPr>
          <w:sz w:val="20"/>
          <w:szCs w:val="20"/>
          <w:color w:val="auto"/>
        </w:rPr>
        <w:tab/>
      </w:r>
      <w:r>
        <w:rPr>
          <w:rFonts w:ascii="Arial" w:cs="Arial" w:eastAsia="Arial" w:hAnsi="Arial"/>
          <w:sz w:val="11"/>
          <w:szCs w:val="11"/>
          <w:b w:val="1"/>
          <w:bCs w:val="1"/>
          <w:color w:val="auto"/>
        </w:rPr>
        <w:t>Commitments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January 2008, the Company entered into several agreements with Space Systems/Loral, Inc. (SS/L), Loral Space &amp; Communications, Inc. (Loral) and Telesat Canada related to the Company’s anticipated high-capacity satellite system. Under the satellite construction contract with SS/L, the Company purchased ViaSat-1, a new high-capacity Ka-band spot-beam satellite designed by the Company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The Company has also entered into a beam sharing agreement with Loral, whereby Loral has agreed to reimburse the Company for 15% of the total costs associated with launch and launch insurance, which is estimated to be approximately $22.5 million, and in-orbit insurance and satellite operating costs post launch. On March 1, 2011, Loral entered into agreements with Telesat Canada pursuant to which Loral assigned to Telesat Canada and Telesat Canada assumed from Loral all of Loral’s rights and obligations with respect to the Canadian beams on ViaSat-1.</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November 2008, the Company entered into a launch services agreement with Arianespace to procure launch services for ViaSat-1 at a cost estimated to be $107.8 million, depending on the mass of the satellite at launch. In March 2009, the Company substituted ILS International Launch Services, Inc. (ILS) for Arianespace as the primary provider of launch services for ViaSat-1, and accordingly, the Company entered into a contract for launch services with ILS to procure launch services for ViaSat-1 at an estimated cost of approximately $80.0 million, subject to certain adjustments.</w:t>
      </w:r>
    </w:p>
    <w:p>
      <w:pPr>
        <w:spacing w:after="0" w:line="7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On May 7, 2009, the Company entered into an Amended and Restated Launch Services Agreement with Arianespace, whereby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50" w:lineRule="exact"/>
        <w:rPr>
          <w:sz w:val="20"/>
          <w:szCs w:val="20"/>
          <w:color w:val="auto"/>
        </w:rPr>
      </w:pPr>
    </w:p>
    <w:p>
      <w:pPr>
        <w:ind w:left="680" w:right="480" w:firstLine="399"/>
        <w:spacing w:after="0" w:line="371" w:lineRule="auto"/>
        <w:rPr>
          <w:sz w:val="20"/>
          <w:szCs w:val="20"/>
          <w:color w:val="auto"/>
        </w:rPr>
      </w:pPr>
      <w:r>
        <w:rPr>
          <w:rFonts w:ascii="Arial" w:cs="Arial" w:eastAsia="Arial" w:hAnsi="Arial"/>
          <w:sz w:val="11"/>
          <w:szCs w:val="11"/>
          <w:color w:val="auto"/>
        </w:rPr>
        <w:t>The Company has various other purchase commitments under satellite capacity agreements which are used to provide satellite networking services to its customers for future minimum payments of $18.7 million, $12.1 million, $12.3 million and $0.9 million in fiscal years 2012, 2013, 2014 and 2015, respectively, with no further commitments thereafter.</w:t>
      </w:r>
    </w:p>
    <w:p>
      <w:pPr>
        <w:spacing w:after="0" w:line="1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leases office and other facilities under non-cancelable operating leases with initial terms ranging from one to fifteen years which expire between fiscal year 2012 and fiscal year 2022 and provide for pre-negotiated fixed rental rates during the terms of the lease. Certain of the Company’s facilities leases contain option provisions which allow for extension of the lease terms.</w:t>
      </w:r>
    </w:p>
    <w:p>
      <w:pPr>
        <w:spacing w:after="0" w:line="67"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For operating leases, minimum lease payments, including minimum scheduled rent increases, are recognized as rent expense on a straight-line basis over the lease term as that term is defined in the authoritative guidance for leases (ASC 840)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$17.1 million, $14.5 million and $12.5 million in fiscal years 2011, 2010 and 2009, respectively.</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00" w:type="dxa"/>
            <w:vAlign w:val="bottom"/>
          </w:tcPr>
          <w:p>
            <w:pPr>
              <w:spacing w:after="0"/>
              <w:rPr>
                <w:sz w:val="14"/>
                <w:szCs w:val="14"/>
                <w:color w:val="auto"/>
              </w:rPr>
            </w:pPr>
          </w:p>
        </w:tc>
        <w:tc>
          <w:tcPr>
            <w:tcW w:w="8120" w:type="dxa"/>
            <w:vAlign w:val="bottom"/>
            <w:gridSpan w:val="3"/>
          </w:tcPr>
          <w:p>
            <w:pPr>
              <w:jc w:val="right"/>
              <w:ind w:right="3620"/>
              <w:spacing w:after="0"/>
              <w:rPr>
                <w:sz w:val="20"/>
                <w:szCs w:val="20"/>
                <w:color w:val="auto"/>
              </w:rPr>
            </w:pPr>
            <w:r>
              <w:rPr>
                <w:rFonts w:ascii="Arial" w:cs="Arial" w:eastAsia="Arial" w:hAnsi="Arial"/>
                <w:sz w:val="13"/>
                <w:szCs w:val="13"/>
                <w:b w:val="1"/>
                <w:bCs w:val="1"/>
                <w:color w:val="auto"/>
              </w:rPr>
              <w:t>VIASAT, INC.</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900" w:type="dxa"/>
            <w:vAlign w:val="bottom"/>
          </w:tcPr>
          <w:p>
            <w:pPr>
              <w:spacing w:after="0"/>
              <w:rPr>
                <w:sz w:val="21"/>
                <w:szCs w:val="21"/>
                <w:color w:val="auto"/>
              </w:rPr>
            </w:pPr>
          </w:p>
        </w:tc>
        <w:tc>
          <w:tcPr>
            <w:tcW w:w="8120" w:type="dxa"/>
            <w:vAlign w:val="bottom"/>
            <w:gridSpan w:val="3"/>
          </w:tcPr>
          <w:p>
            <w:pPr>
              <w:jc w:val="right"/>
              <w:ind w:right="188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9020" w:type="dxa"/>
            <w:vAlign w:val="bottom"/>
            <w:gridSpan w:val="4"/>
          </w:tcPr>
          <w:p>
            <w:pPr>
              <w:ind w:left="400"/>
              <w:spacing w:after="0"/>
              <w:rPr>
                <w:sz w:val="20"/>
                <w:szCs w:val="20"/>
                <w:color w:val="auto"/>
              </w:rPr>
            </w:pPr>
            <w:r>
              <w:rPr>
                <w:rFonts w:ascii="Arial" w:cs="Arial" w:eastAsia="Arial" w:hAnsi="Arial"/>
                <w:sz w:val="13"/>
                <w:szCs w:val="13"/>
                <w:color w:val="auto"/>
              </w:rPr>
              <w:t>Future minimum lease payments are as follows: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2"/>
              </w:rPr>
              <w:t>Fiscal Years Ending</w:t>
            </w:r>
          </w:p>
        </w:tc>
        <w:tc>
          <w:tcPr>
            <w:tcW w:w="7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r>
      <w:tr>
        <w:trPr>
          <w:trHeight w:val="29"/>
        </w:trPr>
        <w:tc>
          <w:tcPr>
            <w:tcW w:w="9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81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16,938</w:t>
            </w: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2013</w:t>
            </w:r>
          </w:p>
        </w:tc>
        <w:tc>
          <w:tcPr>
            <w:tcW w:w="7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15,525</w:t>
            </w:r>
          </w:p>
        </w:tc>
      </w:tr>
      <w:tr>
        <w:trPr>
          <w:trHeight w:val="157"/>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7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15,418</w:t>
            </w: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2015</w:t>
            </w:r>
          </w:p>
        </w:tc>
        <w:tc>
          <w:tcPr>
            <w:tcW w:w="7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14,394</w:t>
            </w:r>
          </w:p>
        </w:tc>
      </w:tr>
      <w:tr>
        <w:trPr>
          <w:trHeight w:val="157"/>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2016</w:t>
            </w:r>
          </w:p>
        </w:tc>
        <w:tc>
          <w:tcPr>
            <w:tcW w:w="7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13,563</w:t>
            </w: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Thereafter</w:t>
            </w:r>
          </w:p>
        </w:tc>
        <w:tc>
          <w:tcPr>
            <w:tcW w:w="7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42,018</w:t>
            </w:r>
          </w:p>
        </w:tc>
      </w:tr>
      <w:tr>
        <w:trPr>
          <w:trHeight w:val="20"/>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900" w:type="dxa"/>
            <w:vAlign w:val="bottom"/>
            <w:shd w:val="clear" w:color="auto" w:fill="CCEEFF"/>
          </w:tcPr>
          <w:p>
            <w:pPr>
              <w:spacing w:after="0"/>
              <w:rPr>
                <w:sz w:val="14"/>
                <w:szCs w:val="14"/>
                <w:color w:val="auto"/>
              </w:rPr>
            </w:pPr>
          </w:p>
        </w:tc>
        <w:tc>
          <w:tcPr>
            <w:tcW w:w="81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117,856</w:t>
            </w:r>
          </w:p>
        </w:tc>
      </w:tr>
      <w:tr>
        <w:trPr>
          <w:trHeight w:val="333"/>
        </w:trPr>
        <w:tc>
          <w:tcPr>
            <w:tcW w:w="900" w:type="dxa"/>
            <w:vAlign w:val="bottom"/>
          </w:tcPr>
          <w:p>
            <w:pPr>
              <w:spacing w:after="0"/>
              <w:rPr>
                <w:sz w:val="20"/>
                <w:szCs w:val="20"/>
                <w:color w:val="auto"/>
              </w:rPr>
            </w:pPr>
            <w:r>
              <w:rPr>
                <w:rFonts w:ascii="Arial" w:cs="Arial" w:eastAsia="Arial" w:hAnsi="Arial"/>
                <w:sz w:val="13"/>
                <w:szCs w:val="13"/>
                <w:b w:val="1"/>
                <w:bCs w:val="1"/>
                <w:color w:val="auto"/>
              </w:rPr>
              <w:t>Note 12 —</w:t>
            </w:r>
          </w:p>
        </w:tc>
        <w:tc>
          <w:tcPr>
            <w:tcW w:w="8000" w:type="dxa"/>
            <w:vAlign w:val="bottom"/>
            <w:gridSpan w:val="2"/>
          </w:tcPr>
          <w:p>
            <w:pPr>
              <w:ind w:left="20"/>
              <w:spacing w:after="0"/>
              <w:rPr>
                <w:sz w:val="20"/>
                <w:szCs w:val="20"/>
                <w:color w:val="auto"/>
              </w:rPr>
            </w:pPr>
            <w:r>
              <w:rPr>
                <w:rFonts w:ascii="Arial" w:cs="Arial" w:eastAsia="Arial" w:hAnsi="Arial"/>
                <w:sz w:val="13"/>
                <w:szCs w:val="13"/>
                <w:b w:val="1"/>
                <w:bCs w:val="1"/>
                <w:color w:val="auto"/>
              </w:rPr>
              <w:t>Contingencies</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8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U.S. government agencies, including the Defense Contract Audit Agency (DCAA)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accounting and management internal control systems, including: control environment and overall accounting system, general information technology system, budget and planning system, purchasing system, material management and accounting system, compensation system, labor system, indirect and other direct costs system, billing system and estimating system.</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Government audits and reviews may conclude that the Company’s practices are not consistent with applicable laws and regulations and result in adjustments to contract costs and mandatory customer refunds. Such adjustments can be applied retroactively, which could result in significant customer refunds, penalties and sanctions against the Company, including withholding of payments, and increased government scrutiny that could delay or adversely affect the Company’s ability to receive timely payment on contracts, perform contracts or compete for contracts with the U.S. Government.</w:t>
      </w:r>
    </w:p>
    <w:p>
      <w:pPr>
        <w:spacing w:after="0" w:line="70"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The Company’s incurred cost audits by the DCAA have not been completed for fiscal year 2003 and subsequent fiscal years. Although the Company has recorded contract revenues subsequent to fiscal year 2002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In the fourth quarter of fiscal year 2011, based on recent events, including communications with the DCMA, changes in the regulatory environment for federal government contractors and the status of current government audits, the Company recorded an additional $5.0 million in contract-related reserves for its estimate of potential refunds to customers for potential cost adjustments on several multi-year U.S. government cost reimbursable contracts, bringing the Company’s total reserve to $6.7 million as of April 1, 2011. This reserve is classified as either an element of accrued liabilities or as a reduction of unbilled accounts receivable based on status of the related contracts.</w:t>
      </w:r>
    </w:p>
    <w:p>
      <w:pPr>
        <w:spacing w:after="0" w:line="1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13 —</w:t>
      </w:r>
      <w:r>
        <w:rPr>
          <w:sz w:val="20"/>
          <w:szCs w:val="20"/>
          <w:color w:val="auto"/>
        </w:rPr>
        <w:tab/>
      </w:r>
      <w:r>
        <w:rPr>
          <w:rFonts w:ascii="Arial" w:cs="Arial" w:eastAsia="Arial" w:hAnsi="Arial"/>
          <w:sz w:val="12"/>
          <w:szCs w:val="12"/>
          <w:b w:val="1"/>
          <w:bCs w:val="1"/>
          <w:color w:val="auto"/>
        </w:rPr>
        <w:t>Product Warranty</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provides limited warranties on its products for periods of up to five years. The Company records a liability for its warranty obligations when products are shipped or they are included in long-term construction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2011, 2010 and 2009.</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6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April 1,</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480" w:type="dxa"/>
            <w:vAlign w:val="bottom"/>
          </w:tcPr>
          <w:p>
            <w:pPr>
              <w:jc w:val="center"/>
              <w:ind w:right="40"/>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left="14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11,208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11,679</w:t>
            </w:r>
          </w:p>
        </w:tc>
        <w:tc>
          <w:tcPr>
            <w:tcW w:w="0" w:type="dxa"/>
            <w:vAlign w:val="bottom"/>
          </w:tcPr>
          <w:p>
            <w:pPr>
              <w:spacing w:after="0"/>
              <w:rPr>
                <w:sz w:val="1"/>
                <w:szCs w:val="1"/>
                <w:color w:val="auto"/>
              </w:rPr>
            </w:pPr>
          </w:p>
        </w:tc>
      </w:tr>
      <w:tr>
        <w:trPr>
          <w:trHeight w:val="157"/>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Change in liability for warranties issued in period</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7,396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6,988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7,720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Settlements made (in cash or in kind) during the period</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(6,974)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(8,205)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color w:val="auto"/>
              </w:rPr>
              <w:t>Balance, end of period</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12,942</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11,208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11,194</w:t>
            </w:r>
          </w:p>
        </w:tc>
        <w:tc>
          <w:tcPr>
            <w:tcW w:w="0" w:type="dxa"/>
            <w:vAlign w:val="bottom"/>
          </w:tcPr>
          <w:p>
            <w:pPr>
              <w:spacing w:after="0"/>
              <w:rPr>
                <w:sz w:val="1"/>
                <w:szCs w:val="1"/>
                <w:color w:val="auto"/>
              </w:rPr>
            </w:pPr>
          </w:p>
        </w:tc>
      </w:tr>
      <w:tr>
        <w:trPr>
          <w:trHeight w:val="333"/>
        </w:trPr>
        <w:tc>
          <w:tcPr>
            <w:tcW w:w="760" w:type="dxa"/>
            <w:vAlign w:val="bottom"/>
          </w:tcPr>
          <w:p>
            <w:pPr>
              <w:spacing w:after="0"/>
              <w:rPr>
                <w:sz w:val="20"/>
                <w:szCs w:val="20"/>
                <w:color w:val="auto"/>
              </w:rPr>
            </w:pPr>
            <w:r>
              <w:rPr>
                <w:rFonts w:ascii="Arial" w:cs="Arial" w:eastAsia="Arial" w:hAnsi="Arial"/>
                <w:sz w:val="13"/>
                <w:szCs w:val="13"/>
                <w:b w:val="1"/>
                <w:bCs w:val="1"/>
                <w:color w:val="auto"/>
              </w:rPr>
              <w:t>Note 14 —</w:t>
            </w:r>
          </w:p>
        </w:tc>
        <w:tc>
          <w:tcPr>
            <w:tcW w:w="6540" w:type="dxa"/>
            <w:vAlign w:val="bottom"/>
          </w:tcPr>
          <w:p>
            <w:pPr>
              <w:ind w:left="160"/>
              <w:spacing w:after="0"/>
              <w:rPr>
                <w:sz w:val="20"/>
                <w:szCs w:val="20"/>
                <w:color w:val="auto"/>
              </w:rPr>
            </w:pPr>
            <w:r>
              <w:rPr>
                <w:rFonts w:ascii="Arial" w:cs="Arial" w:eastAsia="Arial" w:hAnsi="Arial"/>
                <w:sz w:val="13"/>
                <w:szCs w:val="13"/>
                <w:b w:val="1"/>
                <w:bCs w:val="1"/>
                <w:color w:val="auto"/>
              </w:rPr>
              <w:t>Restructuring</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the third quarter of fiscal year 2010, the Company initiated a post-acquisition restructuring plan related to the termination of certain duplicative employee positions upon the acquisition of WildBlue. Under the terms of the plan, the Company recorded restructuring charges of approximately $0.5 million and $2.7 million as part of selling, general and administrative expenses within the satellite services segment during fiscal years 2011 and 2010, respectively. The Company recorded no restructuring charges during fiscal year 2009. As of April 1, 2011 and April 2, 2010, $0.2 million and $0.3 million, respectively, of restructuring charges remained unpaid and recorded in accrued liabilities. During fiscal year 2011 and 2010, the Company paid approximately $0.6 million and $2.4 million of the outstanding restructuring liabilities, respectively.</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15 —</w:t>
      </w:r>
      <w:r>
        <w:rPr>
          <w:sz w:val="20"/>
          <w:szCs w:val="20"/>
          <w:color w:val="auto"/>
        </w:rPr>
        <w:tab/>
      </w:r>
      <w:r>
        <w:rPr>
          <w:rFonts w:ascii="Arial" w:cs="Arial" w:eastAsia="Arial" w:hAnsi="Arial"/>
          <w:sz w:val="11"/>
          <w:szCs w:val="11"/>
          <w:b w:val="1"/>
          <w:bCs w:val="1"/>
          <w:color w:val="auto"/>
        </w:rPr>
        <w:t>Segment Information</w:t>
      </w:r>
    </w:p>
    <w:p>
      <w:pPr>
        <w:spacing w:after="0" w:line="10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The Company’s reporting segments, comprised of the government systems, commercial networks and satellite services segments, are primarily distinguished by the type of customer and the related contractual requirements. The Company’s government systems segment develops and produces network-centric,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The Company’s satellite services segment complements both the government systems and commercial networks segments by providing wholesale and retail satellite-based broadband internet services in the United States via the Company’s satellite and capacity agreements, as well as managed network services for the satellite communication systems of the Company’s consumer, enterprise and mobile broadband customers. The Company’s satellite services segment includes the Company’s acquired WildBlue business and the Company’s ViaSat-1 satellite-related activities. The Company’s segments are determined consistent with the way management currently organizes and evaluates financial information internally for making operating decisions and assessing performance.</w:t>
      </w:r>
    </w:p>
    <w:p>
      <w:pPr>
        <w:spacing w:after="0" w:line="6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discussed further in Note 1, included in the government systems segment operating profit for fiscal year 2011 is an $8.5 million forward loss recorded during the first quarter of fiscal year 2011 on a government satellite communications program. As discussed in Note 1, also included in the government systems segment operating profit for fiscal year 2011 is an additional $5.0 million in contract related reserves for potential cost adjustments on several multi-year U.S. government cost reimbursable contracts, which resulted in a decrease to revenues and earnings. The Company’s satellite services segment operating profit for fiscal year 2011 reflects a $5.2 million</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benefit to cost of service revenues related to a WildBlue satellite capacity contract liability acquired and release of future payment liabilities related thereto.</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April 1,</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560" w:type="dxa"/>
            <w:vAlign w:val="bottom"/>
          </w:tcPr>
          <w:p>
            <w:pPr>
              <w:jc w:val="center"/>
              <w:ind w:right="37"/>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57"/>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Government Systems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384,111</w:t>
            </w:r>
          </w:p>
        </w:tc>
        <w:tc>
          <w:tcPr>
            <w:tcW w:w="3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385,151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388,656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Networks</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183,143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227,120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230,828</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Satellite Services</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234,952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75,809</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8,695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Elimination of intersegment revenues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Total revenues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802,206</w:t>
            </w:r>
          </w:p>
        </w:tc>
        <w:tc>
          <w:tcPr>
            <w:tcW w:w="160" w:type="dxa"/>
            <w:vAlign w:val="bottom"/>
          </w:tcPr>
          <w:p>
            <w:pPr>
              <w:spacing w:after="0"/>
              <w:rPr>
                <w:sz w:val="14"/>
                <w:szCs w:val="14"/>
                <w:color w:val="auto"/>
              </w:rPr>
            </w:pPr>
          </w:p>
        </w:tc>
        <w:tc>
          <w:tcPr>
            <w:tcW w:w="3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688,080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628,179</w:t>
            </w: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Operating profits (losses)</w:t>
            </w: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Government Systems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29,872</w:t>
            </w:r>
          </w:p>
        </w:tc>
        <w:tc>
          <w:tcPr>
            <w:tcW w:w="3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55,720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57,019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Networks</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(9,482)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6,091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Satellite Services</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38,228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(9,305)</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(3,978)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Elimination of intersegment operating profits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Segment operating profit before corporate and amortization</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58,618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52,506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53,104</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Amortization of acquired intangible assets</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(19,409)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(9,494)</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(8,822)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39,253</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44,287</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of acquired intangible assets by segment for the fiscal years ended April 1, 2011, April 2, 2010 and April 3, 2009 was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59"/>
              <w:spacing w:after="0"/>
              <w:rPr>
                <w:sz w:val="20"/>
                <w:szCs w:val="20"/>
                <w:color w:val="auto"/>
              </w:rPr>
            </w:pPr>
            <w:r>
              <w:rPr>
                <w:rFonts w:ascii="Arial" w:cs="Arial" w:eastAsia="Arial" w:hAnsi="Arial"/>
                <w:sz w:val="10"/>
                <w:szCs w:val="10"/>
                <w:b w:val="1"/>
                <w:bCs w:val="1"/>
                <w:color w:val="auto"/>
              </w:rPr>
              <w:t>April 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4"/>
              </w:rPr>
              <w:t>April 2,</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2011</w:t>
            </w:r>
          </w:p>
        </w:tc>
        <w:tc>
          <w:tcPr>
            <w:tcW w:w="400" w:type="dxa"/>
            <w:vAlign w:val="bottom"/>
            <w:vMerge w:val="restart"/>
          </w:tcPr>
          <w:p>
            <w:pPr>
              <w:ind w:left="260"/>
              <w:spacing w:after="0"/>
              <w:rPr>
                <w:sz w:val="20"/>
                <w:szCs w:val="20"/>
                <w:color w:val="auto"/>
              </w:rPr>
            </w:pPr>
            <w:r>
              <w:rPr>
                <w:rFonts w:ascii="Arial" w:cs="Arial" w:eastAsia="Arial" w:hAnsi="Arial"/>
                <w:sz w:val="10"/>
                <w:szCs w:val="10"/>
                <w:b w:val="1"/>
                <w:bCs w:val="1"/>
                <w:color w:val="auto"/>
                <w:w w:val="97"/>
              </w:rPr>
              <w:t>(In</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w w:val="88"/>
              </w:rPr>
              <w:t>thousands)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Government Systems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1,088</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Commercial Networks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4,001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4,629</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7,734</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Satellite Services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3,779</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amortization of acquired intangible assets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19,409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9,494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8,822</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Assets identifiable to segments include: accounts receivable, unbilled accounts receivable, inventory, acquired intangible assets and goodwill. Segment assets as of April 1, 2011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2, 2010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ind w:left="100"/>
              <w:spacing w:after="0"/>
              <w:rPr>
                <w:sz w:val="20"/>
                <w:szCs w:val="20"/>
                <w:color w:val="auto"/>
              </w:rPr>
            </w:pPr>
            <w:r>
              <w:rPr>
                <w:rFonts w:ascii="Arial" w:cs="Arial" w:eastAsia="Arial" w:hAnsi="Arial"/>
                <w:sz w:val="10"/>
                <w:szCs w:val="10"/>
                <w:b w:val="1"/>
                <w:bCs w:val="1"/>
                <w:color w:val="auto"/>
              </w:rPr>
              <w:t>April 1,</w:t>
            </w:r>
          </w:p>
        </w:tc>
        <w:tc>
          <w:tcPr>
            <w:tcW w:w="200" w:type="dxa"/>
            <w:vAlign w:val="bottom"/>
          </w:tcPr>
          <w:p>
            <w:pPr>
              <w:spacing w:after="0"/>
              <w:rPr>
                <w:sz w:val="10"/>
                <w:szCs w:val="10"/>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April 2,</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00" w:type="dxa"/>
            <w:vAlign w:val="bottom"/>
            <w:gridSpan w:val="2"/>
          </w:tcPr>
          <w:p>
            <w:pPr>
              <w:jc w:val="right"/>
              <w:ind w:right="31"/>
              <w:spacing w:after="0"/>
              <w:rPr>
                <w:sz w:val="20"/>
                <w:szCs w:val="20"/>
                <w:color w:val="auto"/>
              </w:rPr>
            </w:pPr>
            <w:r>
              <w:rPr>
                <w:rFonts w:ascii="Arial" w:cs="Arial" w:eastAsia="Arial" w:hAnsi="Arial"/>
                <w:sz w:val="10"/>
                <w:szCs w:val="10"/>
                <w:b w:val="1"/>
                <w:bCs w:val="1"/>
                <w:color w:val="auto"/>
                <w:w w:val="92"/>
              </w:rPr>
              <w:t>thousands)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Segment assets</w:t>
            </w:r>
          </w:p>
        </w:tc>
        <w:tc>
          <w:tcPr>
            <w:tcW w:w="4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100" w:type="dxa"/>
            <w:vAlign w:val="bottom"/>
          </w:tcPr>
          <w:p>
            <w:pPr>
              <w:ind w:left="140"/>
              <w:spacing w:after="0"/>
              <w:rPr>
                <w:sz w:val="20"/>
                <w:szCs w:val="20"/>
                <w:color w:val="auto"/>
              </w:rPr>
            </w:pPr>
            <w:r>
              <w:rPr>
                <w:rFonts w:ascii="Arial" w:cs="Arial" w:eastAsia="Arial" w:hAnsi="Arial"/>
                <w:sz w:val="13"/>
                <w:szCs w:val="13"/>
                <w:color w:val="auto"/>
              </w:rPr>
              <w:t>Government Systems</w:t>
            </w:r>
          </w:p>
        </w:tc>
        <w:tc>
          <w:tcPr>
            <w:tcW w:w="47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228,194</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168,703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Networks</w:t>
            </w:r>
          </w:p>
        </w:tc>
        <w:tc>
          <w:tcPr>
            <w:tcW w:w="4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133,158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146,990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00" w:type="dxa"/>
            <w:vAlign w:val="bottom"/>
          </w:tcPr>
          <w:p>
            <w:pPr>
              <w:ind w:left="140"/>
              <w:spacing w:after="0"/>
              <w:rPr>
                <w:sz w:val="20"/>
                <w:szCs w:val="20"/>
                <w:color w:val="auto"/>
              </w:rPr>
            </w:pPr>
            <w:r>
              <w:rPr>
                <w:rFonts w:ascii="Arial" w:cs="Arial" w:eastAsia="Arial" w:hAnsi="Arial"/>
                <w:sz w:val="13"/>
                <w:szCs w:val="13"/>
                <w:color w:val="auto"/>
              </w:rPr>
              <w:t>Satellite Services</w:t>
            </w:r>
          </w:p>
        </w:tc>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93,857</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107,919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segment assets</w:t>
            </w:r>
          </w:p>
        </w:tc>
        <w:tc>
          <w:tcPr>
            <w:tcW w:w="4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455,209</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423,612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00" w:type="dxa"/>
            <w:vAlign w:val="bottom"/>
          </w:tcPr>
          <w:p>
            <w:pPr>
              <w:ind w:left="140"/>
              <w:spacing w:after="0"/>
              <w:rPr>
                <w:sz w:val="20"/>
                <w:szCs w:val="20"/>
                <w:color w:val="auto"/>
              </w:rPr>
            </w:pPr>
            <w:r>
              <w:rPr>
                <w:rFonts w:ascii="Arial" w:cs="Arial" w:eastAsia="Arial" w:hAnsi="Arial"/>
                <w:sz w:val="13"/>
                <w:szCs w:val="13"/>
                <w:color w:val="auto"/>
              </w:rPr>
              <w:t>Corporate assets</w:t>
            </w:r>
          </w:p>
        </w:tc>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950,539</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869,940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46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1,405,748</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1,293,552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1780"/>
              <w:spacing w:after="0"/>
              <w:rPr>
                <w:sz w:val="20"/>
                <w:szCs w:val="20"/>
                <w:color w:val="auto"/>
              </w:rPr>
            </w:pPr>
            <w:r>
              <w:rPr>
                <w:rFonts w:ascii="Arial" w:cs="Arial" w:eastAsia="Arial" w:hAnsi="Arial"/>
                <w:sz w:val="13"/>
                <w:szCs w:val="13"/>
                <w:color w:val="auto"/>
              </w:rPr>
              <w:t>F-38</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acquired intangible assets and goodwill included in segment assets as of April 1, 2011 and April 2, 2010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8"/>
          </w:tcPr>
          <w:p>
            <w:pPr>
              <w:jc w:val="right"/>
              <w:ind w:right="88"/>
              <w:spacing w:after="0"/>
              <w:rPr>
                <w:sz w:val="20"/>
                <w:szCs w:val="20"/>
                <w:color w:val="auto"/>
              </w:rPr>
            </w:pPr>
            <w:r>
              <w:rPr>
                <w:rFonts w:ascii="Arial" w:cs="Arial" w:eastAsia="Arial" w:hAnsi="Arial"/>
                <w:sz w:val="10"/>
                <w:szCs w:val="10"/>
                <w:b w:val="1"/>
                <w:bCs w:val="1"/>
                <w:color w:val="auto"/>
                <w:w w:val="94"/>
              </w:rPr>
              <w:t>Net Acquired Intangible Assets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gridSpan w:val="3"/>
          </w:tcPr>
          <w:p>
            <w:pPr>
              <w:jc w:val="right"/>
              <w:ind w:right="3"/>
              <w:spacing w:after="0"/>
              <w:rPr>
                <w:sz w:val="20"/>
                <w:szCs w:val="20"/>
                <w:color w:val="auto"/>
              </w:rPr>
            </w:pPr>
            <w:r>
              <w:rPr>
                <w:rFonts w:ascii="Arial" w:cs="Arial" w:eastAsia="Arial" w:hAnsi="Arial"/>
                <w:sz w:val="10"/>
                <w:szCs w:val="10"/>
                <w:b w:val="1"/>
                <w:bCs w:val="1"/>
                <w:color w:val="auto"/>
              </w:rPr>
              <w:t>Goodwill</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3"/>
          </w:tcPr>
          <w:p>
            <w:pPr>
              <w:jc w:val="right"/>
              <w:ind w:right="334"/>
              <w:spacing w:after="0" w:line="81" w:lineRule="exact"/>
              <w:rPr>
                <w:sz w:val="20"/>
                <w:szCs w:val="20"/>
                <w:color w:val="auto"/>
              </w:rPr>
            </w:pPr>
            <w:r>
              <w:rPr>
                <w:rFonts w:ascii="Arial" w:cs="Arial" w:eastAsia="Arial" w:hAnsi="Arial"/>
                <w:sz w:val="9"/>
                <w:szCs w:val="9"/>
                <w:b w:val="1"/>
                <w:bCs w:val="1"/>
                <w:color w:val="auto"/>
              </w:rPr>
              <w:t>April 1,</w:t>
            </w: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jc w:val="right"/>
              <w:ind w:right="68"/>
              <w:spacing w:after="0" w:line="81" w:lineRule="exact"/>
              <w:rPr>
                <w:sz w:val="20"/>
                <w:szCs w:val="20"/>
                <w:color w:val="auto"/>
              </w:rPr>
            </w:pPr>
            <w:r>
              <w:rPr>
                <w:rFonts w:ascii="Arial" w:cs="Arial" w:eastAsia="Arial" w:hAnsi="Arial"/>
                <w:sz w:val="9"/>
                <w:szCs w:val="9"/>
                <w:b w:val="1"/>
                <w:bCs w:val="1"/>
                <w:color w:val="auto"/>
              </w:rPr>
              <w:t>April 2,</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top w:val="single" w:sz="8" w:color="auto"/>
            </w:tcBorders>
            <w:gridSpan w:val="3"/>
          </w:tcPr>
          <w:p>
            <w:pPr>
              <w:jc w:val="center"/>
              <w:ind w:right="360"/>
              <w:spacing w:after="0" w:line="81" w:lineRule="exact"/>
              <w:rPr>
                <w:sz w:val="20"/>
                <w:szCs w:val="20"/>
                <w:color w:val="auto"/>
              </w:rPr>
            </w:pPr>
            <w:r>
              <w:rPr>
                <w:rFonts w:ascii="Arial" w:cs="Arial" w:eastAsia="Arial" w:hAnsi="Arial"/>
                <w:sz w:val="9"/>
                <w:szCs w:val="9"/>
                <w:b w:val="1"/>
                <w:bCs w:val="1"/>
                <w:color w:val="auto"/>
              </w:rPr>
              <w:t>April 1,</w:t>
            </w:r>
          </w:p>
        </w:tc>
        <w:tc>
          <w:tcPr>
            <w:tcW w:w="1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2011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0"/>
                <w:szCs w:val="10"/>
                <w:b w:val="1"/>
                <w:bCs w:val="1"/>
                <w:color w:val="auto"/>
              </w:rPr>
              <w:t>2010</w:t>
            </w:r>
          </w:p>
        </w:tc>
        <w:tc>
          <w:tcPr>
            <w:tcW w:w="460" w:type="dxa"/>
            <w:vAlign w:val="bottom"/>
            <w:gridSpan w:val="3"/>
            <w:vMerge w:val="restart"/>
          </w:tcPr>
          <w:p>
            <w:pPr>
              <w:jc w:val="right"/>
              <w:ind w:right="10"/>
              <w:spacing w:after="0"/>
              <w:rPr>
                <w:sz w:val="20"/>
                <w:szCs w:val="20"/>
                <w:color w:val="auto"/>
              </w:rPr>
            </w:pPr>
            <w:r>
              <w:rPr>
                <w:rFonts w:ascii="Arial" w:cs="Arial" w:eastAsia="Arial" w:hAnsi="Arial"/>
                <w:sz w:val="10"/>
                <w:szCs w:val="10"/>
                <w:b w:val="1"/>
                <w:bCs w:val="1"/>
                <w:color w:val="auto"/>
                <w:w w:val="70"/>
              </w:rPr>
              <w:t>thousands)</w:t>
            </w: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2011</w:t>
            </w: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6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Government Systems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center"/>
              <w:ind w:left="99"/>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1,708</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30,023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22,161</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Commercial Networks</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5,391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9,389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3"/>
                <w:szCs w:val="13"/>
                <w:color w:val="auto"/>
              </w:rPr>
              <w:t>43,700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43,461</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Satellite Services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65,341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78,292</w:t>
            </w:r>
          </w:p>
        </w:tc>
        <w:tc>
          <w:tcPr>
            <w:tcW w:w="1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9,809</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9,402</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81,889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89,389</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3"/>
                <w:szCs w:val="13"/>
                <w:color w:val="auto"/>
              </w:rPr>
              <w:t>83,532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75,024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80" w:type="dxa"/>
            <w:vAlign w:val="bottom"/>
            <w:gridSpan w:val="5"/>
          </w:tcPr>
          <w:p>
            <w:pPr>
              <w:ind w:left="400"/>
              <w:spacing w:after="0"/>
              <w:rPr>
                <w:sz w:val="20"/>
                <w:szCs w:val="20"/>
                <w:color w:val="auto"/>
              </w:rPr>
            </w:pPr>
            <w:r>
              <w:rPr>
                <w:rFonts w:ascii="Arial" w:cs="Arial" w:eastAsia="Arial" w:hAnsi="Arial"/>
                <w:sz w:val="13"/>
                <w:szCs w:val="13"/>
                <w:color w:val="auto"/>
                <w:w w:val="92"/>
              </w:rPr>
              <w:t>Revenue information by geographic area for the fiscal years ended April 1, 2011, April 2, 2010 and April 3, 2009 was as follows: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w w:val="93"/>
              </w:rPr>
              <w:t>Fiscal Years Ended</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5"/>
          </w:tcPr>
          <w:p>
            <w:pPr>
              <w:jc w:val="center"/>
              <w:ind w:right="368"/>
              <w:spacing w:after="0" w:line="81" w:lineRule="exact"/>
              <w:rPr>
                <w:sz w:val="20"/>
                <w:szCs w:val="20"/>
                <w:color w:val="auto"/>
              </w:rPr>
            </w:pPr>
            <w:r>
              <w:rPr>
                <w:rFonts w:ascii="Arial" w:cs="Arial" w:eastAsia="Arial" w:hAnsi="Arial"/>
                <w:sz w:val="9"/>
                <w:szCs w:val="9"/>
                <w:b w:val="1"/>
                <w:bCs w:val="1"/>
                <w:color w:val="auto"/>
              </w:rPr>
              <w:t>April 1,</w:t>
            </w:r>
          </w:p>
        </w:tc>
        <w:tc>
          <w:tcPr>
            <w:tcW w:w="160" w:type="dxa"/>
            <w:vAlign w:val="bottom"/>
          </w:tcPr>
          <w:p>
            <w:pPr>
              <w:spacing w:after="0"/>
              <w:rPr>
                <w:sz w:val="7"/>
                <w:szCs w:val="7"/>
                <w:color w:val="auto"/>
              </w:rPr>
            </w:pPr>
          </w:p>
        </w:tc>
        <w:tc>
          <w:tcPr>
            <w:tcW w:w="1080" w:type="dxa"/>
            <w:vAlign w:val="bottom"/>
            <w:gridSpan w:val="4"/>
          </w:tcPr>
          <w:p>
            <w:pPr>
              <w:jc w:val="center"/>
              <w:ind w:right="400"/>
              <w:spacing w:after="0" w:line="81" w:lineRule="exact"/>
              <w:rPr>
                <w:sz w:val="20"/>
                <w:szCs w:val="20"/>
                <w:color w:val="auto"/>
              </w:rPr>
            </w:pPr>
            <w:r>
              <w:rPr>
                <w:rFonts w:ascii="Arial" w:cs="Arial" w:eastAsia="Arial" w:hAnsi="Arial"/>
                <w:sz w:val="9"/>
                <w:szCs w:val="9"/>
                <w:b w:val="1"/>
                <w:bCs w:val="1"/>
                <w:color w:val="auto"/>
              </w:rPr>
              <w:t>April 2,</w:t>
            </w:r>
          </w:p>
        </w:tc>
        <w:tc>
          <w:tcPr>
            <w:tcW w:w="160" w:type="dxa"/>
            <w:vAlign w:val="bottom"/>
          </w:tcPr>
          <w:p>
            <w:pPr>
              <w:spacing w:after="0"/>
              <w:rPr>
                <w:sz w:val="7"/>
                <w:szCs w:val="7"/>
                <w:color w:val="auto"/>
              </w:rPr>
            </w:pPr>
          </w:p>
        </w:tc>
        <w:tc>
          <w:tcPr>
            <w:tcW w:w="520" w:type="dxa"/>
            <w:vAlign w:val="bottom"/>
          </w:tcPr>
          <w:p>
            <w:pPr>
              <w:jc w:val="center"/>
              <w:ind w:right="79"/>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gridSpan w:val="3"/>
          </w:tcPr>
          <w:p>
            <w:pPr>
              <w:jc w:val="center"/>
              <w:ind w:right="118"/>
              <w:spacing w:after="0"/>
              <w:rPr>
                <w:sz w:val="20"/>
                <w:szCs w:val="20"/>
                <w:color w:val="auto"/>
              </w:rPr>
            </w:pPr>
            <w:r>
              <w:rPr>
                <w:rFonts w:ascii="Arial" w:cs="Arial" w:eastAsia="Arial" w:hAnsi="Arial"/>
                <w:sz w:val="10"/>
                <w:szCs w:val="10"/>
                <w:b w:val="1"/>
                <w:bCs w:val="1"/>
                <w:color w:val="auto"/>
                <w:w w:val="89"/>
              </w:rPr>
              <w:t>2011</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center"/>
              <w:ind w:left="99"/>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gridSpan w:val="2"/>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667,060</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85"/>
              </w:rPr>
              <w:t>554,522</w:t>
            </w:r>
          </w:p>
        </w:tc>
        <w:tc>
          <w:tcPr>
            <w:tcW w:w="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528,342</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Europe, Middle East and Africa</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95,356</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2"/>
          </w:tcPr>
          <w:p>
            <w:pPr>
              <w:jc w:val="right"/>
              <w:ind w:right="48"/>
              <w:spacing w:after="0"/>
              <w:rPr>
                <w:sz w:val="20"/>
                <w:szCs w:val="20"/>
                <w:color w:val="auto"/>
              </w:rPr>
            </w:pPr>
            <w:r>
              <w:rPr>
                <w:rFonts w:ascii="Arial" w:cs="Arial" w:eastAsia="Arial" w:hAnsi="Arial"/>
                <w:sz w:val="13"/>
                <w:szCs w:val="13"/>
                <w:color w:val="auto"/>
              </w:rPr>
              <w:t>90,838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49,024</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Asia, Pacific</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24,203</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25,293</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30,716</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North America other than United States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8,321</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2"/>
          </w:tcPr>
          <w:p>
            <w:pPr>
              <w:jc w:val="right"/>
              <w:ind w:right="48"/>
              <w:spacing w:after="0"/>
              <w:rPr>
                <w:sz w:val="20"/>
                <w:szCs w:val="20"/>
                <w:color w:val="auto"/>
              </w:rPr>
            </w:pPr>
            <w:r>
              <w:rPr>
                <w:rFonts w:ascii="Arial" w:cs="Arial" w:eastAsia="Arial" w:hAnsi="Arial"/>
                <w:sz w:val="13"/>
                <w:szCs w:val="13"/>
                <w:color w:val="auto"/>
              </w:rPr>
              <w:t>9,026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14,840</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Latin America</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7,266</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8,401</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802,206</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8"/>
              <w:spacing w:after="0"/>
              <w:rPr>
                <w:sz w:val="20"/>
                <w:szCs w:val="20"/>
                <w:color w:val="auto"/>
              </w:rPr>
            </w:pPr>
            <w:r>
              <w:rPr>
                <w:rFonts w:ascii="Arial" w:cs="Arial" w:eastAsia="Arial" w:hAnsi="Arial"/>
                <w:sz w:val="13"/>
                <w:szCs w:val="13"/>
                <w:color w:val="auto"/>
                <w:w w:val="85"/>
              </w:rPr>
              <w:t>688,080</w:t>
            </w:r>
          </w:p>
        </w:tc>
        <w:tc>
          <w:tcPr>
            <w:tcW w:w="3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628,179</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distinguishes revenues from external customers by geographic area based on customer location.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net book value of long-lived assets located outside the United States was $7.9 million and $4.4 million at April 1, 2011 and April 2, 2010, respectively.</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16 —</w:t>
      </w:r>
      <w:r>
        <w:rPr>
          <w:sz w:val="20"/>
          <w:szCs w:val="20"/>
          <w:color w:val="auto"/>
        </w:rPr>
        <w:tab/>
      </w:r>
      <w:r>
        <w:rPr>
          <w:rFonts w:ascii="Arial" w:cs="Arial" w:eastAsia="Arial" w:hAnsi="Arial"/>
          <w:sz w:val="11"/>
          <w:szCs w:val="11"/>
          <w:b w:val="1"/>
          <w:bCs w:val="1"/>
          <w:color w:val="auto"/>
        </w:rPr>
        <w:t>Certain Relationships and Related-Party Transactions</w:t>
      </w:r>
    </w:p>
    <w:p>
      <w:pPr>
        <w:spacing w:after="0" w:line="100"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January 2008, the Company entered into a satellite construction contract with SS/L under which the Company purchased a new high-capacity Ka-band spot-beam satellite (ViaSat-</w:t>
      </w:r>
    </w:p>
    <w:p>
      <w:pPr>
        <w:spacing w:after="0" w:line="38" w:lineRule="exact"/>
        <w:rPr>
          <w:sz w:val="20"/>
          <w:szCs w:val="20"/>
          <w:color w:val="auto"/>
        </w:rPr>
      </w:pPr>
    </w:p>
    <w:p>
      <w:pPr>
        <w:ind w:left="680" w:right="100" w:firstLine="7"/>
        <w:spacing w:after="0" w:line="254" w:lineRule="auto"/>
        <w:tabs>
          <w:tab w:leader="none" w:pos="822" w:val="left"/>
        </w:tabs>
        <w:numPr>
          <w:ilvl w:val="0"/>
          <w:numId w:val="45"/>
        </w:numPr>
        <w:rPr>
          <w:rFonts w:ascii="Arial" w:cs="Arial" w:eastAsia="Arial" w:hAnsi="Arial"/>
          <w:sz w:val="13"/>
          <w:szCs w:val="13"/>
          <w:color w:val="auto"/>
        </w:rPr>
      </w:pPr>
      <w:r>
        <w:rPr>
          <w:rFonts w:ascii="Arial" w:cs="Arial" w:eastAsia="Arial" w:hAnsi="Arial"/>
          <w:sz w:val="13"/>
          <w:szCs w:val="13"/>
          <w:color w:val="auto"/>
        </w:rPr>
        <w:t>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 On March 1, 2011, Loral entered into agreements with Telesat Canada pursuant to which Loral assigned to Telesat Canada and Telesat Canada assumed from Loral all of Loral’s rights and obligations with respect to the Canadian beams on ViaSat-1.</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fiscal years ended April 1, 2011, April 2, 2010 and April 3, 2009, under the satellite construction contract, the Company paid $25.0 million, $62.9 million and</w:t>
      </w:r>
    </w:p>
    <w:p>
      <w:pPr>
        <w:spacing w:after="0" w:line="15" w:lineRule="exact"/>
        <w:rPr>
          <w:sz w:val="20"/>
          <w:szCs w:val="20"/>
          <w:color w:val="auto"/>
        </w:rPr>
      </w:pPr>
    </w:p>
    <w:p>
      <w:pPr>
        <w:ind w:left="680" w:right="40"/>
        <w:spacing w:after="0" w:line="290" w:lineRule="auto"/>
        <w:rPr>
          <w:sz w:val="20"/>
          <w:szCs w:val="20"/>
          <w:color w:val="auto"/>
        </w:rPr>
      </w:pPr>
      <w:r>
        <w:rPr>
          <w:rFonts w:ascii="Arial" w:cs="Arial" w:eastAsia="Arial" w:hAnsi="Arial"/>
          <w:sz w:val="12"/>
          <w:szCs w:val="12"/>
          <w:color w:val="auto"/>
        </w:rPr>
        <w:t>$92.7 million, respectively, to SS/L and had no payable to SS/L as of April 1, 2011 and $3.8 million payable to SS/L as of April 2, 2010. During the fiscal years ended April 1, 2011, April 2, 2010 and April 3, 2009, the Company also received $8.2 million, $2.6 million and $0.9 million, respectively, from SS/L under the beam sharing agreement with Loral. Accounts receivable due from SS/L under the beam sharing agreement with Loral were less than $0.1 million and $3.8 million as of April 1, 2011 and April 2, 2010, respectively.</w:t>
      </w:r>
    </w:p>
    <w:p>
      <w:pPr>
        <w:spacing w:after="0" w:line="5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From time to time the Company enters into various contracts in the ordinary course of business with SS/L and Telesat Canada. Under a contract with SS/L, the Company recognized $3.3 million in revenue during fiscal year 2011 and received $3.9 million of cash during fiscal year 2011. During fiscal years 2010 and 2009, the Company recognized no revenue and had no cash receipts related to a contract with SS/L. Accounts receivable due under a contract with SS/L was $0.8 million as of April 1, 2011 and there was no accounts receivable outstanding as of April 2, 2010. Collections in excess of revenues and deferred revenues related to a contract with SS/L were $1.4 million and $0.8 million as of April 1, 2011 and April 2, 2010, respectively. The Company recognized an immaterial amount of revenue related to Telesat Canada for the fiscal years ended April 1, 2011 and April 2, 2010, and approximately $2.0 million for the fiscal year ended April 3, 2009. The Company received $1.2 million, $1.9 million and $2.5 million, respectively, from Telesat Canada during the fiscal years ended April 1, 2011, April 2, 2010 and April 3, 2009. Accounts receivable due from Telesat Canada as of April 1, 2011 and April 2, 2010 were an immaterial amount and $0.9 million, respectively. The Company also recognized $2.2 million and $2.1 million of expense related to Telesat Canada for the fiscal years ended April 1, 2011 and April 2, 2010, respectively, and no material amounts for the fiscal year ended April 3, 2009. During the fiscal years ended April 1, 2011 and April 2, 2010, the Company paid $7.2 million and $2.1 million, respectively, to Telesat Canada. There were no material amounts paid to Telesat Canada during the fiscal year ended April 3, 2009. All other amounts related to SS/L and Telesat Canada, excluding activities under the ViaSat-1 related satellite contracts, were not material.</w:t>
      </w:r>
    </w:p>
    <w:p>
      <w:pPr>
        <w:spacing w:after="0" w:line="13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17 —</w:t>
      </w:r>
      <w:r>
        <w:rPr>
          <w:sz w:val="20"/>
          <w:szCs w:val="20"/>
          <w:color w:val="auto"/>
        </w:rPr>
        <w:tab/>
      </w:r>
      <w:r>
        <w:rPr>
          <w:rFonts w:ascii="Arial" w:cs="Arial" w:eastAsia="Arial" w:hAnsi="Arial"/>
          <w:sz w:val="11"/>
          <w:szCs w:val="11"/>
          <w:b w:val="1"/>
          <w:bCs w:val="1"/>
          <w:color w:val="auto"/>
        </w:rPr>
        <w:t>Financial Statements of Parent and Subsidiary Guarantors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On October 22, 2009, the Company issued $275.0 million in principal amount of Notes in a private placement to institutional buyers. The Notes were exchanged in May 2010 for substantially identical Notes that had been registered with the SEC. The Notes are jointly and severally guaranteed on a full and unconditional basis by each of the Guarantor Subsidiaries, which are 100% owned by the Company. 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following supplemental financial information sets forth, on a condensed consolidating basis, the balance sheets, statements of operations and statements of cash flows for the Company (as “Issuing Parent Company”), the Guarantor Subsidiaries, the non-guarantor subsidiaries and total consolidated Company and subsidiaries as of April 1, 2011 and April 2, 2010 and for the fiscal years ended April 1, 2011, April 2, 2010 and April 3, 2009.</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Condensed Consolidated Balance Sheet as of April 1, 2011</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1"/>
              </w:rPr>
              <w:t>Issuing</w:t>
            </w:r>
          </w:p>
        </w:tc>
        <w:tc>
          <w:tcPr>
            <w:tcW w:w="10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Guarantor</w:t>
            </w:r>
          </w:p>
        </w:tc>
        <w:tc>
          <w:tcPr>
            <w:tcW w:w="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Non-</w:t>
            </w:r>
          </w:p>
        </w:tc>
        <w:tc>
          <w:tcPr>
            <w:tcW w:w="120" w:type="dxa"/>
            <w:vAlign w:val="bottom"/>
          </w:tcPr>
          <w:p>
            <w:pPr>
              <w:spacing w:after="0"/>
              <w:rPr>
                <w:sz w:val="10"/>
                <w:szCs w:val="1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Consolidation and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6"/>
              </w:rPr>
              <w:t>Parent</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Guarantor</w:t>
            </w:r>
          </w:p>
        </w:tc>
        <w:tc>
          <w:tcPr>
            <w:tcW w:w="120" w:type="dxa"/>
            <w:vAlign w:val="bottom"/>
          </w:tcPr>
          <w:p>
            <w:pPr>
              <w:spacing w:after="0"/>
              <w:rPr>
                <w:sz w:val="9"/>
                <w:szCs w:val="9"/>
                <w:color w:val="auto"/>
              </w:rPr>
            </w:pPr>
          </w:p>
        </w:tc>
        <w:tc>
          <w:tcPr>
            <w:tcW w:w="12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6"/>
              </w:rPr>
              <w:t>Elimination</w:t>
            </w:r>
          </w:p>
        </w:tc>
        <w:tc>
          <w:tcPr>
            <w:tcW w:w="100" w:type="dxa"/>
            <w:vAlign w:val="bottom"/>
          </w:tcPr>
          <w:p>
            <w:pPr>
              <w:spacing w:after="0"/>
              <w:rPr>
                <w:sz w:val="9"/>
                <w:szCs w:val="9"/>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2"/>
              </w:rPr>
              <w:t>Company</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94"/>
              </w:rPr>
              <w:t>Subsidiaries</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0"/>
              </w:rPr>
              <w:t>Subsidiaries</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92"/>
              </w:rPr>
              <w:t>Adjustments</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CEEFF"/>
          </w:tcPr>
          <w:p>
            <w:pPr>
              <w:spacing w:after="0"/>
              <w:rPr>
                <w:sz w:val="13"/>
                <w:szCs w:val="13"/>
                <w:color w:val="auto"/>
              </w:rPr>
            </w:pPr>
          </w:p>
        </w:tc>
        <w:tc>
          <w:tcPr>
            <w:tcW w:w="2240" w:type="dxa"/>
            <w:vAlign w:val="bottom"/>
            <w:gridSpan w:val="4"/>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Current assets: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24,347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8,543</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40,490</w:t>
            </w:r>
          </w:p>
        </w:tc>
        <w:tc>
          <w:tcPr>
            <w:tcW w:w="0" w:type="dxa"/>
            <w:vAlign w:val="bottom"/>
          </w:tcPr>
          <w:p>
            <w:pPr>
              <w:spacing w:after="0"/>
              <w:rPr>
                <w:sz w:val="1"/>
                <w:szCs w:val="1"/>
                <w:color w:val="auto"/>
              </w:rPr>
            </w:pPr>
          </w:p>
        </w:tc>
      </w:tr>
      <w:tr>
        <w:trPr>
          <w:trHeight w:val="147"/>
        </w:trPr>
        <w:tc>
          <w:tcPr>
            <w:tcW w:w="3480" w:type="dxa"/>
            <w:vAlign w:val="bottom"/>
          </w:tcPr>
          <w:p>
            <w:pPr>
              <w:ind w:left="120"/>
              <w:spacing w:after="0"/>
              <w:rPr>
                <w:sz w:val="20"/>
                <w:szCs w:val="20"/>
                <w:color w:val="auto"/>
              </w:rPr>
            </w:pPr>
            <w:r>
              <w:rPr>
                <w:rFonts w:ascii="Arial" w:cs="Arial" w:eastAsia="Arial" w:hAnsi="Arial"/>
                <w:sz w:val="12"/>
                <w:szCs w:val="12"/>
                <w:color w:val="auto"/>
              </w:rPr>
              <w:t>Accounts receivable, net</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171,183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10,644</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10,062</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191,889</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7,484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2,932</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98,555</w:t>
            </w:r>
          </w:p>
        </w:tc>
        <w:tc>
          <w:tcPr>
            <w:tcW w:w="0" w:type="dxa"/>
            <w:vAlign w:val="bottom"/>
          </w:tcPr>
          <w:p>
            <w:pPr>
              <w:spacing w:after="0"/>
              <w:rPr>
                <w:sz w:val="1"/>
                <w:szCs w:val="1"/>
                <w:color w:val="auto"/>
              </w:rPr>
            </w:pPr>
          </w:p>
        </w:tc>
      </w:tr>
      <w:tr>
        <w:trPr>
          <w:trHeight w:val="147"/>
        </w:trPr>
        <w:tc>
          <w:tcPr>
            <w:tcW w:w="348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16,428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1,723</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492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18,805</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1,160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21,141</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20"/>
              <w:spacing w:after="0"/>
              <w:rPr>
                <w:sz w:val="20"/>
                <w:szCs w:val="20"/>
                <w:color w:val="auto"/>
              </w:rPr>
            </w:pPr>
            <w:r>
              <w:rPr>
                <w:rFonts w:ascii="Arial" w:cs="Arial" w:eastAsia="Arial" w:hAnsi="Arial"/>
                <w:sz w:val="12"/>
                <w:szCs w:val="12"/>
                <w:color w:val="auto"/>
              </w:rPr>
              <w:t>Total current assets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315,736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32,196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22,859</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370,880</w:t>
            </w:r>
          </w:p>
        </w:tc>
        <w:tc>
          <w:tcPr>
            <w:tcW w:w="0" w:type="dxa"/>
            <w:vAlign w:val="bottom"/>
          </w:tcPr>
          <w:p>
            <w:pPr>
              <w:spacing w:after="0"/>
              <w:rPr>
                <w:sz w:val="1"/>
                <w:szCs w:val="1"/>
                <w:color w:val="auto"/>
              </w:rPr>
            </w:pPr>
          </w:p>
        </w:tc>
      </w:tr>
      <w:tr>
        <w:trPr>
          <w:trHeight w:val="150"/>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Satellites, net</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276,418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256,582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533,000</w:t>
            </w: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122,945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103,410</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7,785</w:t>
            </w:r>
          </w:p>
        </w:tc>
        <w:tc>
          <w:tcPr>
            <w:tcW w:w="1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(1,001)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233,139</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Other acquired intangible assets, net</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65,341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10,347</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81,889</w:t>
            </w: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Goodwill</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63,939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9,686</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9,907</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83,532</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Investments in subsidiaries and intercompany receivables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490,288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2,246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404</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(492,938)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Other assets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89,834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12,922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552</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103,308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assets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1,365,361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482,383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51,854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(493,850)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1,405,748</w:t>
            </w:r>
          </w:p>
        </w:tc>
        <w:tc>
          <w:tcPr>
            <w:tcW w:w="0" w:type="dxa"/>
            <w:vAlign w:val="bottom"/>
          </w:tcPr>
          <w:p>
            <w:pPr>
              <w:spacing w:after="0"/>
              <w:rPr>
                <w:sz w:val="1"/>
                <w:szCs w:val="1"/>
                <w:color w:val="auto"/>
              </w:rPr>
            </w:pPr>
          </w:p>
        </w:tc>
      </w:tr>
      <w:tr>
        <w:trPr>
          <w:trHeight w:val="29"/>
        </w:trPr>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3480" w:type="dxa"/>
            <w:vAlign w:val="bottom"/>
          </w:tcPr>
          <w:p>
            <w:pPr>
              <w:spacing w:after="0"/>
              <w:rPr>
                <w:sz w:val="23"/>
                <w:szCs w:val="23"/>
                <w:color w:val="auto"/>
              </w:rPr>
            </w:pPr>
          </w:p>
        </w:tc>
        <w:tc>
          <w:tcPr>
            <w:tcW w:w="2340" w:type="dxa"/>
            <w:vAlign w:val="bottom"/>
            <w:gridSpan w:val="5"/>
          </w:tcPr>
          <w:p>
            <w:pPr>
              <w:jc w:val="right"/>
              <w:ind w:right="13"/>
              <w:spacing w:after="0"/>
              <w:rPr>
                <w:sz w:val="20"/>
                <w:szCs w:val="20"/>
                <w:color w:val="auto"/>
              </w:rPr>
            </w:pPr>
            <w:r>
              <w:rPr>
                <w:rFonts w:ascii="Arial" w:cs="Arial" w:eastAsia="Arial" w:hAnsi="Arial"/>
                <w:sz w:val="12"/>
                <w:szCs w:val="12"/>
                <w:b w:val="1"/>
                <w:bCs w:val="1"/>
                <w:color w:val="auto"/>
              </w:rPr>
              <w:t>LIABILITIES AND EQUITY</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8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14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62,465</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8,164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1,083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71,712</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liabilities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100,749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25,691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4,143</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130,583</w:t>
            </w:r>
          </w:p>
        </w:tc>
        <w:tc>
          <w:tcPr>
            <w:tcW w:w="0" w:type="dxa"/>
            <w:vAlign w:val="bottom"/>
          </w:tcPr>
          <w:p>
            <w:pPr>
              <w:spacing w:after="0"/>
              <w:rPr>
                <w:sz w:val="1"/>
                <w:szCs w:val="1"/>
                <w:color w:val="auto"/>
              </w:rPr>
            </w:pPr>
          </w:p>
        </w:tc>
      </w:tr>
      <w:tr>
        <w:trPr>
          <w:trHeight w:val="147"/>
        </w:trPr>
        <w:tc>
          <w:tcPr>
            <w:tcW w:w="3480" w:type="dxa"/>
            <w:vAlign w:val="bottom"/>
          </w:tcPr>
          <w:p>
            <w:pPr>
              <w:ind w:left="120"/>
              <w:spacing w:after="0"/>
              <w:rPr>
                <w:sz w:val="20"/>
                <w:szCs w:val="20"/>
                <w:color w:val="auto"/>
              </w:rPr>
            </w:pPr>
            <w:r>
              <w:rPr>
                <w:rFonts w:ascii="Arial" w:cs="Arial" w:eastAsia="Arial" w:hAnsi="Arial"/>
                <w:sz w:val="12"/>
                <w:szCs w:val="12"/>
                <w:color w:val="auto"/>
              </w:rPr>
              <w:t>Current portion of other long-term debt</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1,012</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current liabilities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163,330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5,226</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203,423</w:t>
            </w:r>
          </w:p>
        </w:tc>
        <w:tc>
          <w:tcPr>
            <w:tcW w:w="0" w:type="dxa"/>
            <w:vAlign w:val="bottom"/>
          </w:tcPr>
          <w:p>
            <w:pPr>
              <w:spacing w:after="0"/>
              <w:rPr>
                <w:sz w:val="1"/>
                <w:szCs w:val="1"/>
                <w:color w:val="auto"/>
              </w:rPr>
            </w:pPr>
          </w:p>
        </w:tc>
      </w:tr>
      <w:tr>
        <w:trPr>
          <w:trHeight w:val="147"/>
        </w:trPr>
        <w:tc>
          <w:tcPr>
            <w:tcW w:w="3480" w:type="dxa"/>
            <w:vAlign w:val="bottom"/>
          </w:tcPr>
          <w:p>
            <w:pPr>
              <w:ind w:left="120"/>
              <w:spacing w:after="0"/>
              <w:rPr>
                <w:sz w:val="20"/>
                <w:szCs w:val="20"/>
                <w:color w:val="auto"/>
              </w:rPr>
            </w:pPr>
            <w:r>
              <w:rPr>
                <w:rFonts w:ascii="Arial" w:cs="Arial" w:eastAsia="Arial" w:hAnsi="Arial"/>
                <w:sz w:val="12"/>
                <w:szCs w:val="12"/>
                <w:color w:val="auto"/>
              </w:rPr>
              <w:t>Senior Notes due 2016, net</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272,296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272,296</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long-term debt</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60,203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1,743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61,946</w:t>
            </w:r>
          </w:p>
        </w:tc>
        <w:tc>
          <w:tcPr>
            <w:tcW w:w="0" w:type="dxa"/>
            <w:vAlign w:val="bottom"/>
          </w:tcPr>
          <w:p>
            <w:pPr>
              <w:spacing w:after="0"/>
              <w:rPr>
                <w:sz w:val="1"/>
                <w:szCs w:val="1"/>
                <w:color w:val="auto"/>
              </w:rPr>
            </w:pPr>
          </w:p>
        </w:tc>
      </w:tr>
      <w:tr>
        <w:trPr>
          <w:trHeight w:val="147"/>
        </w:trPr>
        <w:tc>
          <w:tcPr>
            <w:tcW w:w="3480" w:type="dxa"/>
            <w:vAlign w:val="bottom"/>
          </w:tcPr>
          <w:p>
            <w:pPr>
              <w:ind w:left="120"/>
              <w:spacing w:after="0"/>
              <w:rPr>
                <w:sz w:val="20"/>
                <w:szCs w:val="20"/>
                <w:color w:val="auto"/>
              </w:rPr>
            </w:pPr>
            <w:r>
              <w:rPr>
                <w:rFonts w:ascii="Arial" w:cs="Arial" w:eastAsia="Arial" w:hAnsi="Arial"/>
                <w:sz w:val="12"/>
                <w:szCs w:val="12"/>
                <w:color w:val="auto"/>
              </w:rPr>
              <w:t>Intercompany payables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14,606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11,945</w:t>
            </w:r>
          </w:p>
        </w:tc>
        <w:tc>
          <w:tcPr>
            <w:tcW w:w="1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(26,551)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liabilities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16,464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3,057</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23,842</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20"/>
              <w:spacing w:after="0"/>
              <w:rPr>
                <w:sz w:val="20"/>
                <w:szCs w:val="20"/>
                <w:color w:val="auto"/>
              </w:rPr>
            </w:pPr>
            <w:r>
              <w:rPr>
                <w:rFonts w:ascii="Arial" w:cs="Arial" w:eastAsia="Arial" w:hAnsi="Arial"/>
                <w:sz w:val="12"/>
                <w:szCs w:val="12"/>
                <w:color w:val="auto"/>
              </w:rPr>
              <w:t>Total liabilities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4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526,899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40,931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20,228</w:t>
            </w:r>
          </w:p>
        </w:tc>
        <w:tc>
          <w:tcPr>
            <w:tcW w:w="1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(26,551)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561,507</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Equity:</w:t>
            </w:r>
          </w:p>
        </w:tc>
        <w:tc>
          <w:tcPr>
            <w:tcW w:w="1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ViaSat, Inc. stockholders’ equity</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ViaSat, Inc. stockholders’ equity</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838,462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441,452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31,626</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(471,415)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840,125</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20"/>
              <w:spacing w:after="0"/>
              <w:rPr>
                <w:sz w:val="20"/>
                <w:szCs w:val="20"/>
                <w:color w:val="auto"/>
              </w:rPr>
            </w:pPr>
            <w:r>
              <w:rPr>
                <w:rFonts w:ascii="Arial" w:cs="Arial" w:eastAsia="Arial" w:hAnsi="Arial"/>
                <w:sz w:val="12"/>
                <w:szCs w:val="12"/>
                <w:color w:val="auto"/>
              </w:rPr>
              <w:t>Noncontrolling interest in subsidiary</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4,116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4,116</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equity</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838,462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441,452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31,626</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(467,299)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844,241</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20"/>
              <w:spacing w:after="0"/>
              <w:rPr>
                <w:sz w:val="20"/>
                <w:szCs w:val="20"/>
                <w:color w:val="auto"/>
              </w:rPr>
            </w:pPr>
            <w:r>
              <w:rPr>
                <w:rFonts w:ascii="Arial" w:cs="Arial" w:eastAsia="Arial" w:hAnsi="Arial"/>
                <w:sz w:val="12"/>
                <w:szCs w:val="12"/>
                <w:color w:val="auto"/>
              </w:rPr>
              <w:t>Total liabilities and equity</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1,365,361</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482,383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51,854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(493,850)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1,405,748</w:t>
            </w:r>
          </w:p>
        </w:tc>
        <w:tc>
          <w:tcPr>
            <w:tcW w:w="0" w:type="dxa"/>
            <w:vAlign w:val="bottom"/>
          </w:tcPr>
          <w:p>
            <w:pPr>
              <w:spacing w:after="0"/>
              <w:rPr>
                <w:sz w:val="1"/>
                <w:szCs w:val="1"/>
                <w:color w:val="auto"/>
              </w:rPr>
            </w:pPr>
          </w:p>
        </w:tc>
      </w:tr>
      <w:tr>
        <w:trPr>
          <w:trHeight w:val="32"/>
        </w:trPr>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Condensed Consolidated Balance Sheet as of April 2, 2010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1"/>
              </w:rPr>
              <w:t>Issuing</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Consolidation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Guarantor</w:t>
            </w: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Parent</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9"/>
              </w:rPr>
              <w:t>Guarantor</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Elimination</w:t>
            </w:r>
          </w:p>
        </w:tc>
        <w:tc>
          <w:tcPr>
            <w:tcW w:w="1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Company</w:t>
            </w:r>
          </w:p>
        </w:tc>
        <w:tc>
          <w:tcPr>
            <w:tcW w:w="100" w:type="dxa"/>
            <w:vAlign w:val="bottom"/>
          </w:tcPr>
          <w:p>
            <w:pPr>
              <w:spacing w:after="0"/>
              <w:rPr>
                <w:sz w:val="10"/>
                <w:szCs w:val="1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4"/>
              </w:rPr>
              <w:t>Subsidiaries</w:t>
            </w:r>
          </w:p>
        </w:tc>
        <w:tc>
          <w:tcPr>
            <w:tcW w:w="8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Adjustments</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left="176"/>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Current assets: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66,258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89,631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160,807</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11,983</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3,561</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176,351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75,222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6,313</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1,427</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82,962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16,480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866</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17,346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25,457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2,504</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896</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vMerge w:val="restart"/>
          </w:tcPr>
          <w:p>
            <w:pPr>
              <w:ind w:left="140"/>
              <w:spacing w:after="0"/>
              <w:rPr>
                <w:sz w:val="20"/>
                <w:szCs w:val="20"/>
                <w:color w:val="auto"/>
              </w:rPr>
            </w:pPr>
            <w:r>
              <w:rPr>
                <w:rFonts w:ascii="Arial" w:cs="Arial" w:eastAsia="Arial" w:hAnsi="Arial"/>
                <w:sz w:val="13"/>
                <w:szCs w:val="13"/>
                <w:color w:val="auto"/>
              </w:rPr>
              <w:t>Total current assets</w:t>
            </w: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344,224</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37,882</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13,041</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395,147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Satellites, net</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209,431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286,258</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495,689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66,928</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82,679</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7,141</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(944)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155,804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Other acquired intangible assets, net</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10,872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78,292</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Goodwill</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63,940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9,279</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1,805</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75,024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subsidiaries and intercompany receivables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596,313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2,324</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7,654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(606,291)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Other assets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60,812</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21,070</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1,352,520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517,784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(607,235)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1,293,552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2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LIABILITIES AND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71,765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5,920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78,355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85,960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14,602</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1,689</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102,251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vMerge w:val="restart"/>
          </w:tcPr>
          <w:p>
            <w:pPr>
              <w:ind w:left="140"/>
              <w:spacing w:after="0"/>
              <w:rPr>
                <w:sz w:val="20"/>
                <w:szCs w:val="20"/>
                <w:color w:val="auto"/>
              </w:rPr>
            </w:pPr>
            <w:r>
              <w:rPr>
                <w:rFonts w:ascii="Arial" w:cs="Arial" w:eastAsia="Arial" w:hAnsi="Arial"/>
                <w:sz w:val="13"/>
                <w:szCs w:val="13"/>
                <w:color w:val="auto"/>
              </w:rPr>
              <w:t>Total current liabilities</w:t>
            </w: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157,725</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20,522</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2,359</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180,606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 due 2016, net</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271,801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271,801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ind w:left="140"/>
              <w:spacing w:after="0"/>
              <w:rPr>
                <w:sz w:val="20"/>
                <w:szCs w:val="20"/>
                <w:color w:val="auto"/>
              </w:rPr>
            </w:pPr>
            <w:r>
              <w:rPr>
                <w:rFonts w:ascii="Arial" w:cs="Arial" w:eastAsia="Arial" w:hAnsi="Arial"/>
                <w:sz w:val="13"/>
                <w:szCs w:val="13"/>
                <w:color w:val="auto"/>
              </w:rPr>
              <w:t>Other long-term debt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60,000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Intercompany payables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93,468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14,505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(107,973)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16,356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7,990</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24,395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599,350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28,512</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16,913</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(107,973)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536,802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Equity:</w:t>
            </w: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ViaSat, Inc. stockholders’ equity</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ind w:left="140"/>
              <w:spacing w:after="0"/>
              <w:rPr>
                <w:sz w:val="20"/>
                <w:szCs w:val="20"/>
                <w:color w:val="auto"/>
              </w:rPr>
            </w:pPr>
            <w:r>
              <w:rPr>
                <w:rFonts w:ascii="Arial" w:cs="Arial" w:eastAsia="Arial" w:hAnsi="Arial"/>
                <w:sz w:val="13"/>
                <w:szCs w:val="13"/>
                <w:color w:val="auto"/>
              </w:rPr>
              <w:t>Total ViaSat, Inc. stockholders’ equity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753,170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489,272</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13,570</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(503,007)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753,005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Noncontrolling interest in subsidiary</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3,745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vMerge w:val="restart"/>
          </w:tcPr>
          <w:p>
            <w:pPr>
              <w:ind w:left="140"/>
              <w:spacing w:after="0"/>
              <w:rPr>
                <w:sz w:val="20"/>
                <w:szCs w:val="20"/>
                <w:color w:val="auto"/>
              </w:rPr>
            </w:pPr>
            <w:r>
              <w:rPr>
                <w:rFonts w:ascii="Arial" w:cs="Arial" w:eastAsia="Arial" w:hAnsi="Arial"/>
                <w:sz w:val="13"/>
                <w:szCs w:val="13"/>
                <w:color w:val="auto"/>
              </w:rPr>
              <w:t>Total equity</w:t>
            </w: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753,170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489,272</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13,570</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(499,262)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756,750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 and equity</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1,352,520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517,784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(607,235)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1,293,552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left="176"/>
              <w:spacing w:after="0"/>
              <w:rPr>
                <w:sz w:val="20"/>
                <w:szCs w:val="20"/>
                <w:color w:val="auto"/>
              </w:rPr>
            </w:pPr>
            <w:r>
              <w:rPr>
                <w:rFonts w:ascii="Arial" w:cs="Arial" w:eastAsia="Arial" w:hAnsi="Arial"/>
                <w:sz w:val="13"/>
                <w:szCs w:val="13"/>
                <w:color w:val="auto"/>
                <w:w w:val="89"/>
              </w:rPr>
              <w:t>F-42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Condensed Consolidated Statement of Operations for the Fiscal Year Ended April 1, 2011</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Issuing</w:t>
            </w:r>
          </w:p>
        </w:tc>
        <w:tc>
          <w:tcPr>
            <w:tcW w:w="8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Guarantor</w:t>
            </w:r>
          </w:p>
        </w:tc>
        <w:tc>
          <w:tcPr>
            <w:tcW w:w="80" w:type="dxa"/>
            <w:vAlign w:val="bottom"/>
          </w:tcPr>
          <w:p>
            <w:pPr>
              <w:spacing w:after="0"/>
              <w:rPr>
                <w:sz w:val="10"/>
                <w:szCs w:val="10"/>
                <w:color w:val="auto"/>
              </w:rPr>
            </w:pPr>
          </w:p>
        </w:tc>
        <w:tc>
          <w:tcPr>
            <w:tcW w:w="920" w:type="dxa"/>
            <w:vAlign w:val="bottom"/>
            <w:gridSpan w:val="2"/>
          </w:tcPr>
          <w:p>
            <w:pPr>
              <w:jc w:val="center"/>
              <w:ind w:right="328"/>
              <w:spacing w:after="0"/>
              <w:rPr>
                <w:sz w:val="20"/>
                <w:szCs w:val="20"/>
                <w:color w:val="auto"/>
              </w:rPr>
            </w:pPr>
            <w:r>
              <w:rPr>
                <w:rFonts w:ascii="Arial" w:cs="Arial" w:eastAsia="Arial" w:hAnsi="Arial"/>
                <w:sz w:val="10"/>
                <w:szCs w:val="10"/>
                <w:b w:val="1"/>
                <w:bCs w:val="1"/>
                <w:color w:val="auto"/>
                <w:w w:val="96"/>
              </w:rPr>
              <w:t>Non-</w:t>
            </w:r>
          </w:p>
        </w:tc>
        <w:tc>
          <w:tcPr>
            <w:tcW w:w="120" w:type="dxa"/>
            <w:vAlign w:val="bottom"/>
          </w:tcPr>
          <w:p>
            <w:pPr>
              <w:spacing w:after="0"/>
              <w:rPr>
                <w:sz w:val="10"/>
                <w:szCs w:val="1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Consolidation and</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6"/>
              </w:rPr>
              <w:t>Parent</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308"/>
              <w:spacing w:after="0" w:line="108" w:lineRule="exact"/>
              <w:rPr>
                <w:sz w:val="20"/>
                <w:szCs w:val="20"/>
                <w:color w:val="auto"/>
              </w:rPr>
            </w:pPr>
            <w:r>
              <w:rPr>
                <w:rFonts w:ascii="Arial" w:cs="Arial" w:eastAsia="Arial" w:hAnsi="Arial"/>
                <w:sz w:val="10"/>
                <w:szCs w:val="10"/>
                <w:b w:val="1"/>
                <w:bCs w:val="1"/>
                <w:color w:val="auto"/>
                <w:w w:val="99"/>
              </w:rPr>
              <w:t>Guarantor</w:t>
            </w:r>
          </w:p>
        </w:tc>
        <w:tc>
          <w:tcPr>
            <w:tcW w:w="120" w:type="dxa"/>
            <w:vAlign w:val="bottom"/>
          </w:tcPr>
          <w:p>
            <w:pPr>
              <w:spacing w:after="0"/>
              <w:rPr>
                <w:sz w:val="9"/>
                <w:szCs w:val="9"/>
                <w:color w:val="auto"/>
              </w:rPr>
            </w:pPr>
          </w:p>
        </w:tc>
        <w:tc>
          <w:tcPr>
            <w:tcW w:w="136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rPr>
              <w:t>Elimination</w:t>
            </w:r>
          </w:p>
        </w:tc>
        <w:tc>
          <w:tcPr>
            <w:tcW w:w="80" w:type="dxa"/>
            <w:vAlign w:val="bottom"/>
          </w:tcPr>
          <w:p>
            <w:pPr>
              <w:spacing w:after="0"/>
              <w:rPr>
                <w:sz w:val="9"/>
                <w:szCs w:val="9"/>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auto"/>
                <w:w w:val="91"/>
              </w:rPr>
              <w:t>Consolidated</w:t>
            </w:r>
          </w:p>
        </w:tc>
        <w:tc>
          <w:tcPr>
            <w:tcW w:w="4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6"/>
              </w:rPr>
              <w:t>Company</w:t>
            </w: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87"/>
              </w:rPr>
              <w:t>Subsidiaries</w:t>
            </w: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0"/>
              </w:rPr>
              <w:t>Subsidiaries</w:t>
            </w: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95"/>
              </w:rPr>
              <w:t>Adjustments</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1480" w:type="dxa"/>
            <w:vAlign w:val="bottom"/>
            <w:gridSpan w:val="3"/>
          </w:tcPr>
          <w:p>
            <w:pPr>
              <w:ind w:left="60"/>
              <w:spacing w:after="0"/>
              <w:rPr>
                <w:sz w:val="20"/>
                <w:szCs w:val="20"/>
                <w:color w:val="auto"/>
              </w:rPr>
            </w:pPr>
            <w:r>
              <w:rPr>
                <w:rFonts w:ascii="Arial" w:cs="Arial" w:eastAsia="Arial" w:hAnsi="Arial"/>
                <w:sz w:val="10"/>
                <w:szCs w:val="10"/>
                <w:b w:val="1"/>
                <w:bCs w:val="1"/>
                <w:color w:val="auto"/>
              </w:rPr>
              <w:t>thousands)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00" w:type="dxa"/>
            <w:vAlign w:val="bottom"/>
          </w:tcPr>
          <w:p>
            <w:pPr>
              <w:ind w:left="120"/>
              <w:spacing w:after="0"/>
              <w:rPr>
                <w:sz w:val="20"/>
                <w:szCs w:val="20"/>
                <w:color w:val="auto"/>
              </w:rPr>
            </w:pPr>
            <w:r>
              <w:rPr>
                <w:rFonts w:ascii="Arial" w:cs="Arial" w:eastAsia="Arial" w:hAnsi="Arial"/>
                <w:sz w:val="12"/>
                <w:szCs w:val="12"/>
                <w:color w:val="auto"/>
              </w:rPr>
              <w:t>Product revenues</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505,634</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5,546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48"/>
              <w:spacing w:after="0"/>
              <w:rPr>
                <w:sz w:val="20"/>
                <w:szCs w:val="20"/>
                <w:color w:val="auto"/>
              </w:rPr>
            </w:pPr>
            <w:r>
              <w:rPr>
                <w:rFonts w:ascii="Arial" w:cs="Arial" w:eastAsia="Arial" w:hAnsi="Arial"/>
                <w:sz w:val="12"/>
                <w:szCs w:val="12"/>
                <w:color w:val="auto"/>
              </w:rPr>
              <w:t>16,583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(3,825)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440"/>
              <w:spacing w:after="0"/>
              <w:rPr>
                <w:sz w:val="20"/>
                <w:szCs w:val="20"/>
                <w:color w:val="auto"/>
              </w:rPr>
            </w:pPr>
            <w:r>
              <w:rPr>
                <w:rFonts w:ascii="Arial" w:cs="Arial" w:eastAsia="Arial" w:hAnsi="Arial"/>
                <w:sz w:val="12"/>
                <w:szCs w:val="12"/>
                <w:color w:val="auto"/>
              </w:rPr>
              <w:t>523,938</w:t>
            </w:r>
          </w:p>
        </w:tc>
        <w:tc>
          <w:tcPr>
            <w:tcW w:w="0" w:type="dxa"/>
            <w:vAlign w:val="bottom"/>
          </w:tcPr>
          <w:p>
            <w:pPr>
              <w:spacing w:after="0"/>
              <w:rPr>
                <w:sz w:val="1"/>
                <w:szCs w:val="1"/>
                <w:color w:val="auto"/>
              </w:rPr>
            </w:pPr>
          </w:p>
        </w:tc>
      </w:tr>
      <w:tr>
        <w:trPr>
          <w:trHeight w:val="147"/>
        </w:trPr>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Service revenues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53,701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10,994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(1,694)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278,268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color w:val="auto"/>
              </w:rPr>
              <w:t>Total revenues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559,335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220,813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27,577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(5,519)</w:t>
            </w:r>
          </w:p>
        </w:tc>
        <w:tc>
          <w:tcPr>
            <w:tcW w:w="8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color w:val="auto"/>
              </w:rPr>
              <w:t>802,206</w:t>
            </w:r>
          </w:p>
        </w:tc>
        <w:tc>
          <w:tcPr>
            <w:tcW w:w="0" w:type="dxa"/>
            <w:vAlign w:val="bottom"/>
          </w:tcPr>
          <w:p>
            <w:pPr>
              <w:spacing w:after="0"/>
              <w:rPr>
                <w:sz w:val="1"/>
                <w:szCs w:val="1"/>
                <w:color w:val="auto"/>
              </w:rPr>
            </w:pPr>
          </w:p>
        </w:tc>
      </w:tr>
      <w:tr>
        <w:trPr>
          <w:trHeight w:val="150"/>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00" w:type="dxa"/>
            <w:vAlign w:val="bottom"/>
          </w:tcPr>
          <w:p>
            <w:pPr>
              <w:ind w:left="120"/>
              <w:spacing w:after="0"/>
              <w:rPr>
                <w:sz w:val="20"/>
                <w:szCs w:val="20"/>
                <w:color w:val="auto"/>
              </w:rPr>
            </w:pPr>
            <w:r>
              <w:rPr>
                <w:rFonts w:ascii="Arial" w:cs="Arial" w:eastAsia="Arial" w:hAnsi="Arial"/>
                <w:sz w:val="12"/>
                <w:szCs w:val="12"/>
                <w:color w:val="auto"/>
              </w:rPr>
              <w:t>Cost of product revenues</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375,635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8,228</w:t>
            </w:r>
          </w:p>
        </w:tc>
        <w:tc>
          <w:tcPr>
            <w:tcW w:w="80" w:type="dxa"/>
            <w:vAlign w:val="bottom"/>
          </w:tcPr>
          <w:p>
            <w:pPr>
              <w:spacing w:after="0"/>
              <w:rPr>
                <w:sz w:val="12"/>
                <w:szCs w:val="12"/>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2"/>
                <w:szCs w:val="12"/>
                <w:color w:val="auto"/>
              </w:rPr>
              <w:t>9,426</w:t>
            </w:r>
          </w:p>
        </w:tc>
        <w:tc>
          <w:tcPr>
            <w:tcW w:w="12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(3,344)</w:t>
            </w:r>
          </w:p>
        </w:tc>
        <w:tc>
          <w:tcPr>
            <w:tcW w:w="8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color w:val="auto"/>
              </w:rPr>
              <w:t>389,945</w:t>
            </w:r>
          </w:p>
        </w:tc>
        <w:tc>
          <w:tcPr>
            <w:tcW w:w="0" w:type="dxa"/>
            <w:vAlign w:val="bottom"/>
          </w:tcPr>
          <w:p>
            <w:pPr>
              <w:spacing w:after="0"/>
              <w:rPr>
                <w:sz w:val="1"/>
                <w:szCs w:val="1"/>
                <w:color w:val="auto"/>
              </w:rPr>
            </w:pPr>
          </w:p>
        </w:tc>
      </w:tr>
      <w:tr>
        <w:trPr>
          <w:trHeight w:val="147"/>
        </w:trPr>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 of service revenues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34,339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121,024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2"/>
                <w:szCs w:val="12"/>
                <w:color w:val="auto"/>
              </w:rPr>
              <w:t>6,926</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(1,666)</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160,623</w:t>
            </w:r>
          </w:p>
        </w:tc>
        <w:tc>
          <w:tcPr>
            <w:tcW w:w="0" w:type="dxa"/>
            <w:vAlign w:val="bottom"/>
          </w:tcPr>
          <w:p>
            <w:pPr>
              <w:spacing w:after="0"/>
              <w:rPr>
                <w:sz w:val="1"/>
                <w:szCs w:val="1"/>
                <w:color w:val="auto"/>
              </w:rPr>
            </w:pPr>
          </w:p>
        </w:tc>
      </w:tr>
      <w:tr>
        <w:trPr>
          <w:trHeight w:val="147"/>
        </w:trPr>
        <w:tc>
          <w:tcPr>
            <w:tcW w:w="4400" w:type="dxa"/>
            <w:vAlign w:val="bottom"/>
          </w:tcPr>
          <w:p>
            <w:pPr>
              <w:ind w:left="120"/>
              <w:spacing w:after="0"/>
              <w:rPr>
                <w:sz w:val="20"/>
                <w:szCs w:val="20"/>
                <w:color w:val="auto"/>
              </w:rPr>
            </w:pPr>
            <w:r>
              <w:rPr>
                <w:rFonts w:ascii="Arial" w:cs="Arial" w:eastAsia="Arial" w:hAnsi="Arial"/>
                <w:sz w:val="12"/>
                <w:szCs w:val="12"/>
                <w:color w:val="auto"/>
              </w:rPr>
              <w:t>Selling, general and administrative</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104,235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50,946</w:t>
            </w:r>
          </w:p>
        </w:tc>
        <w:tc>
          <w:tcPr>
            <w:tcW w:w="80" w:type="dxa"/>
            <w:vAlign w:val="bottom"/>
          </w:tcPr>
          <w:p>
            <w:pPr>
              <w:spacing w:after="0"/>
              <w:rPr>
                <w:sz w:val="12"/>
                <w:szCs w:val="12"/>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2"/>
                <w:szCs w:val="12"/>
                <w:color w:val="auto"/>
              </w:rPr>
              <w:t>9,123</w:t>
            </w:r>
          </w:p>
        </w:tc>
        <w:tc>
          <w:tcPr>
            <w:tcW w:w="12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color w:val="auto"/>
              </w:rPr>
              <w:t>164,265</w:t>
            </w:r>
          </w:p>
        </w:tc>
        <w:tc>
          <w:tcPr>
            <w:tcW w:w="0" w:type="dxa"/>
            <w:vAlign w:val="bottom"/>
          </w:tcPr>
          <w:p>
            <w:pPr>
              <w:spacing w:after="0"/>
              <w:rPr>
                <w:sz w:val="1"/>
                <w:szCs w:val="1"/>
                <w:color w:val="auto"/>
              </w:rPr>
            </w:pPr>
          </w:p>
        </w:tc>
      </w:tr>
      <w:tr>
        <w:trPr>
          <w:trHeight w:val="147"/>
        </w:trPr>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Independent research and development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27,807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2"/>
                <w:szCs w:val="12"/>
                <w:color w:val="auto"/>
              </w:rPr>
              <w:t>924</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28,711</w:t>
            </w:r>
          </w:p>
        </w:tc>
        <w:tc>
          <w:tcPr>
            <w:tcW w:w="0" w:type="dxa"/>
            <w:vAlign w:val="bottom"/>
          </w:tcPr>
          <w:p>
            <w:pPr>
              <w:spacing w:after="0"/>
              <w:rPr>
                <w:sz w:val="1"/>
                <w:szCs w:val="1"/>
                <w:color w:val="auto"/>
              </w:rPr>
            </w:pPr>
          </w:p>
        </w:tc>
      </w:tr>
      <w:tr>
        <w:trPr>
          <w:trHeight w:val="147"/>
        </w:trPr>
        <w:tc>
          <w:tcPr>
            <w:tcW w:w="4400" w:type="dxa"/>
            <w:vAlign w:val="bottom"/>
          </w:tcPr>
          <w:p>
            <w:pPr>
              <w:ind w:left="120"/>
              <w:spacing w:after="0"/>
              <w:rPr>
                <w:sz w:val="20"/>
                <w:szCs w:val="20"/>
                <w:color w:val="auto"/>
              </w:rPr>
            </w:pPr>
            <w:r>
              <w:rPr>
                <w:rFonts w:ascii="Arial" w:cs="Arial" w:eastAsia="Arial" w:hAnsi="Arial"/>
                <w:sz w:val="12"/>
                <w:szCs w:val="12"/>
                <w:color w:val="auto"/>
              </w:rPr>
              <w:t>Amortization of acquired intangible assets</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4,672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12,954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1,783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color w:val="auto"/>
              </w:rPr>
              <w:t>19,409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operations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12,647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27,661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(605)</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(450)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39,253</w:t>
            </w:r>
          </w:p>
        </w:tc>
        <w:tc>
          <w:tcPr>
            <w:tcW w:w="0" w:type="dxa"/>
            <w:vAlign w:val="bottom"/>
          </w:tcPr>
          <w:p>
            <w:pPr>
              <w:spacing w:after="0"/>
              <w:rPr>
                <w:sz w:val="1"/>
                <w:szCs w:val="1"/>
                <w:color w:val="auto"/>
              </w:rPr>
            </w:pPr>
          </w:p>
        </w:tc>
      </w:tr>
      <w:tr>
        <w:trPr>
          <w:trHeight w:val="147"/>
        </w:trPr>
        <w:tc>
          <w:tcPr>
            <w:tcW w:w="4400" w:type="dxa"/>
            <w:vAlign w:val="bottom"/>
          </w:tcPr>
          <w:p>
            <w:pPr>
              <w:spacing w:after="0"/>
              <w:rPr>
                <w:sz w:val="20"/>
                <w:szCs w:val="20"/>
                <w:color w:val="auto"/>
              </w:rPr>
            </w:pPr>
            <w:r>
              <w:rPr>
                <w:rFonts w:ascii="Arial" w:cs="Arial" w:eastAsia="Arial" w:hAnsi="Arial"/>
                <w:sz w:val="12"/>
                <w:szCs w:val="12"/>
                <w:color w:val="auto"/>
              </w:rPr>
              <w:t>Other income (expense):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(373)</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147"/>
        </w:trPr>
        <w:tc>
          <w:tcPr>
            <w:tcW w:w="440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(3,103)</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2"/>
                <w:szCs w:val="12"/>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2"/>
                <w:szCs w:val="12"/>
                <w:color w:val="auto"/>
              </w:rPr>
              <w:t>(375)</w:t>
            </w:r>
          </w:p>
        </w:tc>
        <w:tc>
          <w:tcPr>
            <w:tcW w:w="120" w:type="dxa"/>
            <w:vAlign w:val="bottom"/>
          </w:tcPr>
          <w:p>
            <w:pPr>
              <w:spacing w:after="0"/>
              <w:rPr>
                <w:sz w:val="12"/>
                <w:szCs w:val="1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2"/>
                <w:szCs w:val="12"/>
                <w:color w:val="auto"/>
              </w:rPr>
              <w:t>373</w:t>
            </w:r>
          </w:p>
        </w:tc>
        <w:tc>
          <w:tcPr>
            <w:tcW w:w="8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(3,154)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10,231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27,612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(971)</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(450)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36,422</w:t>
            </w:r>
          </w:p>
        </w:tc>
        <w:tc>
          <w:tcPr>
            <w:tcW w:w="0" w:type="dxa"/>
            <w:vAlign w:val="bottom"/>
          </w:tcPr>
          <w:p>
            <w:pPr>
              <w:spacing w:after="0"/>
              <w:rPr>
                <w:sz w:val="1"/>
                <w:szCs w:val="1"/>
                <w:color w:val="auto"/>
              </w:rPr>
            </w:pPr>
          </w:p>
        </w:tc>
      </w:tr>
      <w:tr>
        <w:trPr>
          <w:trHeight w:val="147"/>
        </w:trPr>
        <w:tc>
          <w:tcPr>
            <w:tcW w:w="4400" w:type="dxa"/>
            <w:vAlign w:val="bottom"/>
          </w:tcPr>
          <w:p>
            <w:pPr>
              <w:spacing w:after="0"/>
              <w:rPr>
                <w:sz w:val="20"/>
                <w:szCs w:val="20"/>
                <w:color w:val="auto"/>
              </w:rPr>
            </w:pPr>
            <w:r>
              <w:rPr>
                <w:rFonts w:ascii="Arial" w:cs="Arial" w:eastAsia="Arial" w:hAnsi="Arial"/>
                <w:sz w:val="12"/>
                <w:szCs w:val="12"/>
                <w:color w:val="auto"/>
              </w:rPr>
              <w:t>Provision (benefit from) for income taxes</w:t>
            </w:r>
          </w:p>
        </w:tc>
        <w:tc>
          <w:tcPr>
            <w:tcW w:w="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(10,188)</w:t>
            </w:r>
          </w:p>
        </w:tc>
        <w:tc>
          <w:tcPr>
            <w:tcW w:w="8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10,325</w:t>
            </w:r>
          </w:p>
        </w:tc>
        <w:tc>
          <w:tcPr>
            <w:tcW w:w="80" w:type="dxa"/>
            <w:vAlign w:val="bottom"/>
          </w:tcPr>
          <w:p>
            <w:pPr>
              <w:spacing w:after="0"/>
              <w:rPr>
                <w:sz w:val="12"/>
                <w:szCs w:val="12"/>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2"/>
                <w:szCs w:val="12"/>
                <w:color w:val="auto"/>
              </w:rPr>
              <w:t>353</w:t>
            </w:r>
          </w:p>
        </w:tc>
        <w:tc>
          <w:tcPr>
            <w:tcW w:w="12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(492)</w:t>
            </w:r>
          </w:p>
        </w:tc>
        <w:tc>
          <w:tcPr>
            <w:tcW w:w="8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Equity in net income (loss) of consolidated subsidiaries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15,654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(15,654)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36,073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17,287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2"/>
                <w:szCs w:val="12"/>
                <w:color w:val="auto"/>
              </w:rPr>
              <w:t>(1,324)</w:t>
            </w:r>
          </w:p>
        </w:tc>
        <w:tc>
          <w:tcPr>
            <w:tcW w:w="12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(15,612)</w:t>
            </w:r>
          </w:p>
        </w:tc>
        <w:tc>
          <w:tcPr>
            <w:tcW w:w="8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color w:val="auto"/>
              </w:rPr>
              <w:t>36,424</w:t>
            </w:r>
          </w:p>
        </w:tc>
        <w:tc>
          <w:tcPr>
            <w:tcW w:w="0" w:type="dxa"/>
            <w:vAlign w:val="bottom"/>
          </w:tcPr>
          <w:p>
            <w:pPr>
              <w:spacing w:after="0"/>
              <w:rPr>
                <w:sz w:val="1"/>
                <w:szCs w:val="1"/>
                <w:color w:val="auto"/>
              </w:rPr>
            </w:pPr>
          </w:p>
        </w:tc>
      </w:tr>
      <w:tr>
        <w:trPr>
          <w:trHeight w:val="150"/>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(loss) attributable to noncontrolling interest, net of tax</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309</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309</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color w:val="auto"/>
              </w:rPr>
              <w:t>Net income (loss) attributable to ViaSat, Inc.</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4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36,073</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17,287</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8"/>
              <w:spacing w:after="0"/>
              <w:rPr>
                <w:sz w:val="20"/>
                <w:szCs w:val="20"/>
                <w:color w:val="auto"/>
              </w:rPr>
            </w:pPr>
            <w:r>
              <w:rPr>
                <w:rFonts w:ascii="Arial" w:cs="Arial" w:eastAsia="Arial" w:hAnsi="Arial"/>
                <w:sz w:val="12"/>
                <w:szCs w:val="12"/>
                <w:color w:val="auto"/>
              </w:rPr>
              <w:t>(1,324)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(15,921)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440"/>
              <w:spacing w:after="0"/>
              <w:rPr>
                <w:sz w:val="20"/>
                <w:szCs w:val="20"/>
                <w:color w:val="auto"/>
              </w:rPr>
            </w:pPr>
            <w:r>
              <w:rPr>
                <w:rFonts w:ascii="Arial" w:cs="Arial" w:eastAsia="Arial" w:hAnsi="Arial"/>
                <w:sz w:val="12"/>
                <w:szCs w:val="12"/>
                <w:color w:val="auto"/>
              </w:rPr>
              <w:t>36,115</w:t>
            </w:r>
          </w:p>
        </w:tc>
        <w:tc>
          <w:tcPr>
            <w:tcW w:w="0" w:type="dxa"/>
            <w:vAlign w:val="bottom"/>
          </w:tcPr>
          <w:p>
            <w:pPr>
              <w:spacing w:after="0"/>
              <w:rPr>
                <w:sz w:val="1"/>
                <w:szCs w:val="1"/>
                <w:color w:val="auto"/>
              </w:rPr>
            </w:pPr>
          </w:p>
        </w:tc>
      </w:tr>
      <w:tr>
        <w:trPr>
          <w:trHeight w:val="32"/>
        </w:trPr>
        <w:tc>
          <w:tcPr>
            <w:tcW w:w="4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Condensed Consolidated Statement of Operations for the Fiscal Year Ended April 2, 2010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Issuing</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9"/>
              </w:rPr>
              <w:t>Guarantor</w:t>
            </w:r>
          </w:p>
        </w:tc>
        <w:tc>
          <w:tcPr>
            <w:tcW w:w="100" w:type="dxa"/>
            <w:vAlign w:val="bottom"/>
          </w:tcPr>
          <w:p>
            <w:pPr>
              <w:spacing w:after="0"/>
              <w:rPr>
                <w:sz w:val="10"/>
                <w:szCs w:val="1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Non-</w:t>
            </w:r>
          </w:p>
        </w:tc>
        <w:tc>
          <w:tcPr>
            <w:tcW w:w="140" w:type="dxa"/>
            <w:vAlign w:val="bottom"/>
          </w:tcPr>
          <w:p>
            <w:pPr>
              <w:spacing w:after="0"/>
              <w:rPr>
                <w:sz w:val="10"/>
                <w:szCs w:val="1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Consolidation and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Parent</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9"/>
              </w:rPr>
              <w:t>Guarantor</w:t>
            </w:r>
          </w:p>
        </w:tc>
        <w:tc>
          <w:tcPr>
            <w:tcW w:w="140" w:type="dxa"/>
            <w:vAlign w:val="bottom"/>
          </w:tcPr>
          <w:p>
            <w:pPr>
              <w:spacing w:after="0"/>
              <w:rPr>
                <w:sz w:val="9"/>
                <w:szCs w:val="9"/>
                <w:color w:val="auto"/>
              </w:rPr>
            </w:pPr>
          </w:p>
        </w:tc>
        <w:tc>
          <w:tcPr>
            <w:tcW w:w="13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Elimination</w:t>
            </w:r>
          </w:p>
        </w:tc>
        <w:tc>
          <w:tcPr>
            <w:tcW w:w="100" w:type="dxa"/>
            <w:vAlign w:val="bottom"/>
          </w:tcPr>
          <w:p>
            <w:pPr>
              <w:spacing w:after="0"/>
              <w:rPr>
                <w:sz w:val="9"/>
                <w:szCs w:val="9"/>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6"/>
              </w:rPr>
              <w:t>Company</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4"/>
              </w:rPr>
              <w:t>Subsidiaries</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0"/>
              </w:rPr>
              <w:t>Subsidiaries</w:t>
            </w: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2"/>
              </w:rPr>
              <w:t>Adjustments</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Product revenues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581,911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907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4,065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(2,809)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584,074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revenues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62,499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7,010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Total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616,897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63,406</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11,075</w:t>
            </w: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(3,298)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688,080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Cost of product revenues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405,624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960</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3,851</w:t>
            </w: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(1,909)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408,526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 revenues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23,070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36,937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7,316</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66,830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109,931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20,957</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132,895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Independent research and development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362</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Amortization of acquired intangible assets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5,178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3,778</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538</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9,494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46,133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(3,005)</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(7,354)</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(52)</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(7,354)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39,437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(3,045)</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Provision (benefit from) for income taxes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5,113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Equity in net income (loss) of consolidated subsidiaries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32,024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467</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(3,062)</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30,839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(loss) attributable to noncontrolling interest, net of tax</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Net income (loss) attributable to ViaSat, Inc.</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32,024</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(3,062)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1,707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31,136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F-44</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Condensed Consolidated Statement of Operations for the Fiscal Year Ended April 3, 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Issuing</w:t>
            </w:r>
          </w:p>
        </w:tc>
        <w:tc>
          <w:tcPr>
            <w:tcW w:w="10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Guarantor</w:t>
            </w:r>
          </w:p>
        </w:tc>
        <w:tc>
          <w:tcPr>
            <w:tcW w:w="100" w:type="dxa"/>
            <w:vAlign w:val="bottom"/>
          </w:tcPr>
          <w:p>
            <w:pPr>
              <w:spacing w:after="0"/>
              <w:rPr>
                <w:sz w:val="10"/>
                <w:szCs w:val="1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Non-</w:t>
            </w:r>
          </w:p>
        </w:tc>
        <w:tc>
          <w:tcPr>
            <w:tcW w:w="140" w:type="dxa"/>
            <w:vAlign w:val="bottom"/>
          </w:tcPr>
          <w:p>
            <w:pPr>
              <w:spacing w:after="0"/>
              <w:rPr>
                <w:sz w:val="10"/>
                <w:szCs w:val="1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Consolidation and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Parent</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9"/>
              </w:rPr>
              <w:t>Guarantor</w:t>
            </w:r>
          </w:p>
        </w:tc>
        <w:tc>
          <w:tcPr>
            <w:tcW w:w="140" w:type="dxa"/>
            <w:vAlign w:val="bottom"/>
          </w:tcPr>
          <w:p>
            <w:pPr>
              <w:spacing w:after="0"/>
              <w:rPr>
                <w:sz w:val="9"/>
                <w:szCs w:val="9"/>
                <w:color w:val="auto"/>
              </w:rPr>
            </w:pPr>
          </w:p>
        </w:tc>
        <w:tc>
          <w:tcPr>
            <w:tcW w:w="13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Elimination</w:t>
            </w:r>
          </w:p>
        </w:tc>
        <w:tc>
          <w:tcPr>
            <w:tcW w:w="100" w:type="dxa"/>
            <w:vAlign w:val="bottom"/>
          </w:tcPr>
          <w:p>
            <w:pPr>
              <w:spacing w:after="0"/>
              <w:rPr>
                <w:sz w:val="9"/>
                <w:szCs w:val="9"/>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6"/>
              </w:rPr>
              <w:t>Company</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Subsidiaries</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0"/>
              </w:rPr>
              <w:t>Subsidiaries</w:t>
            </w: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2"/>
              </w:rPr>
              <w:t>Adjustments</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Product revenues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590,403</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6,128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(1,189)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595,342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revenues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27,042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6,364</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Total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617,445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12,492</w:t>
            </w: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(1,758)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628,179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Cost of product revenues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420,653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5,105</w:t>
            </w: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(1,138)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424,620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 revenues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4,577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96,707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1,917</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98,624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Independent research and development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29,311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390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Amortization of acquired intangible assets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8,403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419</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44,274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84</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(507)</w:t>
            </w: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45,092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Provision (benefit from) for income taxes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6,791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Equity in net income (loss) of consolidated subsidiaries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38,401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217</w:t>
            </w: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38,447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(loss) attributable to noncontrolling interest, net of tax</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Net income (loss) attributable to ViaSat, Inc.</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38,401</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217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(287)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38,331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F-45</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Condensed Consolidated Statement of Cash Flows for the Fiscal Year Ended April 1, 2011</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1"/>
              </w:rPr>
              <w:t>Issuing</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Consolidation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Guarantor</w:t>
            </w: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Parent</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9"/>
              </w:rPr>
              <w:t>Guarantor</w:t>
            </w:r>
          </w:p>
        </w:tc>
        <w:tc>
          <w:tcPr>
            <w:tcW w:w="10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Elimination</w:t>
            </w:r>
          </w:p>
        </w:tc>
        <w:tc>
          <w:tcPr>
            <w:tcW w:w="1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Company</w:t>
            </w:r>
          </w:p>
        </w:tc>
        <w:tc>
          <w:tcPr>
            <w:tcW w:w="100" w:type="dxa"/>
            <w:vAlign w:val="bottom"/>
          </w:tcPr>
          <w:p>
            <w:pPr>
              <w:spacing w:after="0"/>
              <w:rPr>
                <w:sz w:val="10"/>
                <w:szCs w:val="1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4"/>
              </w:rPr>
              <w:t>Subsidiaries</w:t>
            </w:r>
          </w:p>
        </w:tc>
        <w:tc>
          <w:tcPr>
            <w:tcW w:w="8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Subsidiaries</w:t>
            </w:r>
          </w:p>
        </w:tc>
        <w:tc>
          <w:tcPr>
            <w:tcW w:w="10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Adjustments</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2"/>
              </w:rPr>
              <w:t>(In thousands)</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57,877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112,029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(270)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169,617</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Purchase of property, equipment and satellites, net</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(152,416)</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(54,126)</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(2,013)</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270</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(208,285)</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for patents, licenses and other assets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(15,942)</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(15,986)</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Payments related to acquisition of businesses, net of cash acquired</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(14,203)</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747</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(13,456)</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 in subsidiaries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(726)</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1,731</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(1,105)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60"/>
              <w:spacing w:after="0"/>
              <w:rPr>
                <w:sz w:val="20"/>
                <w:szCs w:val="20"/>
                <w:color w:val="auto"/>
              </w:rPr>
            </w:pPr>
            <w:r>
              <w:rPr>
                <w:rFonts w:ascii="Arial" w:cs="Arial" w:eastAsia="Arial" w:hAnsi="Arial"/>
                <w:sz w:val="12"/>
                <w:szCs w:val="12"/>
                <w:color w:val="auto"/>
              </w:rPr>
              <w:t>Net cash (used in) provided by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(183,287)</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(54,026)</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421</w:t>
            </w:r>
          </w:p>
        </w:tc>
        <w:tc>
          <w:tcPr>
            <w:tcW w:w="1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(835)</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(237,727)</w:t>
            </w: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Proceeds from line of credit borrowings</w:t>
            </w:r>
          </w:p>
        </w:tc>
        <w:tc>
          <w:tcPr>
            <w:tcW w:w="10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40,000</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40,000</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on line of credit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(40,000)</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Payment of debt issuance costs</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(2,775)</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(2,775)</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common stock under equity plans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26,398</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26,398</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Purchase of common stock in treasury</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(5,880)</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(5,880)</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Incremental tax benefits from stock-based compensation</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867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867</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Intercompany long-term financing</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64,889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(66,619)</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625</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1,105</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83,499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(66,619)</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625</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1,105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18,610</w:t>
            </w: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Effect of exchange rate changes on cash</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359</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359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increase in cash and cash equivalents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(41,911)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(8,616)</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1,386</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(49,141)</w:t>
            </w: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Cash and cash equivalents at beginning of fiscal year</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66,258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16,216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7,157</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89,631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24,347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8,543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40,490</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Condensed Consolidated Statement of Cash Flows for the Fiscal Year Ended April 2, 2010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1"/>
              </w:rPr>
              <w:t>Issuing</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Consolidation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Guarantor</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Parent</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9"/>
              </w:rPr>
              <w:t>Guarantor</w:t>
            </w:r>
          </w:p>
        </w:tc>
        <w:tc>
          <w:tcPr>
            <w:tcW w:w="10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Elimination</w:t>
            </w:r>
          </w:p>
        </w:tc>
        <w:tc>
          <w:tcPr>
            <w:tcW w:w="1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Company</w:t>
            </w:r>
          </w:p>
        </w:tc>
        <w:tc>
          <w:tcPr>
            <w:tcW w:w="100" w:type="dxa"/>
            <w:vAlign w:val="bottom"/>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4"/>
              </w:rPr>
              <w:t>Subsidiaries</w:t>
            </w:r>
          </w:p>
        </w:tc>
        <w:tc>
          <w:tcPr>
            <w:tcW w:w="100" w:type="dxa"/>
            <w:vAlign w:val="bottom"/>
          </w:tcPr>
          <w:p>
            <w:pPr>
              <w:spacing w:after="0"/>
              <w:rPr>
                <w:sz w:val="10"/>
                <w:szCs w:val="1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Adjustments</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w w:val="87"/>
              </w:rPr>
              <w:t>(In thousands)</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74,032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40,671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(1,238)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(919)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112,546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Purchase of property, equipment and satellites, net</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(121,497)</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(10,075)</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(3,890)</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919</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(134,543)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for patents, licenses and other assets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(13,709)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Payments related to acquisition of businesses, net of cash acquired</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(442,700)</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64,336</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(377,987)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restricted cash, net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7,329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Investment in subsidiariess</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(5,114)</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4,423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(used in) provided by investing activities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(583,051)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61,590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5,342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(519,028)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line of credit borrowings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263,000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263,000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Payments on line of credit</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(203,000)</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(203,000)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long-term debt, net of discount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271,582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271,582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Payment of debt issuance costs</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(12,781)</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(12,781)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common stock under equity plans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23,085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w w:val="98"/>
              </w:rPr>
              <w:t>Proceeds from common stock issued under public offering, net of issuance costs</w:t>
            </w:r>
          </w:p>
        </w:tc>
        <w:tc>
          <w:tcPr>
            <w:tcW w:w="10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100,533</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100,533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common stock in treasury</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(10,326)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Intercompany long-term financing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85,354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(86,045)</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5,114</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(4,423)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517,447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(86,045)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(4,423)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432,093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Effect of exchange rate changes on cash</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529</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16,216</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1,496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and cash equivalents at beginning of fiscal year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57,830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5,661</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63,491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66,258</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16,216</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89,631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236"/>
              <w:spacing w:after="0"/>
              <w:rPr>
                <w:sz w:val="20"/>
                <w:szCs w:val="20"/>
                <w:color w:val="auto"/>
              </w:rPr>
            </w:pPr>
            <w:r>
              <w:rPr>
                <w:rFonts w:ascii="Arial" w:cs="Arial" w:eastAsia="Arial" w:hAnsi="Arial"/>
                <w:sz w:val="13"/>
                <w:szCs w:val="13"/>
                <w:color w:val="auto"/>
              </w:rPr>
              <w:t>F-47</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VIASAT,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Condensed Consolidated Statement of Cash Flows for the Fiscal Year Ended April 3, 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Issuing</w:t>
            </w:r>
          </w:p>
        </w:tc>
        <w:tc>
          <w:tcPr>
            <w:tcW w:w="10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Guarantor</w:t>
            </w:r>
          </w:p>
        </w:tc>
        <w:tc>
          <w:tcPr>
            <w:tcW w:w="100" w:type="dxa"/>
            <w:vAlign w:val="bottom"/>
          </w:tcPr>
          <w:p>
            <w:pPr>
              <w:spacing w:after="0"/>
              <w:rPr>
                <w:sz w:val="10"/>
                <w:szCs w:val="1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Non-</w:t>
            </w:r>
          </w:p>
        </w:tc>
        <w:tc>
          <w:tcPr>
            <w:tcW w:w="140" w:type="dxa"/>
            <w:vAlign w:val="bottom"/>
          </w:tcPr>
          <w:p>
            <w:pPr>
              <w:spacing w:after="0"/>
              <w:rPr>
                <w:sz w:val="10"/>
                <w:szCs w:val="1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Consolidation and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Parent</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9"/>
              </w:rPr>
              <w:t>Guarantor</w:t>
            </w:r>
          </w:p>
        </w:tc>
        <w:tc>
          <w:tcPr>
            <w:tcW w:w="140" w:type="dxa"/>
            <w:vAlign w:val="bottom"/>
          </w:tcPr>
          <w:p>
            <w:pPr>
              <w:spacing w:after="0"/>
              <w:rPr>
                <w:sz w:val="9"/>
                <w:szCs w:val="9"/>
                <w:color w:val="auto"/>
              </w:rPr>
            </w:pPr>
          </w:p>
        </w:tc>
        <w:tc>
          <w:tcPr>
            <w:tcW w:w="13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Elimination</w:t>
            </w:r>
          </w:p>
        </w:tc>
        <w:tc>
          <w:tcPr>
            <w:tcW w:w="100" w:type="dxa"/>
            <w:vAlign w:val="bottom"/>
          </w:tcPr>
          <w:p>
            <w:pPr>
              <w:spacing w:after="0"/>
              <w:rPr>
                <w:sz w:val="9"/>
                <w:szCs w:val="9"/>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6"/>
              </w:rPr>
              <w:t>Company</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Subsidiaries</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0"/>
              </w:rPr>
              <w:t>Subsidiaries</w:t>
            </w: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2"/>
              </w:rPr>
              <w:t>Adjustments</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64,376</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(2,363)</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(71)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61,942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Purchase of property, equipment and satellites, net</w:t>
            </w: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(115,976)</w:t>
            </w: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(1,289)</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(117,194)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for patents, licenses and other assets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(7,921)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Payments related to acquisition of businesses, net of cash acquired</w:t>
            </w: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(925)</w:t>
            </w: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in subsidiaries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(3,267)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4,035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ind w:left="280"/>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(128,089)</w:t>
            </w: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(2,164)</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4,106</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(126,147)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Proceeds from line of credit borrowings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on line of credit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(10,000)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Proceeds from issuance of common stock under equity plans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6,742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common stock in treasury</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(667)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Incremental tax benefits from stock-based compensation</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 on secured borrowing</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(4,720)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Proceeds from sale of stock of majority-owned subsidiary</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3,371</w:t>
            </w: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(1,871)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Intercompany long-term financing</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1,397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(2,164)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ind w:left="280"/>
              <w:spacing w:after="0"/>
              <w:rPr>
                <w:sz w:val="20"/>
                <w:szCs w:val="20"/>
                <w:color w:val="auto"/>
              </w:rPr>
            </w:pPr>
            <w:r>
              <w:rPr>
                <w:rFonts w:ascii="Arial" w:cs="Arial" w:eastAsia="Arial" w:hAnsi="Arial"/>
                <w:sz w:val="13"/>
                <w:szCs w:val="13"/>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2,468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4,768</w:t>
            </w: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(4,035)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(681)</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(61,245)</w:t>
            </w: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(440)</w:t>
            </w:r>
          </w:p>
        </w:tc>
        <w:tc>
          <w:tcPr>
            <w:tcW w:w="14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(61,685)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fiscal year</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119,075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6,101</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fiscal year</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57,830</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5,661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63,491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F-48</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900" w:type="dxa"/>
            <w:vAlign w:val="bottom"/>
            <w:gridSpan w:val="4"/>
          </w:tcPr>
          <w:p>
            <w:pPr>
              <w:jc w:val="center"/>
              <w:ind w:right="1788"/>
              <w:spacing w:after="0"/>
              <w:rPr>
                <w:sz w:val="20"/>
                <w:szCs w:val="20"/>
                <w:color w:val="auto"/>
              </w:rPr>
            </w:pPr>
            <w:r>
              <w:rPr>
                <w:rFonts w:ascii="Arial" w:cs="Arial" w:eastAsia="Arial" w:hAnsi="Arial"/>
                <w:sz w:val="13"/>
                <w:szCs w:val="13"/>
                <w:b w:val="1"/>
                <w:bCs w:val="1"/>
                <w:color w:val="auto"/>
              </w:rPr>
              <w:t>SCHEDULE II</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900" w:type="dxa"/>
            <w:vAlign w:val="bottom"/>
            <w:gridSpan w:val="4"/>
          </w:tcPr>
          <w:p>
            <w:pPr>
              <w:jc w:val="center"/>
              <w:ind w:right="1788"/>
              <w:spacing w:after="0"/>
              <w:rPr>
                <w:sz w:val="20"/>
                <w:szCs w:val="20"/>
                <w:color w:val="auto"/>
              </w:rPr>
            </w:pPr>
            <w:r>
              <w:rPr>
                <w:rFonts w:ascii="Arial" w:cs="Arial" w:eastAsia="Arial" w:hAnsi="Arial"/>
                <w:sz w:val="13"/>
                <w:szCs w:val="13"/>
                <w:b w:val="1"/>
                <w:bCs w:val="1"/>
                <w:color w:val="auto"/>
              </w:rPr>
              <w:t>VALUATION AND QUALIFYING ACCOUNTS</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900" w:type="dxa"/>
            <w:vAlign w:val="bottom"/>
            <w:gridSpan w:val="4"/>
          </w:tcPr>
          <w:p>
            <w:pPr>
              <w:jc w:val="center"/>
              <w:ind w:right="1768"/>
              <w:spacing w:after="0"/>
              <w:rPr>
                <w:sz w:val="20"/>
                <w:szCs w:val="20"/>
                <w:color w:val="auto"/>
              </w:rPr>
            </w:pPr>
            <w:r>
              <w:rPr>
                <w:rFonts w:ascii="Arial" w:cs="Arial" w:eastAsia="Arial" w:hAnsi="Arial"/>
                <w:sz w:val="13"/>
                <w:szCs w:val="13"/>
                <w:b w:val="1"/>
                <w:bCs w:val="1"/>
                <w:color w:val="auto"/>
                <w:w w:val="92"/>
              </w:rPr>
              <w:t>For the Three Fiscal Years Ended April 1, 2011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94"/>
              </w:rPr>
              <w:t>Allowance for</w:t>
            </w:r>
          </w:p>
        </w:tc>
        <w:tc>
          <w:tcPr>
            <w:tcW w:w="0" w:type="dxa"/>
            <w:vAlign w:val="bottom"/>
          </w:tcPr>
          <w:p>
            <w:pPr>
              <w:spacing w:after="0"/>
              <w:rPr>
                <w:sz w:val="1"/>
                <w:szCs w:val="1"/>
                <w:color w:val="auto"/>
              </w:rPr>
            </w:pPr>
          </w:p>
        </w:tc>
      </w:tr>
      <w:tr>
        <w:trPr>
          <w:trHeight w:val="125"/>
        </w:trPr>
        <w:tc>
          <w:tcPr>
            <w:tcW w:w="2960" w:type="dxa"/>
            <w:vAlign w:val="bottom"/>
            <w:gridSpan w:val="2"/>
            <w:vMerge w:val="continue"/>
          </w:tcPr>
          <w:p>
            <w:pPr>
              <w:spacing w:after="0"/>
              <w:rPr>
                <w:sz w:val="10"/>
                <w:szCs w:val="10"/>
                <w:color w:val="auto"/>
              </w:rPr>
            </w:pPr>
          </w:p>
        </w:tc>
        <w:tc>
          <w:tcPr>
            <w:tcW w:w="5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3"/>
              </w:rPr>
              <w:t>Doubtful Accounts</w:t>
            </w:r>
          </w:p>
        </w:tc>
        <w:tc>
          <w:tcPr>
            <w:tcW w:w="0" w:type="dxa"/>
            <w:vAlign w:val="bottom"/>
          </w:tcPr>
          <w:p>
            <w:pPr>
              <w:spacing w:after="0"/>
              <w:rPr>
                <w:sz w:val="1"/>
                <w:szCs w:val="1"/>
                <w:color w:val="auto"/>
              </w:rPr>
            </w:pPr>
          </w:p>
        </w:tc>
      </w:tr>
      <w:tr>
        <w:trPr>
          <w:trHeight w:val="131"/>
        </w:trPr>
        <w:tc>
          <w:tcPr>
            <w:tcW w:w="13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5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97"/>
              <w:spacing w:after="0"/>
              <w:rPr>
                <w:sz w:val="20"/>
                <w:szCs w:val="20"/>
                <w:color w:val="auto"/>
              </w:rPr>
            </w:pPr>
            <w:r>
              <w:rPr>
                <w:rFonts w:ascii="Arial" w:cs="Arial" w:eastAsia="Arial" w:hAnsi="Arial"/>
                <w:sz w:val="10"/>
                <w:szCs w:val="10"/>
                <w:b w:val="1"/>
                <w:bCs w:val="1"/>
                <w:color w:val="auto"/>
                <w:w w:val="95"/>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March 28, 2008</w:t>
            </w:r>
          </w:p>
        </w:tc>
        <w:tc>
          <w:tcPr>
            <w:tcW w:w="5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60" w:type="dxa"/>
            <w:vAlign w:val="bottom"/>
            <w:gridSpan w:val="2"/>
          </w:tcPr>
          <w:p>
            <w:pPr>
              <w:ind w:left="140"/>
              <w:spacing w:after="0"/>
              <w:rPr>
                <w:sz w:val="20"/>
                <w:szCs w:val="20"/>
                <w:color w:val="auto"/>
              </w:rPr>
            </w:pPr>
            <w:r>
              <w:rPr>
                <w:rFonts w:ascii="Arial" w:cs="Arial" w:eastAsia="Arial" w:hAnsi="Arial"/>
                <w:sz w:val="13"/>
                <w:szCs w:val="13"/>
                <w:color w:val="auto"/>
              </w:rPr>
              <w:t>Charged (credited) to costs and expenses</w:t>
            </w: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377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5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56"/>
        </w:trPr>
        <w:tc>
          <w:tcPr>
            <w:tcW w:w="2960" w:type="dxa"/>
            <w:vAlign w:val="bottom"/>
            <w:gridSpan w:val="2"/>
          </w:tcPr>
          <w:p>
            <w:pPr>
              <w:spacing w:after="0"/>
              <w:rPr>
                <w:sz w:val="20"/>
                <w:szCs w:val="20"/>
                <w:color w:val="auto"/>
              </w:rPr>
            </w:pPr>
            <w:r>
              <w:rPr>
                <w:rFonts w:ascii="Arial" w:cs="Arial" w:eastAsia="Arial" w:hAnsi="Arial"/>
                <w:sz w:val="13"/>
                <w:szCs w:val="13"/>
                <w:color w:val="auto"/>
              </w:rPr>
              <w:t>Balance, April 3, 2009</w:t>
            </w:r>
          </w:p>
        </w:tc>
        <w:tc>
          <w:tcPr>
            <w:tcW w:w="5540" w:type="dxa"/>
            <w:vAlign w:val="bottom"/>
            <w:gridSpan w:val="2"/>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(credited) to costs and expenses</w:t>
            </w:r>
          </w:p>
        </w:tc>
        <w:tc>
          <w:tcPr>
            <w:tcW w:w="5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gridSpan w:val="2"/>
          </w:tcPr>
          <w:p>
            <w:pPr>
              <w:ind w:left="140"/>
              <w:spacing w:after="0"/>
              <w:rPr>
                <w:sz w:val="20"/>
                <w:szCs w:val="20"/>
                <w:color w:val="auto"/>
              </w:rPr>
            </w:pPr>
            <w:r>
              <w:rPr>
                <w:rFonts w:ascii="Arial" w:cs="Arial" w:eastAsia="Arial" w:hAnsi="Arial"/>
                <w:sz w:val="13"/>
                <w:szCs w:val="13"/>
                <w:color w:val="auto"/>
              </w:rPr>
              <w:t>Deductions</w:t>
            </w: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57"/>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April 2, 2010</w:t>
            </w:r>
          </w:p>
        </w:tc>
        <w:tc>
          <w:tcPr>
            <w:tcW w:w="5540" w:type="dxa"/>
            <w:vAlign w:val="bottom"/>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right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gridSpan w:val="2"/>
          </w:tcPr>
          <w:p>
            <w:pPr>
              <w:ind w:left="140"/>
              <w:spacing w:after="0"/>
              <w:rPr>
                <w:sz w:val="20"/>
                <w:szCs w:val="20"/>
                <w:color w:val="auto"/>
              </w:rPr>
            </w:pPr>
            <w:r>
              <w:rPr>
                <w:rFonts w:ascii="Arial" w:cs="Arial" w:eastAsia="Arial" w:hAnsi="Arial"/>
                <w:sz w:val="13"/>
                <w:szCs w:val="13"/>
                <w:color w:val="auto"/>
              </w:rPr>
              <w:t>Charged (credited) to costs and expenses</w:t>
            </w: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5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166"/>
        </w:trPr>
        <w:tc>
          <w:tcPr>
            <w:tcW w:w="2960" w:type="dxa"/>
            <w:vAlign w:val="bottom"/>
            <w:gridSpan w:val="2"/>
          </w:tcPr>
          <w:p>
            <w:pPr>
              <w:spacing w:after="0"/>
              <w:rPr>
                <w:sz w:val="20"/>
                <w:szCs w:val="20"/>
                <w:color w:val="auto"/>
              </w:rPr>
            </w:pPr>
            <w:r>
              <w:rPr>
                <w:rFonts w:ascii="Arial" w:cs="Arial" w:eastAsia="Arial" w:hAnsi="Arial"/>
                <w:sz w:val="13"/>
                <w:szCs w:val="13"/>
                <w:color w:val="auto"/>
              </w:rPr>
              <w:t>Balance, April 1, 2011</w:t>
            </w:r>
          </w:p>
        </w:tc>
        <w:tc>
          <w:tcPr>
            <w:tcW w:w="5540" w:type="dxa"/>
            <w:vAlign w:val="bottom"/>
            <w:gridSpan w:val="2"/>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8"/>
              </w:rPr>
              <w:t>Deferred Tax</w:t>
            </w:r>
          </w:p>
        </w:tc>
        <w:tc>
          <w:tcPr>
            <w:tcW w:w="0" w:type="dxa"/>
            <w:vAlign w:val="bottom"/>
          </w:tcPr>
          <w:p>
            <w:pPr>
              <w:spacing w:after="0"/>
              <w:rPr>
                <w:sz w:val="1"/>
                <w:szCs w:val="1"/>
                <w:color w:val="auto"/>
              </w:rPr>
            </w:pPr>
          </w:p>
        </w:tc>
      </w:tr>
      <w:tr>
        <w:trPr>
          <w:trHeight w:val="108"/>
        </w:trPr>
        <w:tc>
          <w:tcPr>
            <w:tcW w:w="2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5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3"/>
          </w:tcPr>
          <w:p>
            <w:pPr>
              <w:jc w:val="center"/>
              <w:ind w:right="160"/>
              <w:spacing w:after="0" w:line="108" w:lineRule="exact"/>
              <w:rPr>
                <w:sz w:val="20"/>
                <w:szCs w:val="20"/>
                <w:color w:val="auto"/>
              </w:rPr>
            </w:pPr>
            <w:r>
              <w:rPr>
                <w:rFonts w:ascii="Arial" w:cs="Arial" w:eastAsia="Arial" w:hAnsi="Arial"/>
                <w:sz w:val="10"/>
                <w:szCs w:val="10"/>
                <w:b w:val="1"/>
                <w:bCs w:val="1"/>
                <w:color w:val="auto"/>
                <w:w w:val="90"/>
              </w:rPr>
              <w:t>Asset Valuation</w:t>
            </w:r>
          </w:p>
        </w:tc>
        <w:tc>
          <w:tcPr>
            <w:tcW w:w="0" w:type="dxa"/>
            <w:vAlign w:val="bottom"/>
          </w:tcPr>
          <w:p>
            <w:pPr>
              <w:spacing w:after="0"/>
              <w:rPr>
                <w:sz w:val="1"/>
                <w:szCs w:val="1"/>
                <w:color w:val="auto"/>
              </w:rPr>
            </w:pPr>
          </w:p>
        </w:tc>
      </w:tr>
      <w:tr>
        <w:trPr>
          <w:trHeight w:val="125"/>
        </w:trPr>
        <w:tc>
          <w:tcPr>
            <w:tcW w:w="2960" w:type="dxa"/>
            <w:vAlign w:val="bottom"/>
            <w:gridSpan w:val="2"/>
            <w:vMerge w:val="continue"/>
          </w:tcPr>
          <w:p>
            <w:pPr>
              <w:spacing w:after="0"/>
              <w:rPr>
                <w:sz w:val="10"/>
                <w:szCs w:val="10"/>
                <w:color w:val="auto"/>
              </w:rPr>
            </w:pPr>
          </w:p>
        </w:tc>
        <w:tc>
          <w:tcPr>
            <w:tcW w:w="5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6"/>
              </w:rPr>
              <w:t>Allowance</w:t>
            </w:r>
          </w:p>
        </w:tc>
        <w:tc>
          <w:tcPr>
            <w:tcW w:w="0" w:type="dxa"/>
            <w:vAlign w:val="bottom"/>
          </w:tcPr>
          <w:p>
            <w:pPr>
              <w:spacing w:after="0"/>
              <w:rPr>
                <w:sz w:val="1"/>
                <w:szCs w:val="1"/>
                <w:color w:val="auto"/>
              </w:rPr>
            </w:pPr>
          </w:p>
        </w:tc>
      </w:tr>
      <w:tr>
        <w:trPr>
          <w:trHeight w:val="131"/>
        </w:trPr>
        <w:tc>
          <w:tcPr>
            <w:tcW w:w="13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5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March 28, 2008</w:t>
            </w:r>
          </w:p>
        </w:tc>
        <w:tc>
          <w:tcPr>
            <w:tcW w:w="59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60" w:type="dxa"/>
            <w:vAlign w:val="bottom"/>
            <w:gridSpan w:val="2"/>
          </w:tcPr>
          <w:p>
            <w:pPr>
              <w:ind w:left="140"/>
              <w:spacing w:after="0"/>
              <w:rPr>
                <w:sz w:val="20"/>
                <w:szCs w:val="20"/>
                <w:color w:val="auto"/>
              </w:rPr>
            </w:pPr>
            <w:r>
              <w:rPr>
                <w:rFonts w:ascii="Arial" w:cs="Arial" w:eastAsia="Arial" w:hAnsi="Arial"/>
                <w:sz w:val="13"/>
                <w:szCs w:val="13"/>
                <w:color w:val="auto"/>
              </w:rPr>
              <w:t>Charged (credited) to costs and expenses</w:t>
            </w: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1,093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5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3"/>
                <w:szCs w:val="13"/>
                <w:color w:val="auto"/>
              </w:rPr>
              <w:t>Balance, April 3, 2009</w:t>
            </w:r>
          </w:p>
        </w:tc>
        <w:tc>
          <w:tcPr>
            <w:tcW w:w="5900" w:type="dxa"/>
            <w:vAlign w:val="bottom"/>
            <w:tcBorders>
              <w:right w:val="single" w:sz="8" w:color="auto"/>
            </w:tcBorders>
            <w:gridSpan w:val="4"/>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gridSpan w:val="2"/>
            <w:vMerge w:val="continue"/>
          </w:tcPr>
          <w:p>
            <w:pPr>
              <w:spacing w:after="0"/>
              <w:rPr>
                <w:sz w:val="13"/>
                <w:szCs w:val="13"/>
                <w:color w:val="auto"/>
              </w:rPr>
            </w:pPr>
          </w:p>
        </w:tc>
        <w:tc>
          <w:tcPr>
            <w:tcW w:w="59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2,062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(credited) to costs and expenses</w:t>
            </w:r>
          </w:p>
        </w:tc>
        <w:tc>
          <w:tcPr>
            <w:tcW w:w="5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gridSpan w:val="2"/>
          </w:tcPr>
          <w:p>
            <w:pPr>
              <w:ind w:left="140"/>
              <w:spacing w:after="0"/>
              <w:rPr>
                <w:sz w:val="20"/>
                <w:szCs w:val="20"/>
                <w:color w:val="auto"/>
              </w:rPr>
            </w:pPr>
            <w:r>
              <w:rPr>
                <w:rFonts w:ascii="Arial" w:cs="Arial" w:eastAsia="Arial" w:hAnsi="Arial"/>
                <w:sz w:val="13"/>
                <w:szCs w:val="13"/>
                <w:color w:val="auto"/>
              </w:rPr>
              <w:t>Charged (credited) to goodwill*</w:t>
            </w: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9,706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5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3"/>
                <w:szCs w:val="13"/>
                <w:color w:val="auto"/>
              </w:rPr>
              <w:t>Balance, April 2, 2010</w:t>
            </w:r>
          </w:p>
        </w:tc>
        <w:tc>
          <w:tcPr>
            <w:tcW w:w="5900" w:type="dxa"/>
            <w:vAlign w:val="bottom"/>
            <w:tcBorders>
              <w:right w:val="single" w:sz="8" w:color="auto"/>
            </w:tcBorders>
            <w:gridSpan w:val="4"/>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gridSpan w:val="2"/>
            <w:vMerge w:val="continue"/>
          </w:tcPr>
          <w:p>
            <w:pPr>
              <w:spacing w:after="0"/>
              <w:rPr>
                <w:sz w:val="13"/>
                <w:szCs w:val="13"/>
                <w:color w:val="auto"/>
              </w:rPr>
            </w:pPr>
          </w:p>
        </w:tc>
        <w:tc>
          <w:tcPr>
            <w:tcW w:w="59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13,074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(credited) to costs and expenses</w:t>
            </w:r>
          </w:p>
        </w:tc>
        <w:tc>
          <w:tcPr>
            <w:tcW w:w="5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gridSpan w:val="2"/>
          </w:tcPr>
          <w:p>
            <w:pPr>
              <w:ind w:left="140"/>
              <w:spacing w:after="0"/>
              <w:rPr>
                <w:sz w:val="20"/>
                <w:szCs w:val="20"/>
                <w:color w:val="auto"/>
              </w:rPr>
            </w:pPr>
            <w:r>
              <w:rPr>
                <w:rFonts w:ascii="Arial" w:cs="Arial" w:eastAsia="Arial" w:hAnsi="Arial"/>
                <w:sz w:val="13"/>
                <w:szCs w:val="13"/>
                <w:color w:val="auto"/>
              </w:rPr>
              <w:t>Charged (credited) to goodwill*</w:t>
            </w: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3"/>
                <w:szCs w:val="13"/>
                <w:color w:val="auto"/>
              </w:rPr>
              <w:t>(1,848)</w:t>
            </w:r>
          </w:p>
        </w:tc>
        <w:tc>
          <w:tcPr>
            <w:tcW w:w="0" w:type="dxa"/>
            <w:vAlign w:val="bottom"/>
          </w:tcPr>
          <w:p>
            <w:pPr>
              <w:spacing w:after="0"/>
              <w:rPr>
                <w:sz w:val="1"/>
                <w:szCs w:val="1"/>
                <w:color w:val="auto"/>
              </w:rPr>
            </w:pPr>
          </w:p>
        </w:tc>
      </w:tr>
      <w:tr>
        <w:trPr>
          <w:trHeight w:val="157"/>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5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3"/>
                <w:szCs w:val="13"/>
                <w:color w:val="auto"/>
              </w:rPr>
              <w:t>Balance, April 1, 2011</w:t>
            </w:r>
          </w:p>
        </w:tc>
        <w:tc>
          <w:tcPr>
            <w:tcW w:w="5900" w:type="dxa"/>
            <w:vAlign w:val="bottom"/>
            <w:tcBorders>
              <w:right w:val="single" w:sz="8" w:color="auto"/>
            </w:tcBorders>
            <w:gridSpan w:val="4"/>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60" w:type="dxa"/>
            <w:vAlign w:val="bottom"/>
            <w:gridSpan w:val="2"/>
            <w:vMerge w:val="continue"/>
          </w:tcPr>
          <w:p>
            <w:pPr>
              <w:spacing w:after="0"/>
              <w:rPr>
                <w:sz w:val="14"/>
                <w:szCs w:val="14"/>
                <w:color w:val="auto"/>
              </w:rPr>
            </w:pPr>
          </w:p>
        </w:tc>
        <w:tc>
          <w:tcPr>
            <w:tcW w:w="59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12,671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Related to the acquisition of WildBlue</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ectPr>
          <w:pgSz w:w="11900" w:h="16838" w:orient="portrait"/>
          <w:cols w:equalWidth="0" w:num="1">
            <w:col w:w="10660"/>
          </w:cols>
          <w:pgMar w:left="220" w:top="343" w:right="10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color w:val="auto"/>
        </w:rPr>
        <w:t>Exhibit 10.14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March 31,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ViaSat,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6155 El Camino Real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Carlsbad, CA 92009</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Paul Konopka, Esq.</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 Addition of Co-Documentation Agents — Fifth Amendment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Gentlemen:</w:t>
      </w:r>
    </w:p>
    <w:p>
      <w:pPr>
        <w:spacing w:after="0" w:line="86" w:lineRule="exact"/>
        <w:rPr>
          <w:sz w:val="20"/>
          <w:szCs w:val="20"/>
          <w:color w:val="auto"/>
        </w:rPr>
      </w:pPr>
    </w:p>
    <w:p>
      <w:pPr>
        <w:ind w:right="80" w:firstLine="161"/>
        <w:spacing w:after="0" w:line="289" w:lineRule="auto"/>
        <w:rPr>
          <w:sz w:val="20"/>
          <w:szCs w:val="20"/>
          <w:color w:val="auto"/>
        </w:rPr>
      </w:pPr>
      <w:r>
        <w:rPr>
          <w:rFonts w:ascii="Arial" w:cs="Arial" w:eastAsia="Arial" w:hAnsi="Arial"/>
          <w:sz w:val="12"/>
          <w:szCs w:val="12"/>
          <w:color w:val="auto"/>
        </w:rPr>
        <w:t>We refer to that certain Fourth Amended and Restated Revolving Loan Agreement dated as of July 1, 2009 among ViaSat, Inc., a Delaware corporation (the “Borrower”), each lender from time to time party thereto, Union Bank, N.A., as Administrative Agent (in such capacity, “Administrative Agent”), Bank of America, N.A., as Syndication Agent, JPMorgan Chase Bank, N.A., as Documentation Agent, Banc of America Securities LLC and Union Bank, N.A., as Joint Lead Arrangers and Joint Book Runners, Wells Fargo Bank, National Association, as Co-Agent, and Union Bank, N.A., as Collateral Agent, (as amended, modified or supplemented from time to time, the “Credit Agreement”). Capitalized terms used herein and not defined shall have the meanings assigned to them in the Credit Agreement.</w:t>
      </w:r>
    </w:p>
    <w:p>
      <w:pPr>
        <w:spacing w:after="0" w:line="43" w:lineRule="exact"/>
        <w:rPr>
          <w:sz w:val="20"/>
          <w:szCs w:val="20"/>
          <w:color w:val="auto"/>
        </w:rPr>
      </w:pPr>
    </w:p>
    <w:p>
      <w:pPr>
        <w:ind w:right="180" w:firstLine="161"/>
        <w:spacing w:after="0" w:line="276" w:lineRule="auto"/>
        <w:rPr>
          <w:sz w:val="20"/>
          <w:szCs w:val="20"/>
          <w:color w:val="auto"/>
        </w:rPr>
      </w:pPr>
      <w:r>
        <w:rPr>
          <w:rFonts w:ascii="Arial" w:cs="Arial" w:eastAsia="Arial" w:hAnsi="Arial"/>
          <w:sz w:val="13"/>
          <w:szCs w:val="13"/>
          <w:color w:val="auto"/>
        </w:rPr>
        <w:t xml:space="preserve">The Borrower, the Lenders and the Agents hereby agree, effective as of the date first set forth above, that the title page of the Credit Agreement is hereby deleted in its entirety and replaced with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to this letter agreement.</w:t>
      </w:r>
    </w:p>
    <w:p>
      <w:pPr>
        <w:spacing w:after="0" w:line="49"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 xml:space="preserve">The governing law and venue provisions of Section 11.17 of the Credit Agreement are incorporated herein by this reference </w:t>
      </w:r>
      <w:r>
        <w:rPr>
          <w:rFonts w:ascii="Arial" w:cs="Arial" w:eastAsia="Arial" w:hAnsi="Arial"/>
          <w:sz w:val="13"/>
          <w:szCs w:val="13"/>
          <w:i w:val="1"/>
          <w:iCs w:val="1"/>
          <w:color w:val="auto"/>
        </w:rPr>
        <w:t>mutatis mutandis</w:t>
      </w:r>
      <w:r>
        <w:rPr>
          <w:rFonts w:ascii="Arial" w:cs="Arial" w:eastAsia="Arial" w:hAnsi="Arial"/>
          <w:sz w:val="13"/>
          <w:szCs w:val="13"/>
          <w:color w:val="auto"/>
        </w:rPr>
        <w:t>. This letter amendment may be executed in two or more counterparts, each of which shall be deemed an original, but all of which together shall constitute one instrument. Delivery of an executed counterpart hereof by facsimile or electronic transmission shall be effective as delivery of a manually executed counterpart. Except as amended hereby, all of the provisions of the Credit Agreement and the other Loan Documents shall remain unmodified and in full force and effect except that each reference to the “Agreement”, or words of like import in any Loan Document, shall mean and be a reference to the Credit Agreement as amended hereby. This letter amendment shall be deemed a “Loan Document” as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16" w:name="page117"/>
    <w:bookmarkEnd w:id="116"/>
    <w:p>
      <w:pPr>
        <w:ind w:left="160"/>
        <w:spacing w:after="0"/>
        <w:rPr>
          <w:sz w:val="20"/>
          <w:szCs w:val="20"/>
          <w:color w:val="auto"/>
        </w:rPr>
      </w:pPr>
      <w:r>
        <w:rPr>
          <w:rFonts w:ascii="Arial" w:cs="Arial" w:eastAsia="Arial" w:hAnsi="Arial"/>
          <w:sz w:val="11"/>
          <w:szCs w:val="11"/>
          <w:color w:val="auto"/>
        </w:rPr>
        <w:t>If you are in agreement with the foregoing, please execute this letter is the space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Agreed to as of the date first set forth above: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VIASAT, INC.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 /s/ Keven K.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72161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21610"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Name: Keven K. Lippert</w:t>
      </w:r>
    </w:p>
    <w:p>
      <w:pPr>
        <w:spacing w:after="0" w:line="15"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3"/>
          <w:szCs w:val="13"/>
          <w:color w:val="auto"/>
        </w:rPr>
        <w:t>Title:</w:t>
        <w:tab/>
        <w:t>Vice President, General Counsel and Secretary</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COMPASS BANK</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 /s/ Andrew Widmer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72161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21610"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Name: Andrew Widmer</w:t>
      </w:r>
    </w:p>
    <w:p>
      <w:pPr>
        <w:spacing w:after="0" w:line="15"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3"/>
          <w:szCs w:val="13"/>
          <w:color w:val="auto"/>
        </w:rPr>
        <w:t>Title:</w:t>
        <w:tab/>
        <w:t>Vice President</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WELLS FARGO BANK, NATIONAL ASSOCIATION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 /s/ Donald 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72161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21610"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Name: Donald S. Green</w:t>
      </w:r>
    </w:p>
    <w:p>
      <w:pPr>
        <w:spacing w:after="0" w:line="15"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3"/>
          <w:szCs w:val="13"/>
          <w:color w:val="auto"/>
        </w:rPr>
        <w:t>Title:</w:t>
        <w:tab/>
        <w:t>Vice President</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JPMORGAN CHASE BANK, N.A.,</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 /s/ Anna C. Ruiz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72161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21610"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Name: Anna C. Ruiz</w:t>
      </w:r>
    </w:p>
    <w:p>
      <w:pPr>
        <w:spacing w:after="0" w:line="15"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UNION BANK, N.A., as Administrative Agent</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By: /s/ Mark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10795</wp:posOffset>
            </wp:positionV>
            <wp:extent cx="272732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Name: Mark Adelman</w:t>
      </w:r>
    </w:p>
    <w:p>
      <w:pPr>
        <w:spacing w:after="0" w:line="15"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3"/>
          <w:szCs w:val="13"/>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3011170</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5240" w:space="20"/>
            <w:col w:w="4979"/>
          </w:cols>
          <w:pgMar w:left="220" w:top="720" w:right="1440" w:bottom="1440" w:gutter="0" w:footer="0" w:header="0"/>
        </w:sectPr>
      </w:pPr>
    </w:p>
    <w:bookmarkStart w:id="117" w:name="page118"/>
    <w:bookmarkEnd w:id="117"/>
    <w:p>
      <w:pPr>
        <w:ind w:left="9440"/>
        <w:spacing w:after="0"/>
        <w:rPr>
          <w:sz w:val="20"/>
          <w:szCs w:val="20"/>
          <w:color w:val="auto"/>
        </w:rPr>
      </w:pPr>
      <w:r>
        <w:rPr>
          <w:rFonts w:ascii="Arial" w:cs="Arial" w:eastAsia="Arial" w:hAnsi="Arial"/>
          <w:sz w:val="12"/>
          <w:szCs w:val="12"/>
          <w:u w:val="single" w:color="auto"/>
          <w:color w:val="auto"/>
        </w:rPr>
        <w:t>SCHEDULE A</w:t>
      </w:r>
    </w:p>
    <w:p>
      <w:pPr>
        <w:spacing w:after="0" w:line="27" w:lineRule="exact"/>
        <w:rPr>
          <w:sz w:val="20"/>
          <w:szCs w:val="20"/>
          <w:color w:val="auto"/>
        </w:rPr>
      </w:pPr>
    </w:p>
    <w:p>
      <w:pPr>
        <w:ind w:left="9180"/>
        <w:spacing w:after="0"/>
        <w:rPr>
          <w:sz w:val="20"/>
          <w:szCs w:val="20"/>
          <w:color w:val="auto"/>
        </w:rPr>
      </w:pPr>
      <w:r>
        <w:rPr>
          <w:rFonts w:ascii="Arial" w:cs="Arial" w:eastAsia="Arial" w:hAnsi="Arial"/>
          <w:sz w:val="12"/>
          <w:szCs w:val="12"/>
          <w:u w:val="single" w:color="auto"/>
          <w:color w:val="auto"/>
        </w:rPr>
        <w:t>to Fifth Amendment</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FOURTH AMENDED AND RESTATED REVOLVING LOAN AGREEMENT</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Dated as of July 1, 2009</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among</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VIASAT, INC.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THE LENDERS HEREIN NAMED</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UNION BANK, N.A.,</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as Administrative Agent</w:t>
      </w:r>
    </w:p>
    <w:p>
      <w:pPr>
        <w:spacing w:after="0" w:line="79"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BANK OF AMERICA, N.A.,</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as Syndication Agent</w:t>
      </w:r>
    </w:p>
    <w:p>
      <w:pPr>
        <w:spacing w:after="0" w:line="79"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JPMORGAN CHASE BANK, N.A.,</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COMPASS BANK and</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WELLS FARGO BANK, NATIONAL ASSOCIATION,</w:t>
      </w:r>
    </w:p>
    <w:p>
      <w:pPr>
        <w:spacing w:after="0" w:line="79"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as Co-Documentation Agents</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BANC OF AMERICA SECURITIES LLC and UNION BANK, N.A.,</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3"/>
          <w:szCs w:val="13"/>
          <w:color w:val="auto"/>
        </w:rPr>
        <w:t>as Joint Lead Arrangers and Joint Book Runners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6"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UNION BANK, N.A.,</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color w:val="auto"/>
        </w:rPr>
        <w:t>as Collateral Agent</w:t>
      </w:r>
    </w:p>
    <w:p>
      <w:pPr>
        <w:sectPr>
          <w:pgSz w:w="11900" w:h="16838" w:orient="portrait"/>
          <w:cols w:equalWidth="0" w:num="1">
            <w:col w:w="10240"/>
          </w:cols>
          <w:pgMar w:left="1440" w:top="1035"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color w:val="auto"/>
        </w:rPr>
        <w:t>Exhibit 21.1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UBSIDIARIES OF</w:t>
      </w:r>
      <w:r>
        <w:rPr>
          <w:rFonts w:ascii="Arial" w:cs="Arial" w:eastAsia="Arial" w:hAnsi="Arial"/>
          <w:sz w:val="13"/>
          <w:szCs w:val="13"/>
          <w:color w:val="auto"/>
        </w:rPr>
        <w:t xml:space="preserve"> V</w:t>
      </w:r>
      <w:r>
        <w:rPr>
          <w:rFonts w:ascii="Arial" w:cs="Arial" w:eastAsia="Arial" w:hAnsi="Arial"/>
          <w:sz w:val="8"/>
          <w:szCs w:val="8"/>
          <w:color w:val="auto"/>
        </w:rPr>
        <w:t>IA</w:t>
      </w:r>
      <w:r>
        <w:rPr>
          <w:rFonts w:ascii="Arial" w:cs="Arial" w:eastAsia="Arial" w:hAnsi="Arial"/>
          <w:sz w:val="13"/>
          <w:szCs w:val="13"/>
          <w:color w:val="auto"/>
        </w:rPr>
        <w:t>S</w:t>
      </w:r>
      <w:r>
        <w:rPr>
          <w:rFonts w:ascii="Arial" w:cs="Arial" w:eastAsia="Arial" w:hAnsi="Arial"/>
          <w:sz w:val="8"/>
          <w:szCs w:val="8"/>
          <w:color w:val="auto"/>
        </w:rPr>
        <w:t>AT</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9"/>
          <w:szCs w:val="9"/>
          <w:color w:val="auto"/>
        </w:rPr>
        <w:t xml:space="preserve">AS OF </w:t>
      </w:r>
      <w:r>
        <w:rPr>
          <w:rFonts w:ascii="Arial" w:cs="Arial" w:eastAsia="Arial" w:hAnsi="Arial"/>
          <w:sz w:val="13"/>
          <w:szCs w:val="13"/>
          <w:color w:val="auto"/>
        </w:rPr>
        <w:t>A</w:t>
      </w:r>
      <w:r>
        <w:rPr>
          <w:rFonts w:ascii="Arial" w:cs="Arial" w:eastAsia="Arial" w:hAnsi="Arial"/>
          <w:sz w:val="9"/>
          <w:szCs w:val="9"/>
          <w:color w:val="auto"/>
        </w:rPr>
        <w:t xml:space="preserve">PRIL </w:t>
      </w:r>
      <w:r>
        <w:rPr>
          <w:rFonts w:ascii="Arial" w:cs="Arial" w:eastAsia="Arial" w:hAnsi="Arial"/>
          <w:sz w:val="13"/>
          <w:szCs w:val="13"/>
          <w:color w:val="auto"/>
        </w:rPr>
        <w:t>1, 2011</w:t>
      </w:r>
    </w:p>
    <w:p>
      <w:pPr>
        <w:spacing w:after="0" w:line="75" w:lineRule="exact"/>
        <w:rPr>
          <w:sz w:val="20"/>
          <w:szCs w:val="20"/>
          <w:color w:val="auto"/>
        </w:rPr>
      </w:pPr>
    </w:p>
    <w:p>
      <w:pPr>
        <w:ind w:left="281" w:right="8260" w:hanging="281"/>
        <w:spacing w:after="0" w:line="300" w:lineRule="auto"/>
        <w:tabs>
          <w:tab w:leader="none" w:pos="281" w:val="left"/>
        </w:tabs>
        <w:numPr>
          <w:ilvl w:val="0"/>
          <w:numId w:val="46"/>
        </w:numPr>
        <w:rPr>
          <w:rFonts w:ascii="Arial" w:cs="Arial" w:eastAsia="Arial" w:hAnsi="Arial"/>
          <w:sz w:val="12"/>
          <w:szCs w:val="12"/>
          <w:color w:val="auto"/>
        </w:rPr>
      </w:pPr>
      <w:r>
        <w:rPr>
          <w:rFonts w:ascii="Arial" w:cs="Arial" w:eastAsia="Arial" w:hAnsi="Arial"/>
          <w:sz w:val="12"/>
          <w:szCs w:val="12"/>
          <w:b w:val="1"/>
          <w:bCs w:val="1"/>
          <w:color w:val="auto"/>
        </w:rPr>
        <w:t xml:space="preserve">ViaSat Worldwide Limited, a Delaware corporation. </w:t>
      </w:r>
      <w:r>
        <w:rPr>
          <w:rFonts w:ascii="Arial" w:cs="Arial" w:eastAsia="Arial" w:hAnsi="Arial"/>
          <w:sz w:val="12"/>
          <w:szCs w:val="12"/>
          <w:color w:val="auto"/>
        </w:rPr>
        <w:t>Number of Shares issued: 1,000 shares common stock Sole Shareholder: ViaSat, Inc.</w:t>
      </w:r>
    </w:p>
    <w:p>
      <w:pPr>
        <w:spacing w:after="0" w:line="42" w:lineRule="exact"/>
        <w:rPr>
          <w:rFonts w:ascii="Arial" w:cs="Arial" w:eastAsia="Arial" w:hAnsi="Arial"/>
          <w:sz w:val="12"/>
          <w:szCs w:val="12"/>
          <w:color w:val="auto"/>
        </w:rPr>
      </w:pPr>
    </w:p>
    <w:p>
      <w:pPr>
        <w:ind w:left="281" w:right="8280" w:hanging="281"/>
        <w:spacing w:after="0" w:line="300" w:lineRule="auto"/>
        <w:tabs>
          <w:tab w:leader="none" w:pos="281" w:val="left"/>
        </w:tabs>
        <w:numPr>
          <w:ilvl w:val="0"/>
          <w:numId w:val="46"/>
        </w:numPr>
        <w:rPr>
          <w:rFonts w:ascii="Arial" w:cs="Arial" w:eastAsia="Arial" w:hAnsi="Arial"/>
          <w:sz w:val="12"/>
          <w:szCs w:val="12"/>
          <w:color w:val="auto"/>
        </w:rPr>
      </w:pPr>
      <w:r>
        <w:rPr>
          <w:rFonts w:ascii="Arial" w:cs="Arial" w:eastAsia="Arial" w:hAnsi="Arial"/>
          <w:sz w:val="12"/>
          <w:szCs w:val="12"/>
          <w:b w:val="1"/>
          <w:bCs w:val="1"/>
          <w:color w:val="auto"/>
        </w:rPr>
        <w:t xml:space="preserve">ViaSat China Services, Inc., a Delaware corporation </w:t>
      </w:r>
      <w:r>
        <w:rPr>
          <w:rFonts w:ascii="Arial" w:cs="Arial" w:eastAsia="Arial" w:hAnsi="Arial"/>
          <w:sz w:val="12"/>
          <w:szCs w:val="12"/>
          <w:color w:val="auto"/>
        </w:rPr>
        <w:t>Number of Shares issued: 1,000 shares common stock Sole Shareholder: ViaSat, Inc.</w:t>
      </w:r>
    </w:p>
    <w:p>
      <w:pPr>
        <w:spacing w:after="0" w:line="42" w:lineRule="exact"/>
        <w:rPr>
          <w:rFonts w:ascii="Arial" w:cs="Arial" w:eastAsia="Arial" w:hAnsi="Arial"/>
          <w:sz w:val="12"/>
          <w:szCs w:val="12"/>
          <w:color w:val="auto"/>
        </w:rPr>
      </w:pPr>
    </w:p>
    <w:p>
      <w:pPr>
        <w:ind w:left="281" w:right="8020" w:hanging="281"/>
        <w:spacing w:after="0" w:line="261" w:lineRule="auto"/>
        <w:tabs>
          <w:tab w:leader="none" w:pos="281"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ViaSat Europe S.r.L. an Italian limited liability company </w:t>
      </w:r>
      <w:r>
        <w:rPr>
          <w:rFonts w:ascii="Arial" w:cs="Arial" w:eastAsia="Arial" w:hAnsi="Arial"/>
          <w:sz w:val="13"/>
          <w:szCs w:val="13"/>
          <w:color w:val="auto"/>
        </w:rPr>
        <w:t>Number of Shares issued: 10,000 shares</w:t>
      </w:r>
    </w:p>
    <w:p>
      <w:pPr>
        <w:ind w:left="281"/>
        <w:spacing w:after="0"/>
        <w:rPr>
          <w:rFonts w:ascii="Arial" w:cs="Arial" w:eastAsia="Arial" w:hAnsi="Arial"/>
          <w:sz w:val="13"/>
          <w:szCs w:val="13"/>
          <w:color w:val="auto"/>
        </w:rPr>
      </w:pPr>
      <w:r>
        <w:rPr>
          <w:rFonts w:ascii="Arial" w:cs="Arial" w:eastAsia="Arial" w:hAnsi="Arial"/>
          <w:sz w:val="13"/>
          <w:szCs w:val="13"/>
          <w:color w:val="auto"/>
        </w:rPr>
        <w:t>ViaSat, Inc.: quota of Euro 9,900</w:t>
      </w:r>
    </w:p>
    <w:p>
      <w:pPr>
        <w:spacing w:after="0" w:line="7" w:lineRule="exact"/>
        <w:rPr>
          <w:rFonts w:ascii="Arial" w:cs="Arial" w:eastAsia="Arial" w:hAnsi="Arial"/>
          <w:sz w:val="13"/>
          <w:szCs w:val="13"/>
          <w:color w:val="auto"/>
        </w:rPr>
      </w:pPr>
    </w:p>
    <w:p>
      <w:pPr>
        <w:ind w:left="281"/>
        <w:spacing w:after="0"/>
        <w:rPr>
          <w:rFonts w:ascii="Arial" w:cs="Arial" w:eastAsia="Arial" w:hAnsi="Arial"/>
          <w:sz w:val="13"/>
          <w:szCs w:val="13"/>
          <w:color w:val="auto"/>
        </w:rPr>
      </w:pPr>
      <w:r>
        <w:rPr>
          <w:rFonts w:ascii="Arial" w:cs="Arial" w:eastAsia="Arial" w:hAnsi="Arial"/>
          <w:sz w:val="13"/>
          <w:szCs w:val="13"/>
          <w:color w:val="auto"/>
        </w:rPr>
        <w:t>ViaSat Worldwide Ltd.: quota of Euro100</w:t>
      </w:r>
    </w:p>
    <w:p>
      <w:pPr>
        <w:spacing w:after="0" w:line="84" w:lineRule="exact"/>
        <w:rPr>
          <w:rFonts w:ascii="Arial" w:cs="Arial" w:eastAsia="Arial" w:hAnsi="Arial"/>
          <w:sz w:val="13"/>
          <w:szCs w:val="13"/>
          <w:color w:val="auto"/>
        </w:rPr>
      </w:pPr>
    </w:p>
    <w:p>
      <w:pPr>
        <w:ind w:left="281" w:right="7960" w:hanging="281"/>
        <w:spacing w:after="0" w:line="283" w:lineRule="auto"/>
        <w:tabs>
          <w:tab w:leader="none" w:pos="281" w:val="left"/>
        </w:tabs>
        <w:numPr>
          <w:ilvl w:val="0"/>
          <w:numId w:val="46"/>
        </w:numPr>
        <w:rPr>
          <w:rFonts w:ascii="Arial" w:cs="Arial" w:eastAsia="Arial" w:hAnsi="Arial"/>
          <w:sz w:val="12"/>
          <w:szCs w:val="12"/>
          <w:color w:val="auto"/>
        </w:rPr>
      </w:pPr>
      <w:r>
        <w:rPr>
          <w:rFonts w:ascii="Arial" w:cs="Arial" w:eastAsia="Arial" w:hAnsi="Arial"/>
          <w:sz w:val="12"/>
          <w:szCs w:val="12"/>
          <w:b w:val="1"/>
          <w:bCs w:val="1"/>
          <w:color w:val="auto"/>
        </w:rPr>
        <w:t xml:space="preserve">ViaSat Australia PTY Limited, an Australian corporation </w:t>
      </w:r>
      <w:r>
        <w:rPr>
          <w:rFonts w:ascii="Arial" w:cs="Arial" w:eastAsia="Arial" w:hAnsi="Arial"/>
          <w:sz w:val="12"/>
          <w:szCs w:val="12"/>
          <w:color w:val="auto"/>
        </w:rPr>
        <w:t>Number of Shares issued: 1,000 Ordinary Shares</w:t>
      </w:r>
    </w:p>
    <w:p>
      <w:pPr>
        <w:ind w:left="281"/>
        <w:spacing w:after="0"/>
        <w:rPr>
          <w:rFonts w:ascii="Arial" w:cs="Arial" w:eastAsia="Arial" w:hAnsi="Arial"/>
          <w:sz w:val="12"/>
          <w:szCs w:val="12"/>
          <w:color w:val="auto"/>
        </w:rPr>
      </w:pPr>
      <w:r>
        <w:rPr>
          <w:rFonts w:ascii="Arial" w:cs="Arial" w:eastAsia="Arial" w:hAnsi="Arial"/>
          <w:sz w:val="13"/>
          <w:szCs w:val="13"/>
          <w:color w:val="auto"/>
        </w:rPr>
        <w:t>Sole Member/Shareholder: ViaSat, Inc.</w:t>
      </w:r>
    </w:p>
    <w:p>
      <w:pPr>
        <w:spacing w:after="0" w:line="84" w:lineRule="exact"/>
        <w:rPr>
          <w:rFonts w:ascii="Arial" w:cs="Arial" w:eastAsia="Arial" w:hAnsi="Arial"/>
          <w:sz w:val="12"/>
          <w:szCs w:val="12"/>
          <w:color w:val="auto"/>
        </w:rPr>
      </w:pPr>
    </w:p>
    <w:p>
      <w:pPr>
        <w:ind w:left="281" w:right="7940" w:hanging="281"/>
        <w:spacing w:after="0" w:line="261" w:lineRule="auto"/>
        <w:tabs>
          <w:tab w:leader="none" w:pos="281"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ViaSat India Pvt. Ltd., an Indian private limited company </w:t>
      </w:r>
      <w:r>
        <w:rPr>
          <w:rFonts w:ascii="Arial" w:cs="Arial" w:eastAsia="Arial" w:hAnsi="Arial"/>
          <w:sz w:val="13"/>
          <w:szCs w:val="13"/>
          <w:color w:val="auto"/>
        </w:rPr>
        <w:t>Number of Shares issued: 70 to ViaSat, Inc.</w:t>
      </w:r>
    </w:p>
    <w:p>
      <w:pPr>
        <w:ind w:left="841"/>
        <w:spacing w:after="0"/>
        <w:rPr>
          <w:rFonts w:ascii="Arial" w:cs="Arial" w:eastAsia="Arial" w:hAnsi="Arial"/>
          <w:sz w:val="13"/>
          <w:szCs w:val="13"/>
          <w:color w:val="auto"/>
        </w:rPr>
      </w:pPr>
      <w:r>
        <w:rPr>
          <w:rFonts w:ascii="Arial" w:cs="Arial" w:eastAsia="Arial" w:hAnsi="Arial"/>
          <w:sz w:val="13"/>
          <w:szCs w:val="13"/>
          <w:color w:val="auto"/>
        </w:rPr>
        <w:t>11,039 to ViaSat Worldwide Limited</w:t>
      </w:r>
    </w:p>
    <w:p>
      <w:pPr>
        <w:spacing w:after="0" w:line="84" w:lineRule="exact"/>
        <w:rPr>
          <w:rFonts w:ascii="Arial" w:cs="Arial" w:eastAsia="Arial" w:hAnsi="Arial"/>
          <w:sz w:val="13"/>
          <w:szCs w:val="13"/>
          <w:color w:val="auto"/>
        </w:rPr>
      </w:pPr>
    </w:p>
    <w:p>
      <w:pPr>
        <w:ind w:left="281" w:right="7260" w:hanging="281"/>
        <w:spacing w:after="0" w:line="261" w:lineRule="auto"/>
        <w:tabs>
          <w:tab w:leader="none" w:pos="281"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ViaSat Canada Company, a Nova Scotia Unlimited Liability Company </w:t>
      </w:r>
      <w:r>
        <w:rPr>
          <w:rFonts w:ascii="Arial" w:cs="Arial" w:eastAsia="Arial" w:hAnsi="Arial"/>
          <w:sz w:val="13"/>
          <w:szCs w:val="13"/>
          <w:color w:val="auto"/>
        </w:rPr>
        <w:t>Number of Shares issued: 100,000 shares</w:t>
      </w: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ViaSat, Inc.</w:t>
      </w:r>
    </w:p>
    <w:p>
      <w:pPr>
        <w:spacing w:after="0" w:line="84" w:lineRule="exact"/>
        <w:rPr>
          <w:rFonts w:ascii="Arial" w:cs="Arial" w:eastAsia="Arial" w:hAnsi="Arial"/>
          <w:sz w:val="13"/>
          <w:szCs w:val="13"/>
          <w:color w:val="auto"/>
        </w:rPr>
      </w:pPr>
    </w:p>
    <w:p>
      <w:pPr>
        <w:ind w:left="281" w:right="9040" w:hanging="281"/>
        <w:spacing w:after="0" w:line="300" w:lineRule="auto"/>
        <w:tabs>
          <w:tab w:leader="none" w:pos="281" w:val="left"/>
        </w:tabs>
        <w:numPr>
          <w:ilvl w:val="0"/>
          <w:numId w:val="46"/>
        </w:numPr>
        <w:rPr>
          <w:rFonts w:ascii="Arial" w:cs="Arial" w:eastAsia="Arial" w:hAnsi="Arial"/>
          <w:sz w:val="12"/>
          <w:szCs w:val="12"/>
          <w:color w:val="auto"/>
        </w:rPr>
      </w:pPr>
      <w:r>
        <w:rPr>
          <w:rFonts w:ascii="Arial" w:cs="Arial" w:eastAsia="Arial" w:hAnsi="Arial"/>
          <w:sz w:val="12"/>
          <w:szCs w:val="12"/>
          <w:b w:val="1"/>
          <w:bCs w:val="1"/>
          <w:color w:val="auto"/>
        </w:rPr>
        <w:t xml:space="preserve">JAST. S.A., a Swiss corporation </w:t>
      </w:r>
      <w:r>
        <w:rPr>
          <w:rFonts w:ascii="Arial" w:cs="Arial" w:eastAsia="Arial" w:hAnsi="Arial"/>
          <w:sz w:val="12"/>
          <w:szCs w:val="12"/>
          <w:color w:val="auto"/>
        </w:rPr>
        <w:t>Number of shares issued: 100,000 shares Sole Shareholder: ViaSat, Inc.</w:t>
      </w:r>
    </w:p>
    <w:p>
      <w:pPr>
        <w:spacing w:after="0" w:line="42" w:lineRule="exact"/>
        <w:rPr>
          <w:rFonts w:ascii="Arial" w:cs="Arial" w:eastAsia="Arial" w:hAnsi="Arial"/>
          <w:sz w:val="12"/>
          <w:szCs w:val="12"/>
          <w:color w:val="auto"/>
        </w:rPr>
      </w:pPr>
    </w:p>
    <w:p>
      <w:pPr>
        <w:ind w:left="281" w:right="8120" w:hanging="281"/>
        <w:spacing w:after="0" w:line="327" w:lineRule="auto"/>
        <w:tabs>
          <w:tab w:leader="none" w:pos="281" w:val="left"/>
        </w:tabs>
        <w:numPr>
          <w:ilvl w:val="0"/>
          <w:numId w:val="46"/>
        </w:numPr>
        <w:rPr>
          <w:rFonts w:ascii="Arial" w:cs="Arial" w:eastAsia="Arial" w:hAnsi="Arial"/>
          <w:sz w:val="12"/>
          <w:szCs w:val="12"/>
          <w:color w:val="auto"/>
        </w:rPr>
      </w:pPr>
      <w:r>
        <w:rPr>
          <w:rFonts w:ascii="Arial" w:cs="Arial" w:eastAsia="Arial" w:hAnsi="Arial"/>
          <w:sz w:val="12"/>
          <w:szCs w:val="12"/>
          <w:b w:val="1"/>
          <w:bCs w:val="1"/>
          <w:color w:val="auto"/>
        </w:rPr>
        <w:t xml:space="preserve">Softswitch, LLC., a Delaware limited liability company </w:t>
      </w:r>
      <w:r>
        <w:rPr>
          <w:rFonts w:ascii="Arial" w:cs="Arial" w:eastAsia="Arial" w:hAnsi="Arial"/>
          <w:sz w:val="12"/>
          <w:szCs w:val="12"/>
          <w:color w:val="auto"/>
        </w:rPr>
        <w:t>100% Member Interests owned by ViaSat, Inc.</w:t>
      </w:r>
    </w:p>
    <w:p>
      <w:pPr>
        <w:spacing w:after="0" w:line="26" w:lineRule="exact"/>
        <w:rPr>
          <w:rFonts w:ascii="Arial" w:cs="Arial" w:eastAsia="Arial" w:hAnsi="Arial"/>
          <w:sz w:val="12"/>
          <w:szCs w:val="12"/>
          <w:color w:val="auto"/>
        </w:rPr>
      </w:pPr>
    </w:p>
    <w:p>
      <w:pPr>
        <w:ind w:left="281" w:right="7340" w:hanging="281"/>
        <w:spacing w:after="0" w:line="283" w:lineRule="auto"/>
        <w:tabs>
          <w:tab w:leader="none" w:pos="281"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ViaSat Satellite Ventures, LLC, a Delaware limited liability company </w:t>
      </w:r>
      <w:r>
        <w:rPr>
          <w:rFonts w:ascii="Arial" w:cs="Arial" w:eastAsia="Arial" w:hAnsi="Arial"/>
          <w:sz w:val="13"/>
          <w:szCs w:val="13"/>
          <w:color w:val="auto"/>
        </w:rPr>
        <w:t>100% Member Interests owned by ViaSat, Inc.</w:t>
      </w:r>
    </w:p>
    <w:p>
      <w:pPr>
        <w:spacing w:after="0" w:line="50" w:lineRule="exact"/>
        <w:rPr>
          <w:rFonts w:ascii="Arial" w:cs="Arial" w:eastAsia="Arial" w:hAnsi="Arial"/>
          <w:sz w:val="13"/>
          <w:szCs w:val="13"/>
          <w:color w:val="auto"/>
        </w:rPr>
      </w:pPr>
    </w:p>
    <w:p>
      <w:pPr>
        <w:ind w:left="281" w:right="6260" w:hanging="281"/>
        <w:spacing w:after="0" w:line="261" w:lineRule="auto"/>
        <w:tabs>
          <w:tab w:leader="none" w:pos="281"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ViaSat Satellite Ventures Holdings Luxembourg S.a.r.l., a societe a responsabilite limitee </w:t>
      </w:r>
      <w:r>
        <w:rPr>
          <w:rFonts w:ascii="Arial" w:cs="Arial" w:eastAsia="Arial" w:hAnsi="Arial"/>
          <w:sz w:val="13"/>
          <w:szCs w:val="13"/>
          <w:color w:val="auto"/>
        </w:rPr>
        <w:t>Number of Shares issued: 50,000 shares</w:t>
      </w: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ViaSat, Inc.</w:t>
      </w:r>
    </w:p>
    <w:p>
      <w:pPr>
        <w:spacing w:after="0" w:line="85" w:lineRule="exact"/>
        <w:rPr>
          <w:sz w:val="20"/>
          <w:szCs w:val="20"/>
          <w:color w:val="auto"/>
        </w:rPr>
      </w:pPr>
    </w:p>
    <w:p>
      <w:pPr>
        <w:ind w:left="281" w:right="8700" w:hanging="281"/>
        <w:spacing w:after="0" w:line="283" w:lineRule="auto"/>
        <w:tabs>
          <w:tab w:leader="none" w:pos="281" w:val="left"/>
        </w:tabs>
        <w:numPr>
          <w:ilvl w:val="0"/>
          <w:numId w:val="47"/>
        </w:numPr>
        <w:rPr>
          <w:rFonts w:ascii="Arial" w:cs="Arial" w:eastAsia="Arial" w:hAnsi="Arial"/>
          <w:sz w:val="12"/>
          <w:szCs w:val="12"/>
          <w:color w:val="auto"/>
        </w:rPr>
      </w:pPr>
      <w:r>
        <w:rPr>
          <w:rFonts w:ascii="Arial" w:cs="Arial" w:eastAsia="Arial" w:hAnsi="Arial"/>
          <w:sz w:val="12"/>
          <w:szCs w:val="12"/>
          <w:b w:val="1"/>
          <w:bCs w:val="1"/>
          <w:color w:val="auto"/>
        </w:rPr>
        <w:t xml:space="preserve">ViaSat Credit Corp, a Delaware corporation </w:t>
      </w:r>
      <w:r>
        <w:rPr>
          <w:rFonts w:ascii="Arial" w:cs="Arial" w:eastAsia="Arial" w:hAnsi="Arial"/>
          <w:sz w:val="12"/>
          <w:szCs w:val="12"/>
          <w:color w:val="auto"/>
        </w:rPr>
        <w:t>Number of Shares issued: 1,000 shares</w:t>
      </w:r>
    </w:p>
    <w:p>
      <w:pPr>
        <w:ind w:left="281"/>
        <w:spacing w:after="0"/>
        <w:rPr>
          <w:rFonts w:ascii="Arial" w:cs="Arial" w:eastAsia="Arial" w:hAnsi="Arial"/>
          <w:sz w:val="12"/>
          <w:szCs w:val="12"/>
          <w:color w:val="auto"/>
        </w:rPr>
      </w:pPr>
      <w:r>
        <w:rPr>
          <w:rFonts w:ascii="Arial" w:cs="Arial" w:eastAsia="Arial" w:hAnsi="Arial"/>
          <w:sz w:val="13"/>
          <w:szCs w:val="13"/>
          <w:color w:val="auto"/>
        </w:rPr>
        <w:t>Sole Shareholder: ViaSat Satellite Ventures, LLC</w:t>
      </w:r>
    </w:p>
    <w:p>
      <w:pPr>
        <w:spacing w:after="0" w:line="85" w:lineRule="exact"/>
        <w:rPr>
          <w:sz w:val="20"/>
          <w:szCs w:val="20"/>
          <w:color w:val="auto"/>
        </w:rPr>
      </w:pPr>
    </w:p>
    <w:p>
      <w:pPr>
        <w:ind w:left="281" w:right="7740" w:hanging="281"/>
        <w:spacing w:after="0" w:line="378" w:lineRule="auto"/>
        <w:tabs>
          <w:tab w:leader="none" w:pos="281" w:val="left"/>
        </w:tabs>
        <w:numPr>
          <w:ilvl w:val="0"/>
          <w:numId w:val="48"/>
        </w:numPr>
        <w:rPr>
          <w:rFonts w:ascii="Arial" w:cs="Arial" w:eastAsia="Arial" w:hAnsi="Arial"/>
          <w:sz w:val="11"/>
          <w:szCs w:val="11"/>
          <w:color w:val="auto"/>
        </w:rPr>
      </w:pPr>
      <w:r>
        <w:rPr>
          <w:rFonts w:ascii="Arial" w:cs="Arial" w:eastAsia="Arial" w:hAnsi="Arial"/>
          <w:sz w:val="11"/>
          <w:szCs w:val="11"/>
          <w:b w:val="1"/>
          <w:bCs w:val="1"/>
          <w:color w:val="auto"/>
        </w:rPr>
        <w:t xml:space="preserve">VSV I Holdings, LLC, a Delaware limited liability company </w:t>
      </w:r>
      <w:r>
        <w:rPr>
          <w:rFonts w:ascii="Arial" w:cs="Arial" w:eastAsia="Arial" w:hAnsi="Arial"/>
          <w:sz w:val="11"/>
          <w:szCs w:val="11"/>
          <w:color w:val="auto"/>
        </w:rPr>
        <w:t>100% Member Interests owned by ViaSat Satellite Ventures, LLC</w:t>
      </w:r>
    </w:p>
    <w:p>
      <w:pPr>
        <w:spacing w:after="0" w:line="4" w:lineRule="exact"/>
        <w:rPr>
          <w:rFonts w:ascii="Arial" w:cs="Arial" w:eastAsia="Arial" w:hAnsi="Arial"/>
          <w:sz w:val="11"/>
          <w:szCs w:val="11"/>
          <w:color w:val="auto"/>
        </w:rPr>
      </w:pPr>
    </w:p>
    <w:p>
      <w:pPr>
        <w:ind w:left="281" w:right="7740" w:hanging="281"/>
        <w:spacing w:after="0" w:line="378" w:lineRule="auto"/>
        <w:tabs>
          <w:tab w:leader="none" w:pos="281" w:val="left"/>
        </w:tabs>
        <w:numPr>
          <w:ilvl w:val="0"/>
          <w:numId w:val="48"/>
        </w:numPr>
        <w:rPr>
          <w:rFonts w:ascii="Arial" w:cs="Arial" w:eastAsia="Arial" w:hAnsi="Arial"/>
          <w:sz w:val="11"/>
          <w:szCs w:val="11"/>
          <w:color w:val="auto"/>
        </w:rPr>
      </w:pPr>
      <w:r>
        <w:rPr>
          <w:rFonts w:ascii="Arial" w:cs="Arial" w:eastAsia="Arial" w:hAnsi="Arial"/>
          <w:sz w:val="11"/>
          <w:szCs w:val="11"/>
          <w:b w:val="1"/>
          <w:bCs w:val="1"/>
          <w:color w:val="auto"/>
        </w:rPr>
        <w:t xml:space="preserve">VSV II Holdings, LLC, a Delaware limited liability company </w:t>
      </w:r>
      <w:r>
        <w:rPr>
          <w:rFonts w:ascii="Arial" w:cs="Arial" w:eastAsia="Arial" w:hAnsi="Arial"/>
          <w:sz w:val="11"/>
          <w:szCs w:val="11"/>
          <w:color w:val="auto"/>
        </w:rPr>
        <w:t>100% Member Interests owned by ViaSat Satellite Ventures, LLC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31" w:right="219" w:bottom="1440" w:gutter="0" w:footer="0" w:header="0"/>
        </w:sectPr>
      </w:pPr>
    </w:p>
    <w:bookmarkStart w:id="119" w:name="page120"/>
    <w:bookmarkEnd w:id="119"/>
    <w:p>
      <w:pPr>
        <w:ind w:left="281" w:right="6159" w:hanging="281"/>
        <w:spacing w:after="0" w:line="261"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IOM Licensing Holding Company Limited, an Isle of Man company </w:t>
      </w:r>
      <w:r>
        <w:rPr>
          <w:rFonts w:ascii="Arial" w:cs="Arial" w:eastAsia="Arial" w:hAnsi="Arial"/>
          <w:sz w:val="13"/>
          <w:szCs w:val="13"/>
          <w:color w:val="auto"/>
        </w:rPr>
        <w:t>Number of Shares issued: 1 share</w:t>
      </w: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ViaSat, Inc.</w:t>
      </w:r>
    </w:p>
    <w:p>
      <w:pPr>
        <w:spacing w:after="0" w:line="84" w:lineRule="exact"/>
        <w:rPr>
          <w:rFonts w:ascii="Arial" w:cs="Arial" w:eastAsia="Arial" w:hAnsi="Arial"/>
          <w:sz w:val="13"/>
          <w:szCs w:val="13"/>
          <w:color w:val="auto"/>
        </w:rPr>
      </w:pPr>
    </w:p>
    <w:p>
      <w:pPr>
        <w:ind w:left="281" w:right="7299" w:hanging="281"/>
        <w:spacing w:after="0" w:line="261"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ViaSat (IOM) Limited, an Isle of Man company </w:t>
      </w:r>
      <w:r>
        <w:rPr>
          <w:rFonts w:ascii="Arial" w:cs="Arial" w:eastAsia="Arial" w:hAnsi="Arial"/>
          <w:sz w:val="13"/>
          <w:szCs w:val="13"/>
          <w:color w:val="auto"/>
        </w:rPr>
        <w:t>Number of Shares issued: 1 share</w:t>
      </w: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ViaSat, Inc.</w:t>
      </w:r>
    </w:p>
    <w:p>
      <w:pPr>
        <w:spacing w:after="0" w:line="84" w:lineRule="exact"/>
        <w:rPr>
          <w:rFonts w:ascii="Arial" w:cs="Arial" w:eastAsia="Arial" w:hAnsi="Arial"/>
          <w:sz w:val="13"/>
          <w:szCs w:val="13"/>
          <w:color w:val="auto"/>
        </w:rPr>
      </w:pPr>
    </w:p>
    <w:p>
      <w:pPr>
        <w:ind w:left="281" w:right="5099" w:hanging="281"/>
        <w:spacing w:after="0" w:line="261"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ViaSat Satellite Ventures Holdings France SAS, a French Societe par Actions simplifiee </w:t>
      </w:r>
      <w:r>
        <w:rPr>
          <w:rFonts w:ascii="Arial" w:cs="Arial" w:eastAsia="Arial" w:hAnsi="Arial"/>
          <w:sz w:val="13"/>
          <w:szCs w:val="13"/>
          <w:color w:val="auto"/>
        </w:rPr>
        <w:t>Number of Shares issued: 37,000 shares</w:t>
      </w: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ViaSat Satellite Holdings Luxembourg S.a.r.l.</w:t>
      </w:r>
    </w:p>
    <w:p>
      <w:pPr>
        <w:spacing w:after="0" w:line="84" w:lineRule="exact"/>
        <w:rPr>
          <w:rFonts w:ascii="Arial" w:cs="Arial" w:eastAsia="Arial" w:hAnsi="Arial"/>
          <w:sz w:val="13"/>
          <w:szCs w:val="13"/>
          <w:color w:val="auto"/>
        </w:rPr>
      </w:pPr>
    </w:p>
    <w:p>
      <w:pPr>
        <w:ind w:left="281" w:right="6739" w:hanging="281"/>
        <w:spacing w:after="0" w:line="327" w:lineRule="auto"/>
        <w:tabs>
          <w:tab w:leader="none" w:pos="281" w:val="left"/>
        </w:tabs>
        <w:numPr>
          <w:ilvl w:val="0"/>
          <w:numId w:val="49"/>
        </w:numPr>
        <w:rPr>
          <w:rFonts w:ascii="Arial" w:cs="Arial" w:eastAsia="Arial" w:hAnsi="Arial"/>
          <w:sz w:val="12"/>
          <w:szCs w:val="12"/>
          <w:color w:val="auto"/>
        </w:rPr>
      </w:pPr>
      <w:r>
        <w:rPr>
          <w:rFonts w:ascii="Arial" w:cs="Arial" w:eastAsia="Arial" w:hAnsi="Arial"/>
          <w:sz w:val="12"/>
          <w:szCs w:val="12"/>
          <w:b w:val="1"/>
          <w:bCs w:val="1"/>
          <w:color w:val="auto"/>
        </w:rPr>
        <w:t xml:space="preserve">ViaSat Credit, LLC, a Delaware limited liability company </w:t>
      </w:r>
      <w:r>
        <w:rPr>
          <w:rFonts w:ascii="Arial" w:cs="Arial" w:eastAsia="Arial" w:hAnsi="Arial"/>
          <w:sz w:val="12"/>
          <w:szCs w:val="12"/>
          <w:color w:val="auto"/>
        </w:rPr>
        <w:t>100% Member Interests owned by ViaSat Credit Corp.</w:t>
      </w:r>
    </w:p>
    <w:p>
      <w:pPr>
        <w:spacing w:after="0" w:line="26" w:lineRule="exact"/>
        <w:rPr>
          <w:rFonts w:ascii="Arial" w:cs="Arial" w:eastAsia="Arial" w:hAnsi="Arial"/>
          <w:sz w:val="12"/>
          <w:szCs w:val="12"/>
          <w:color w:val="auto"/>
        </w:rPr>
      </w:pPr>
    </w:p>
    <w:p>
      <w:pPr>
        <w:ind w:left="281" w:right="5779" w:hanging="281"/>
        <w:spacing w:after="0" w:line="283"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ViaSat Satellite Ventures U.S. I, LLC, a Delaware limited liability company </w:t>
      </w:r>
      <w:r>
        <w:rPr>
          <w:rFonts w:ascii="Arial" w:cs="Arial" w:eastAsia="Arial" w:hAnsi="Arial"/>
          <w:sz w:val="13"/>
          <w:szCs w:val="13"/>
          <w:color w:val="auto"/>
        </w:rPr>
        <w:t>100% Member Interests owned by VSV I Holdings, LLC.</w:t>
      </w:r>
    </w:p>
    <w:p>
      <w:pPr>
        <w:spacing w:after="0" w:line="50" w:lineRule="exact"/>
        <w:rPr>
          <w:rFonts w:ascii="Arial" w:cs="Arial" w:eastAsia="Arial" w:hAnsi="Arial"/>
          <w:sz w:val="13"/>
          <w:szCs w:val="13"/>
          <w:color w:val="auto"/>
        </w:rPr>
      </w:pPr>
    </w:p>
    <w:p>
      <w:pPr>
        <w:ind w:left="281" w:right="5699" w:hanging="281"/>
        <w:spacing w:after="0" w:line="283"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ViaSat Satellite Ventures, U.S. II, LLC, a Delaware limited liability company </w:t>
      </w:r>
      <w:r>
        <w:rPr>
          <w:rFonts w:ascii="Arial" w:cs="Arial" w:eastAsia="Arial" w:hAnsi="Arial"/>
          <w:sz w:val="13"/>
          <w:szCs w:val="13"/>
          <w:color w:val="auto"/>
        </w:rPr>
        <w:t>100% Member Interests owned by VSV II Holdings, LLC</w:t>
      </w:r>
    </w:p>
    <w:p>
      <w:pPr>
        <w:spacing w:after="0" w:line="50" w:lineRule="exact"/>
        <w:rPr>
          <w:rFonts w:ascii="Arial" w:cs="Arial" w:eastAsia="Arial" w:hAnsi="Arial"/>
          <w:sz w:val="13"/>
          <w:szCs w:val="13"/>
          <w:color w:val="auto"/>
        </w:rPr>
      </w:pPr>
    </w:p>
    <w:p>
      <w:pPr>
        <w:ind w:left="281" w:hanging="281"/>
        <w:spacing w:after="0"/>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ViaSat-1 Holdings, LLC, a Delaware limited liability company</w:t>
      </w:r>
    </w:p>
    <w:p>
      <w:pPr>
        <w:spacing w:after="0" w:line="19" w:lineRule="exact"/>
        <w:rPr>
          <w:rFonts w:ascii="Arial" w:cs="Arial" w:eastAsia="Arial" w:hAnsi="Arial"/>
          <w:sz w:val="13"/>
          <w:szCs w:val="13"/>
          <w:color w:val="auto"/>
        </w:rPr>
      </w:pPr>
    </w:p>
    <w:p>
      <w:pPr>
        <w:ind w:left="281"/>
        <w:spacing w:after="0"/>
        <w:rPr>
          <w:rFonts w:ascii="Arial" w:cs="Arial" w:eastAsia="Arial" w:hAnsi="Arial"/>
          <w:sz w:val="13"/>
          <w:szCs w:val="13"/>
          <w:color w:val="auto"/>
        </w:rPr>
      </w:pPr>
      <w:r>
        <w:rPr>
          <w:rFonts w:ascii="Arial" w:cs="Arial" w:eastAsia="Arial" w:hAnsi="Arial"/>
          <w:sz w:val="13"/>
          <w:szCs w:val="13"/>
          <w:color w:val="auto"/>
        </w:rPr>
        <w:t>100% Member Interests owned by ViaSat Satellite Ventures U.S. I, LLC</w:t>
      </w:r>
    </w:p>
    <w:p>
      <w:pPr>
        <w:spacing w:after="0" w:line="84" w:lineRule="exact"/>
        <w:rPr>
          <w:rFonts w:ascii="Arial" w:cs="Arial" w:eastAsia="Arial" w:hAnsi="Arial"/>
          <w:sz w:val="13"/>
          <w:szCs w:val="13"/>
          <w:color w:val="auto"/>
        </w:rPr>
      </w:pPr>
    </w:p>
    <w:p>
      <w:pPr>
        <w:ind w:left="281" w:right="6799" w:hanging="281"/>
        <w:spacing w:after="0" w:line="261"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ViaSat Peru S.R.L., a Peruvian limited liability company </w:t>
      </w:r>
      <w:r>
        <w:rPr>
          <w:rFonts w:ascii="Arial" w:cs="Arial" w:eastAsia="Arial" w:hAnsi="Arial"/>
          <w:sz w:val="13"/>
          <w:szCs w:val="13"/>
          <w:color w:val="auto"/>
        </w:rPr>
        <w:t>Number of Shares/Equity Quota issued: 100</w:t>
      </w:r>
    </w:p>
    <w:p>
      <w:pPr>
        <w:ind w:left="281"/>
        <w:spacing w:after="0"/>
        <w:rPr>
          <w:rFonts w:ascii="Arial" w:cs="Arial" w:eastAsia="Arial" w:hAnsi="Arial"/>
          <w:sz w:val="13"/>
          <w:szCs w:val="13"/>
          <w:color w:val="auto"/>
        </w:rPr>
      </w:pPr>
      <w:r>
        <w:rPr>
          <w:rFonts w:ascii="Arial" w:cs="Arial" w:eastAsia="Arial" w:hAnsi="Arial"/>
          <w:sz w:val="13"/>
          <w:szCs w:val="13"/>
          <w:color w:val="auto"/>
        </w:rPr>
        <w:t>ViaSat, Inc.: 1 equity quota</w:t>
      </w:r>
    </w:p>
    <w:p>
      <w:pPr>
        <w:spacing w:after="0" w:line="7" w:lineRule="exact"/>
        <w:rPr>
          <w:rFonts w:ascii="Arial" w:cs="Arial" w:eastAsia="Arial" w:hAnsi="Arial"/>
          <w:sz w:val="13"/>
          <w:szCs w:val="13"/>
          <w:color w:val="auto"/>
        </w:rPr>
      </w:pPr>
    </w:p>
    <w:p>
      <w:pPr>
        <w:ind w:left="281"/>
        <w:spacing w:after="0"/>
        <w:rPr>
          <w:rFonts w:ascii="Arial" w:cs="Arial" w:eastAsia="Arial" w:hAnsi="Arial"/>
          <w:sz w:val="13"/>
          <w:szCs w:val="13"/>
          <w:color w:val="auto"/>
        </w:rPr>
      </w:pPr>
      <w:r>
        <w:rPr>
          <w:rFonts w:ascii="Arial" w:cs="Arial" w:eastAsia="Arial" w:hAnsi="Arial"/>
          <w:sz w:val="13"/>
          <w:szCs w:val="13"/>
          <w:color w:val="auto"/>
        </w:rPr>
        <w:t>ViaSat Worldwide Ltd.: 99 equity quota</w:t>
      </w:r>
    </w:p>
    <w:p>
      <w:pPr>
        <w:spacing w:after="0" w:line="84" w:lineRule="exact"/>
        <w:rPr>
          <w:rFonts w:ascii="Arial" w:cs="Arial" w:eastAsia="Arial" w:hAnsi="Arial"/>
          <w:sz w:val="13"/>
          <w:szCs w:val="13"/>
          <w:color w:val="auto"/>
        </w:rPr>
      </w:pPr>
    </w:p>
    <w:p>
      <w:pPr>
        <w:ind w:left="281" w:right="6599" w:hanging="281"/>
        <w:spacing w:after="0" w:line="283"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ViaSat Stimulus, LLC, a Delaware limited liability company </w:t>
      </w:r>
      <w:r>
        <w:rPr>
          <w:rFonts w:ascii="Arial" w:cs="Arial" w:eastAsia="Arial" w:hAnsi="Arial"/>
          <w:sz w:val="13"/>
          <w:szCs w:val="13"/>
          <w:color w:val="auto"/>
        </w:rPr>
        <w:t>100% Member Interests owned by ViaSat, Inc</w:t>
      </w:r>
    </w:p>
    <w:p>
      <w:pPr>
        <w:spacing w:after="0" w:line="50" w:lineRule="exact"/>
        <w:rPr>
          <w:rFonts w:ascii="Arial" w:cs="Arial" w:eastAsia="Arial" w:hAnsi="Arial"/>
          <w:sz w:val="13"/>
          <w:szCs w:val="13"/>
          <w:color w:val="auto"/>
        </w:rPr>
      </w:pPr>
    </w:p>
    <w:p>
      <w:pPr>
        <w:ind w:left="281" w:right="6579" w:hanging="281"/>
        <w:spacing w:after="0" w:line="261"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ViaSat, Inc. Limitada, a Chilean limited liability partnership </w:t>
      </w:r>
      <w:r>
        <w:rPr>
          <w:rFonts w:ascii="Arial" w:cs="Arial" w:eastAsia="Arial" w:hAnsi="Arial"/>
          <w:sz w:val="13"/>
          <w:szCs w:val="13"/>
          <w:color w:val="auto"/>
        </w:rPr>
        <w:t>99.01% interests owned by ViaSat, Inc.</w:t>
      </w:r>
    </w:p>
    <w:p>
      <w:pPr>
        <w:ind w:left="301"/>
        <w:spacing w:after="0"/>
        <w:rPr>
          <w:rFonts w:ascii="Arial" w:cs="Arial" w:eastAsia="Arial" w:hAnsi="Arial"/>
          <w:sz w:val="13"/>
          <w:szCs w:val="13"/>
          <w:color w:val="auto"/>
        </w:rPr>
      </w:pPr>
      <w:r>
        <w:rPr>
          <w:rFonts w:ascii="Arial" w:cs="Arial" w:eastAsia="Arial" w:hAnsi="Arial"/>
          <w:sz w:val="13"/>
          <w:szCs w:val="13"/>
          <w:color w:val="auto"/>
        </w:rPr>
        <w:t>.99% interests owned by ViaSat Worldwide Ltd.</w:t>
      </w:r>
    </w:p>
    <w:p>
      <w:pPr>
        <w:spacing w:after="0" w:line="84" w:lineRule="exact"/>
        <w:rPr>
          <w:rFonts w:ascii="Arial" w:cs="Arial" w:eastAsia="Arial" w:hAnsi="Arial"/>
          <w:sz w:val="13"/>
          <w:szCs w:val="13"/>
          <w:color w:val="auto"/>
        </w:rPr>
      </w:pPr>
    </w:p>
    <w:p>
      <w:pPr>
        <w:ind w:left="281" w:right="6899" w:hanging="281"/>
        <w:spacing w:after="0" w:line="309" w:lineRule="auto"/>
        <w:tabs>
          <w:tab w:leader="none" w:pos="281" w:val="left"/>
        </w:tabs>
        <w:numPr>
          <w:ilvl w:val="0"/>
          <w:numId w:val="49"/>
        </w:numPr>
        <w:rPr>
          <w:rFonts w:ascii="Arial" w:cs="Arial" w:eastAsia="Arial" w:hAnsi="Arial"/>
          <w:sz w:val="11"/>
          <w:szCs w:val="11"/>
          <w:color w:val="auto"/>
        </w:rPr>
      </w:pPr>
      <w:r>
        <w:rPr>
          <w:rFonts w:ascii="Arial" w:cs="Arial" w:eastAsia="Arial" w:hAnsi="Arial"/>
          <w:sz w:val="11"/>
          <w:szCs w:val="11"/>
          <w:b w:val="1"/>
          <w:bCs w:val="1"/>
          <w:color w:val="auto"/>
        </w:rPr>
        <w:t xml:space="preserve">TrellisWare Technologies, Inc., a Delaware corporation </w:t>
      </w:r>
      <w:r>
        <w:rPr>
          <w:rFonts w:ascii="Arial" w:cs="Arial" w:eastAsia="Arial" w:hAnsi="Arial"/>
          <w:sz w:val="11"/>
          <w:szCs w:val="11"/>
          <w:color w:val="auto"/>
        </w:rPr>
        <w:t>Number of Shares issued: 14,737,176 shares</w:t>
      </w:r>
    </w:p>
    <w:p>
      <w:pPr>
        <w:ind w:left="281"/>
        <w:spacing w:after="0"/>
        <w:rPr>
          <w:rFonts w:ascii="Arial" w:cs="Arial" w:eastAsia="Arial" w:hAnsi="Arial"/>
          <w:sz w:val="11"/>
          <w:szCs w:val="11"/>
          <w:color w:val="auto"/>
        </w:rPr>
      </w:pPr>
      <w:r>
        <w:rPr>
          <w:rFonts w:ascii="Arial" w:cs="Arial" w:eastAsia="Arial" w:hAnsi="Arial"/>
          <w:sz w:val="13"/>
          <w:szCs w:val="13"/>
          <w:color w:val="auto"/>
        </w:rPr>
        <w:t>54% owned by ViaSat, Inc.</w:t>
      </w:r>
    </w:p>
    <w:p>
      <w:pPr>
        <w:spacing w:after="0" w:line="84" w:lineRule="exact"/>
        <w:rPr>
          <w:rFonts w:ascii="Arial" w:cs="Arial" w:eastAsia="Arial" w:hAnsi="Arial"/>
          <w:sz w:val="11"/>
          <w:szCs w:val="11"/>
          <w:color w:val="auto"/>
        </w:rPr>
      </w:pPr>
    </w:p>
    <w:p>
      <w:pPr>
        <w:ind w:left="281" w:right="5019" w:hanging="281"/>
        <w:spacing w:after="0" w:line="261"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WildBlue Communications, LLC a Delaware limited liability company </w:t>
      </w:r>
      <w:r>
        <w:rPr>
          <w:rFonts w:ascii="Arial" w:cs="Arial" w:eastAsia="Arial" w:hAnsi="Arial"/>
          <w:sz w:val="13"/>
          <w:szCs w:val="13"/>
          <w:color w:val="auto"/>
        </w:rPr>
        <w:t>(formerly Satellite</w:t>
      </w:r>
      <w:r>
        <w:rPr>
          <w:rFonts w:ascii="Arial" w:cs="Arial" w:eastAsia="Arial" w:hAnsi="Arial"/>
          <w:sz w:val="13"/>
          <w:szCs w:val="13"/>
          <w:b w:val="1"/>
          <w:bCs w:val="1"/>
          <w:color w:val="auto"/>
        </w:rPr>
        <w:t xml:space="preserve"> </w:t>
      </w:r>
      <w:r>
        <w:rPr>
          <w:rFonts w:ascii="Arial" w:cs="Arial" w:eastAsia="Arial" w:hAnsi="Arial"/>
          <w:sz w:val="13"/>
          <w:szCs w:val="13"/>
          <w:color w:val="auto"/>
        </w:rPr>
        <w:t>Broadband ARRA Application, LLC, a Delaware limited liability company)</w:t>
      </w:r>
    </w:p>
    <w:p>
      <w:pPr>
        <w:ind w:left="281"/>
        <w:spacing w:after="0"/>
        <w:rPr>
          <w:rFonts w:ascii="Arial" w:cs="Arial" w:eastAsia="Arial" w:hAnsi="Arial"/>
          <w:sz w:val="13"/>
          <w:szCs w:val="13"/>
          <w:color w:val="auto"/>
        </w:rPr>
      </w:pPr>
      <w:r>
        <w:rPr>
          <w:rFonts w:ascii="Arial" w:cs="Arial" w:eastAsia="Arial" w:hAnsi="Arial"/>
          <w:sz w:val="13"/>
          <w:szCs w:val="13"/>
          <w:color w:val="auto"/>
        </w:rPr>
        <w:t>100% Member Interests owned by WildBlue Communications, Inc.</w:t>
      </w:r>
    </w:p>
    <w:p>
      <w:pPr>
        <w:spacing w:after="0" w:line="84" w:lineRule="exact"/>
        <w:rPr>
          <w:rFonts w:ascii="Arial" w:cs="Arial" w:eastAsia="Arial" w:hAnsi="Arial"/>
          <w:sz w:val="13"/>
          <w:szCs w:val="13"/>
          <w:color w:val="auto"/>
        </w:rPr>
      </w:pPr>
    </w:p>
    <w:p>
      <w:pPr>
        <w:ind w:left="281" w:right="7279" w:hanging="281"/>
        <w:spacing w:after="0" w:line="283" w:lineRule="auto"/>
        <w:tabs>
          <w:tab w:leader="none" w:pos="281" w:val="left"/>
        </w:tabs>
        <w:numPr>
          <w:ilvl w:val="0"/>
          <w:numId w:val="49"/>
        </w:numPr>
        <w:rPr>
          <w:rFonts w:ascii="Arial" w:cs="Arial" w:eastAsia="Arial" w:hAnsi="Arial"/>
          <w:sz w:val="12"/>
          <w:szCs w:val="12"/>
          <w:color w:val="auto"/>
        </w:rPr>
      </w:pPr>
      <w:r>
        <w:rPr>
          <w:rFonts w:ascii="Arial" w:cs="Arial" w:eastAsia="Arial" w:hAnsi="Arial"/>
          <w:sz w:val="12"/>
          <w:szCs w:val="12"/>
          <w:b w:val="1"/>
          <w:bCs w:val="1"/>
          <w:color w:val="auto"/>
        </w:rPr>
        <w:t xml:space="preserve">WildBlue Holding, Inc., a Delaware corporation </w:t>
      </w:r>
      <w:r>
        <w:rPr>
          <w:rFonts w:ascii="Arial" w:cs="Arial" w:eastAsia="Arial" w:hAnsi="Arial"/>
          <w:sz w:val="12"/>
          <w:szCs w:val="12"/>
          <w:color w:val="auto"/>
        </w:rPr>
        <w:t>Number of Shares issued: 1,000 shares</w:t>
      </w:r>
    </w:p>
    <w:p>
      <w:pPr>
        <w:ind w:left="281"/>
        <w:spacing w:after="0"/>
        <w:rPr>
          <w:rFonts w:ascii="Arial" w:cs="Arial" w:eastAsia="Arial" w:hAnsi="Arial"/>
          <w:sz w:val="12"/>
          <w:szCs w:val="12"/>
          <w:color w:val="auto"/>
        </w:rPr>
      </w:pPr>
      <w:r>
        <w:rPr>
          <w:rFonts w:ascii="Arial" w:cs="Arial" w:eastAsia="Arial" w:hAnsi="Arial"/>
          <w:sz w:val="13"/>
          <w:szCs w:val="13"/>
          <w:color w:val="auto"/>
        </w:rPr>
        <w:t>Sole Shareholder: ViaSat, Inc.</w:t>
      </w:r>
    </w:p>
    <w:p>
      <w:pPr>
        <w:spacing w:after="0" w:line="84" w:lineRule="exact"/>
        <w:rPr>
          <w:rFonts w:ascii="Arial" w:cs="Arial" w:eastAsia="Arial" w:hAnsi="Arial"/>
          <w:sz w:val="12"/>
          <w:szCs w:val="12"/>
          <w:color w:val="auto"/>
        </w:rPr>
      </w:pPr>
    </w:p>
    <w:p>
      <w:pPr>
        <w:ind w:left="281" w:right="6779" w:hanging="281"/>
        <w:spacing w:after="0" w:line="261" w:lineRule="auto"/>
        <w:tabs>
          <w:tab w:leader="none" w:pos="28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WildBlue Communications, Inc., a Delaware corporation </w:t>
      </w:r>
      <w:r>
        <w:rPr>
          <w:rFonts w:ascii="Arial" w:cs="Arial" w:eastAsia="Arial" w:hAnsi="Arial"/>
          <w:sz w:val="13"/>
          <w:szCs w:val="13"/>
          <w:color w:val="auto"/>
        </w:rPr>
        <w:t>Number of Shares issued: 1,000 shares</w:t>
      </w: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WildBlue Holding, Inc.</w:t>
      </w:r>
    </w:p>
    <w:p>
      <w:pPr>
        <w:spacing w:after="0" w:line="84" w:lineRule="exact"/>
        <w:rPr>
          <w:rFonts w:ascii="Arial" w:cs="Arial" w:eastAsia="Arial" w:hAnsi="Arial"/>
          <w:sz w:val="13"/>
          <w:szCs w:val="13"/>
          <w:color w:val="auto"/>
        </w:rPr>
      </w:pPr>
    </w:p>
    <w:p>
      <w:pPr>
        <w:ind w:left="281" w:right="7779" w:hanging="281"/>
        <w:spacing w:after="0" w:line="283" w:lineRule="auto"/>
        <w:tabs>
          <w:tab w:leader="none" w:pos="281" w:val="left"/>
        </w:tabs>
        <w:numPr>
          <w:ilvl w:val="0"/>
          <w:numId w:val="49"/>
        </w:numPr>
        <w:rPr>
          <w:rFonts w:ascii="Arial" w:cs="Arial" w:eastAsia="Arial" w:hAnsi="Arial"/>
          <w:sz w:val="12"/>
          <w:szCs w:val="12"/>
          <w:color w:val="auto"/>
        </w:rPr>
      </w:pPr>
      <w:r>
        <w:rPr>
          <w:rFonts w:ascii="Arial" w:cs="Arial" w:eastAsia="Arial" w:hAnsi="Arial"/>
          <w:sz w:val="12"/>
          <w:szCs w:val="12"/>
          <w:b w:val="1"/>
          <w:bCs w:val="1"/>
          <w:color w:val="auto"/>
        </w:rPr>
        <w:t xml:space="preserve">WB Holdings 1 LLC., a Colorado LLC </w:t>
      </w:r>
      <w:r>
        <w:rPr>
          <w:rFonts w:ascii="Arial" w:cs="Arial" w:eastAsia="Arial" w:hAnsi="Arial"/>
          <w:sz w:val="12"/>
          <w:szCs w:val="12"/>
          <w:color w:val="auto"/>
        </w:rPr>
        <w:t>100 Member Interests Certificated</w:t>
      </w:r>
    </w:p>
    <w:p>
      <w:pPr>
        <w:ind w:left="281"/>
        <w:spacing w:after="0"/>
        <w:rPr>
          <w:rFonts w:ascii="Arial" w:cs="Arial" w:eastAsia="Arial" w:hAnsi="Arial"/>
          <w:sz w:val="12"/>
          <w:szCs w:val="12"/>
          <w:color w:val="auto"/>
        </w:rPr>
      </w:pPr>
      <w:r>
        <w:rPr>
          <w:rFonts w:ascii="Arial" w:cs="Arial" w:eastAsia="Arial" w:hAnsi="Arial"/>
          <w:sz w:val="13"/>
          <w:szCs w:val="13"/>
          <w:color w:val="auto"/>
        </w:rPr>
        <w:t>Sole Member/Shareholder: WildBlue Communications, Inc.</w:t>
      </w:r>
    </w:p>
    <w:p>
      <w:pPr>
        <w:spacing w:after="0" w:line="138"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16" w:right="1440" w:bottom="1440" w:gutter="0" w:footer="0" w:header="0"/>
        </w:sectPr>
      </w:pPr>
    </w:p>
    <w:bookmarkStart w:id="120" w:name="page121"/>
    <w:bookmarkEnd w:id="120"/>
    <w:p>
      <w:pPr>
        <w:ind w:left="281" w:right="5219" w:hanging="281"/>
        <w:spacing w:after="0" w:line="261" w:lineRule="auto"/>
        <w:tabs>
          <w:tab w:leader="none" w:pos="281" w:val="left"/>
        </w:tabs>
        <w:numPr>
          <w:ilvl w:val="0"/>
          <w:numId w:val="50"/>
        </w:numPr>
        <w:rPr>
          <w:rFonts w:ascii="Arial" w:cs="Arial" w:eastAsia="Arial" w:hAnsi="Arial"/>
          <w:sz w:val="13"/>
          <w:szCs w:val="13"/>
          <w:color w:val="auto"/>
        </w:rPr>
      </w:pPr>
      <w:r>
        <w:rPr>
          <w:rFonts w:ascii="Arial" w:cs="Arial" w:eastAsia="Arial" w:hAnsi="Arial"/>
          <w:sz w:val="13"/>
          <w:szCs w:val="13"/>
          <w:b w:val="1"/>
          <w:bCs w:val="1"/>
          <w:color w:val="auto"/>
        </w:rPr>
        <w:t xml:space="preserve">WildBlue Communications Canada Corp., a Nova Scotia unlimited liability company </w:t>
      </w:r>
      <w:r>
        <w:rPr>
          <w:rFonts w:ascii="Arial" w:cs="Arial" w:eastAsia="Arial" w:hAnsi="Arial"/>
          <w:sz w:val="13"/>
          <w:szCs w:val="13"/>
          <w:color w:val="auto"/>
        </w:rPr>
        <w:t>Number of Shares issued: 100 shares</w:t>
      </w: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WildBlue Communications, Inc.</w:t>
      </w:r>
    </w:p>
    <w:p>
      <w:pPr>
        <w:spacing w:after="0" w:line="84" w:lineRule="exact"/>
        <w:rPr>
          <w:rFonts w:ascii="Arial" w:cs="Arial" w:eastAsia="Arial" w:hAnsi="Arial"/>
          <w:sz w:val="13"/>
          <w:szCs w:val="13"/>
          <w:color w:val="auto"/>
        </w:rPr>
      </w:pPr>
    </w:p>
    <w:p>
      <w:pPr>
        <w:ind w:left="281" w:right="6159" w:hanging="281"/>
        <w:spacing w:after="0" w:line="258" w:lineRule="auto"/>
        <w:tabs>
          <w:tab w:leader="none" w:pos="281" w:val="left"/>
        </w:tabs>
        <w:numPr>
          <w:ilvl w:val="0"/>
          <w:numId w:val="50"/>
        </w:numPr>
        <w:rPr>
          <w:rFonts w:ascii="Arial" w:cs="Arial" w:eastAsia="Arial" w:hAnsi="Arial"/>
          <w:sz w:val="13"/>
          <w:szCs w:val="13"/>
          <w:color w:val="auto"/>
        </w:rPr>
      </w:pPr>
      <w:r>
        <w:rPr>
          <w:rFonts w:ascii="Arial" w:cs="Arial" w:eastAsia="Arial" w:hAnsi="Arial"/>
          <w:sz w:val="13"/>
          <w:szCs w:val="13"/>
          <w:b w:val="1"/>
          <w:bCs w:val="1"/>
          <w:color w:val="auto"/>
        </w:rPr>
        <w:t xml:space="preserve">ViaSat Satellite Holdings Limited, a UK private limited company </w:t>
      </w:r>
      <w:r>
        <w:rPr>
          <w:rFonts w:ascii="Arial" w:cs="Arial" w:eastAsia="Arial" w:hAnsi="Arial"/>
          <w:sz w:val="13"/>
          <w:szCs w:val="13"/>
          <w:color w:val="auto"/>
        </w:rPr>
        <w:t>(formerly Stonewood Sapphire Limited, a UK private limited company.) Number of Shares issued: 69,140 shares</w:t>
      </w:r>
    </w:p>
    <w:p>
      <w:pPr>
        <w:spacing w:after="0" w:line="1" w:lineRule="exact"/>
        <w:rPr>
          <w:rFonts w:ascii="Arial" w:cs="Arial" w:eastAsia="Arial" w:hAnsi="Arial"/>
          <w:sz w:val="13"/>
          <w:szCs w:val="13"/>
          <w:color w:val="auto"/>
        </w:rPr>
      </w:pP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ViaSat, Inc.</w:t>
      </w:r>
    </w:p>
    <w:p>
      <w:pPr>
        <w:spacing w:after="0" w:line="84" w:lineRule="exact"/>
        <w:rPr>
          <w:rFonts w:ascii="Arial" w:cs="Arial" w:eastAsia="Arial" w:hAnsi="Arial"/>
          <w:sz w:val="13"/>
          <w:szCs w:val="13"/>
          <w:color w:val="auto"/>
        </w:rPr>
      </w:pPr>
    </w:p>
    <w:p>
      <w:pPr>
        <w:ind w:left="281" w:right="6719" w:hanging="281"/>
        <w:spacing w:after="0" w:line="261" w:lineRule="auto"/>
        <w:tabs>
          <w:tab w:leader="none" w:pos="281" w:val="left"/>
        </w:tabs>
        <w:numPr>
          <w:ilvl w:val="0"/>
          <w:numId w:val="50"/>
        </w:numPr>
        <w:rPr>
          <w:rFonts w:ascii="Arial" w:cs="Arial" w:eastAsia="Arial" w:hAnsi="Arial"/>
          <w:sz w:val="13"/>
          <w:szCs w:val="13"/>
          <w:color w:val="auto"/>
        </w:rPr>
      </w:pPr>
      <w:r>
        <w:rPr>
          <w:rFonts w:ascii="Arial" w:cs="Arial" w:eastAsia="Arial" w:hAnsi="Arial"/>
          <w:sz w:val="13"/>
          <w:szCs w:val="13"/>
          <w:b w:val="1"/>
          <w:bCs w:val="1"/>
          <w:color w:val="auto"/>
        </w:rPr>
        <w:t xml:space="preserve">Stonewood Group Limited, a UK private limited company </w:t>
      </w:r>
      <w:r>
        <w:rPr>
          <w:rFonts w:ascii="Arial" w:cs="Arial" w:eastAsia="Arial" w:hAnsi="Arial"/>
          <w:sz w:val="13"/>
          <w:szCs w:val="13"/>
          <w:color w:val="auto"/>
        </w:rPr>
        <w:t>Number of Shares issued: 59,690</w:t>
      </w:r>
    </w:p>
    <w:p>
      <w:pPr>
        <w:ind w:left="281"/>
        <w:spacing w:after="0"/>
        <w:rPr>
          <w:rFonts w:ascii="Arial" w:cs="Arial" w:eastAsia="Arial" w:hAnsi="Arial"/>
          <w:sz w:val="13"/>
          <w:szCs w:val="13"/>
          <w:color w:val="auto"/>
        </w:rPr>
      </w:pPr>
      <w:r>
        <w:rPr>
          <w:rFonts w:ascii="Arial" w:cs="Arial" w:eastAsia="Arial" w:hAnsi="Arial"/>
          <w:sz w:val="13"/>
          <w:szCs w:val="13"/>
          <w:color w:val="auto"/>
        </w:rPr>
        <w:t>Sole Shareholder: ViaSat Satellite Holdings Limited, a UK private limited company</w:t>
      </w:r>
    </w:p>
    <w:p>
      <w:pPr>
        <w:spacing w:after="0" w:line="84" w:lineRule="exact"/>
        <w:rPr>
          <w:rFonts w:ascii="Arial" w:cs="Arial" w:eastAsia="Arial" w:hAnsi="Arial"/>
          <w:sz w:val="13"/>
          <w:szCs w:val="13"/>
          <w:color w:val="auto"/>
        </w:rPr>
      </w:pPr>
    </w:p>
    <w:p>
      <w:pPr>
        <w:ind w:left="281" w:right="5919" w:hanging="281"/>
        <w:spacing w:after="0" w:line="283" w:lineRule="auto"/>
        <w:tabs>
          <w:tab w:leader="none" w:pos="281" w:val="left"/>
        </w:tabs>
        <w:numPr>
          <w:ilvl w:val="0"/>
          <w:numId w:val="50"/>
        </w:numPr>
        <w:rPr>
          <w:rFonts w:ascii="Arial" w:cs="Arial" w:eastAsia="Arial" w:hAnsi="Arial"/>
          <w:sz w:val="12"/>
          <w:szCs w:val="12"/>
          <w:color w:val="auto"/>
        </w:rPr>
      </w:pPr>
      <w:r>
        <w:rPr>
          <w:rFonts w:ascii="Arial" w:cs="Arial" w:eastAsia="Arial" w:hAnsi="Arial"/>
          <w:sz w:val="12"/>
          <w:szCs w:val="12"/>
          <w:b w:val="1"/>
          <w:bCs w:val="1"/>
          <w:color w:val="auto"/>
        </w:rPr>
        <w:t xml:space="preserve">Echoblue Rural Broadband, LLC., a Delaware limited liability company </w:t>
      </w:r>
      <w:r>
        <w:rPr>
          <w:rFonts w:ascii="Arial" w:cs="Arial" w:eastAsia="Arial" w:hAnsi="Arial"/>
          <w:sz w:val="12"/>
          <w:szCs w:val="12"/>
          <w:color w:val="auto"/>
        </w:rPr>
        <w:t>50% Member Interests owned by WildBlue Communications, Inc.</w:t>
      </w:r>
    </w:p>
    <w:p>
      <w:pPr>
        <w:ind w:left="281"/>
        <w:spacing w:after="0"/>
        <w:rPr>
          <w:rFonts w:ascii="Arial" w:cs="Arial" w:eastAsia="Arial" w:hAnsi="Arial"/>
          <w:sz w:val="12"/>
          <w:szCs w:val="12"/>
          <w:color w:val="auto"/>
        </w:rPr>
      </w:pPr>
      <w:r>
        <w:rPr>
          <w:rFonts w:ascii="Arial" w:cs="Arial" w:eastAsia="Arial" w:hAnsi="Arial"/>
          <w:sz w:val="13"/>
          <w:szCs w:val="13"/>
          <w:color w:val="auto"/>
        </w:rPr>
        <w:t>50% Member Interests owned by EchoStar Broadband II LLC., a Colorado LLC</w:t>
      </w:r>
    </w:p>
    <w:p>
      <w:pPr>
        <w:spacing w:after="0" w:line="138"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41"/>
          </w:cols>
          <w:pgMar w:left="219" w:top="716"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jc w:val="both"/>
        <w:ind w:right="120"/>
        <w:spacing w:after="0" w:line="296" w:lineRule="auto"/>
        <w:rPr>
          <w:sz w:val="20"/>
          <w:szCs w:val="20"/>
          <w:color w:val="auto"/>
        </w:rPr>
      </w:pPr>
      <w:r>
        <w:rPr>
          <w:rFonts w:ascii="Arial" w:cs="Arial" w:eastAsia="Arial" w:hAnsi="Arial"/>
          <w:sz w:val="12"/>
          <w:szCs w:val="12"/>
          <w:color w:val="auto"/>
        </w:rPr>
        <w:t>We hereby consent to the incorporation by reference in the Registration Statements on Form S-3 (File Nos. 333-143425, 333-85522, 333-74276, 333-135652, 333-141238, 333-165606, and 333-164556) and Form S-8 (File Nos. 333-21113, 333-68757, 333-40396, 333-67010, 333-82340, 333-109959, 333-131377, 333-131382, 333-153828, 333-159708, 333-160361, 333-167379, and 333-169593) of ViaSat, Inc. of our report dated May 26, 2011 relating to the financial statements, financial statement schedule and the effectiveness of internal control over financial reporting, which appears in this Form 10-K.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26, 2011</w:t>
      </w:r>
    </w:p>
    <w:p>
      <w:pPr>
        <w:sectPr>
          <w:pgSz w:w="11900" w:h="16838" w:orient="portrait"/>
          <w:cols w:equalWidth="0" w:num="1">
            <w:col w:w="11460"/>
          </w:cols>
          <w:pgMar w:left="220" w:top="131"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Mark D. Dankberg, Chief Executive Officer of ViaSat, Inc., certify that:</w:t>
      </w:r>
    </w:p>
    <w:p>
      <w:pPr>
        <w:spacing w:after="0" w:line="86" w:lineRule="exact"/>
        <w:rPr>
          <w:sz w:val="20"/>
          <w:szCs w:val="20"/>
          <w:color w:val="auto"/>
        </w:rPr>
      </w:pPr>
    </w:p>
    <w:p>
      <w:pPr>
        <w:ind w:left="461" w:hanging="461"/>
        <w:spacing w:after="0"/>
        <w:tabs>
          <w:tab w:leader="none" w:pos="461" w:val="left"/>
        </w:tabs>
        <w:numPr>
          <w:ilvl w:val="0"/>
          <w:numId w:val="5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ViaSat, Inc.;</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80" w:hanging="461"/>
        <w:spacing w:after="0" w:line="276" w:lineRule="auto"/>
        <w:tabs>
          <w:tab w:leader="none" w:pos="461"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1" w:right="180" w:hanging="447"/>
        <w:spacing w:after="0" w:line="320" w:lineRule="auto"/>
        <w:tabs>
          <w:tab w:leader="none" w:pos="1361"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1" w:right="40" w:hanging="447"/>
        <w:spacing w:after="0" w:line="320" w:lineRule="auto"/>
        <w:tabs>
          <w:tab w:leader="none" w:pos="1361"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1" w:right="100" w:hanging="447"/>
        <w:spacing w:after="0" w:line="276" w:lineRule="auto"/>
        <w:tabs>
          <w:tab w:leader="none" w:pos="1361" w:val="left"/>
        </w:tabs>
        <w:numPr>
          <w:ilvl w:val="1"/>
          <w:numId w:val="5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1" w:right="20" w:hanging="447"/>
        <w:spacing w:after="0" w:line="320" w:lineRule="auto"/>
        <w:tabs>
          <w:tab w:leader="none" w:pos="1361" w:val="left"/>
        </w:tabs>
        <w:numPr>
          <w:ilvl w:val="1"/>
          <w:numId w:val="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461" w:right="460" w:hanging="461"/>
        <w:spacing w:after="0" w:line="276" w:lineRule="auto"/>
        <w:tabs>
          <w:tab w:leader="none" w:pos="461"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361" w:right="80" w:hanging="447"/>
        <w:spacing w:after="0" w:line="276" w:lineRule="auto"/>
        <w:tabs>
          <w:tab w:leader="none" w:pos="1361" w:val="left"/>
        </w:tabs>
        <w:numPr>
          <w:ilvl w:val="1"/>
          <w:numId w:val="5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1" w:hanging="447"/>
        <w:spacing w:after="0"/>
        <w:tabs>
          <w:tab w:leader="none" w:pos="1361"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May 26, 2011</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D. D</w:t>
      </w:r>
      <w:r>
        <w:rPr>
          <w:rFonts w:ascii="Arial" w:cs="Arial" w:eastAsia="Arial" w:hAnsi="Arial"/>
          <w:sz w:val="8"/>
          <w:szCs w:val="8"/>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Mark D. Dankberg</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1"/>
          </w:cols>
          <w:pgMar w:left="219" w:top="131"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Ronald G. Wangerin, Chief Financial Officer of ViaSat, Inc., certify that:</w:t>
      </w:r>
    </w:p>
    <w:p>
      <w:pPr>
        <w:spacing w:after="0" w:line="86" w:lineRule="exact"/>
        <w:rPr>
          <w:sz w:val="20"/>
          <w:szCs w:val="20"/>
          <w:color w:val="auto"/>
        </w:rPr>
      </w:pPr>
    </w:p>
    <w:p>
      <w:pPr>
        <w:ind w:left="461" w:hanging="461"/>
        <w:spacing w:after="0"/>
        <w:tabs>
          <w:tab w:leader="none" w:pos="461" w:val="left"/>
        </w:tabs>
        <w:numPr>
          <w:ilvl w:val="0"/>
          <w:numId w:val="5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ViaSat, Inc.;</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80" w:hanging="461"/>
        <w:spacing w:after="0" w:line="276" w:lineRule="auto"/>
        <w:tabs>
          <w:tab w:leader="none" w:pos="461"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1" w:right="180" w:hanging="447"/>
        <w:spacing w:after="0" w:line="320" w:lineRule="auto"/>
        <w:tabs>
          <w:tab w:leader="none" w:pos="1361"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1" w:right="40" w:hanging="447"/>
        <w:spacing w:after="0" w:line="320" w:lineRule="auto"/>
        <w:tabs>
          <w:tab w:leader="none" w:pos="1361"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1" w:right="100" w:hanging="447"/>
        <w:spacing w:after="0" w:line="276" w:lineRule="auto"/>
        <w:tabs>
          <w:tab w:leader="none" w:pos="1361" w:val="left"/>
        </w:tabs>
        <w:numPr>
          <w:ilvl w:val="1"/>
          <w:numId w:val="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1" w:right="20" w:hanging="447"/>
        <w:spacing w:after="0" w:line="320" w:lineRule="auto"/>
        <w:tabs>
          <w:tab w:leader="none" w:pos="1361" w:val="left"/>
        </w:tabs>
        <w:numPr>
          <w:ilvl w:val="1"/>
          <w:numId w:val="5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461" w:right="460" w:hanging="461"/>
        <w:spacing w:after="0" w:line="276" w:lineRule="auto"/>
        <w:tabs>
          <w:tab w:leader="none" w:pos="461"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361" w:right="80" w:hanging="447"/>
        <w:spacing w:after="0" w:line="276" w:lineRule="auto"/>
        <w:tabs>
          <w:tab w:leader="none" w:pos="1361" w:val="left"/>
        </w:tabs>
        <w:numPr>
          <w:ilvl w:val="1"/>
          <w:numId w:val="5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1" w:hanging="447"/>
        <w:spacing w:after="0"/>
        <w:tabs>
          <w:tab w:leader="none" w:pos="1361" w:val="left"/>
        </w:tabs>
        <w:numPr>
          <w:ilvl w:val="1"/>
          <w:numId w:val="5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May 26, 2011</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ONALD</w:t>
      </w:r>
      <w:r>
        <w:rPr>
          <w:rFonts w:ascii="Arial" w:cs="Arial" w:eastAsia="Arial" w:hAnsi="Arial"/>
          <w:sz w:val="13"/>
          <w:szCs w:val="13"/>
          <w:color w:val="auto"/>
        </w:rPr>
        <w:t xml:space="preserve"> G. W</w:t>
      </w:r>
      <w:r>
        <w:rPr>
          <w:rFonts w:ascii="Arial" w:cs="Arial" w:eastAsia="Arial" w:hAnsi="Arial"/>
          <w:sz w:val="8"/>
          <w:szCs w:val="8"/>
          <w:color w:val="auto"/>
        </w:rPr>
        <w:t>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Ronald G. Wangerin</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1"/>
          </w:cols>
          <w:pgMar w:left="219" w:top="445"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CHIEF EXECUTIVE OFFICER</w:t>
      </w:r>
    </w:p>
    <w:p>
      <w:pPr>
        <w:spacing w:after="0" w:line="86" w:lineRule="exact"/>
        <w:rPr>
          <w:sz w:val="20"/>
          <w:szCs w:val="20"/>
          <w:color w:val="auto"/>
        </w:rPr>
      </w:pPr>
    </w:p>
    <w:p>
      <w:pPr>
        <w:jc w:val="center"/>
        <w:ind w:right="180"/>
        <w:spacing w:after="0"/>
        <w:rPr>
          <w:sz w:val="20"/>
          <w:szCs w:val="20"/>
          <w:color w:val="auto"/>
        </w:rPr>
      </w:pPr>
      <w:r>
        <w:rPr>
          <w:rFonts w:ascii="Arial" w:cs="Arial" w:eastAsia="Arial" w:hAnsi="Arial"/>
          <w:sz w:val="11"/>
          <w:szCs w:val="11"/>
          <w:color w:val="auto"/>
        </w:rPr>
        <w:t>Pursuant to 18 U.S.C. Section 1350, as adopted pursuant to Section 906 of the Sarbanes-Oxley Act of 2002, the undersigned officer of ViaSat, Inc. (the “Company”) hereby certifies, to such officer’s knowledge, that:</w:t>
      </w:r>
    </w:p>
    <w:p>
      <w:pPr>
        <w:spacing w:after="0" w:line="109" w:lineRule="exact"/>
        <w:rPr>
          <w:sz w:val="20"/>
          <w:szCs w:val="20"/>
          <w:color w:val="auto"/>
        </w:rPr>
      </w:pPr>
    </w:p>
    <w:p>
      <w:pPr>
        <w:ind w:left="220" w:right="100" w:firstLine="172"/>
        <w:spacing w:after="0" w:line="276" w:lineRule="auto"/>
        <w:tabs>
          <w:tab w:leader="none" w:pos="562"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accompanying annual report on Form 10-K of the Company for the fiscal year ended April 1, 2011 (the “Report”) fully complies with the requirements of Section 13(a) or Section 15(d), as applicable, of the Securities Exchange Act of 1934, as amended;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Dated: May 26, 2011</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D. D</w:t>
      </w:r>
      <w:r>
        <w:rPr>
          <w:rFonts w:ascii="Arial" w:cs="Arial" w:eastAsia="Arial" w:hAnsi="Arial"/>
          <w:sz w:val="8"/>
          <w:szCs w:val="8"/>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Mark D. Dankberg</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CHIEF FINANCIAL OFFICER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1"/>
          <w:szCs w:val="11"/>
          <w:color w:val="auto"/>
        </w:rPr>
        <w:t>Pursuant to 18 U.S.C. Section 1350, as adopted pursuant to Section 906 of the Sarbanes-Oxley Act of 2002, the undersigned officer of ViaSat, Inc. (the “Company”) hereby certifies, to such officer’s knowledge, that:</w:t>
      </w:r>
    </w:p>
    <w:p>
      <w:pPr>
        <w:spacing w:after="0" w:line="109" w:lineRule="exact"/>
        <w:rPr>
          <w:sz w:val="20"/>
          <w:szCs w:val="20"/>
          <w:color w:val="auto"/>
        </w:rPr>
      </w:pPr>
    </w:p>
    <w:p>
      <w:pPr>
        <w:ind w:left="220" w:right="100" w:firstLine="172"/>
        <w:spacing w:after="0" w:line="276" w:lineRule="auto"/>
        <w:tabs>
          <w:tab w:leader="none" w:pos="562"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accompanying annual report on Form 10-K of the Company for the fiscal year ended April 1, 2011 (the “Report”) fully complies with the requirements of Section 13(a) or Section 15(d), as applicable, of the Securities Exchange Act of 1934, as amended;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Dated: May 26, 2011</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ONALD</w:t>
      </w:r>
      <w:r>
        <w:rPr>
          <w:rFonts w:ascii="Arial" w:cs="Arial" w:eastAsia="Arial" w:hAnsi="Arial"/>
          <w:sz w:val="13"/>
          <w:szCs w:val="13"/>
          <w:color w:val="auto"/>
        </w:rPr>
        <w:t xml:space="preserve"> G. W</w:t>
      </w:r>
      <w:r>
        <w:rPr>
          <w:rFonts w:ascii="Arial" w:cs="Arial" w:eastAsia="Arial" w:hAnsi="Arial"/>
          <w:sz w:val="8"/>
          <w:szCs w:val="8"/>
          <w:color w:val="auto"/>
        </w:rPr>
        <w:t>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Ronald G. Wangerin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0"/>
      </w:cols>
      <w:pgMar w:left="220" w:top="44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2"/>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3"/>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2"/>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3"/>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4"/>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1"/>
    </w:lvl>
  </w:abstractNum>
  <w:abstractNum w:abstractNumId="47">
    <w:nsid w:val="1BA026FA"/>
    <w:multiLevelType w:val="hybridMultilevel"/>
    <w:lvl w:ilvl="0">
      <w:lvlJc w:val="left"/>
      <w:lvlText w:val="%1."/>
      <w:numFmt w:val="decimal"/>
      <w:start w:val="12"/>
    </w:lvl>
  </w:abstractNum>
  <w:abstractNum w:abstractNumId="48">
    <w:nsid w:val="79A1DEAA"/>
    <w:multiLevelType w:val="hybridMultilevel"/>
    <w:lvl w:ilvl="0">
      <w:lvlJc w:val="left"/>
      <w:lvlText w:val="%1."/>
      <w:numFmt w:val="decimal"/>
      <w:start w:val="14"/>
    </w:lvl>
  </w:abstractNum>
  <w:abstractNum w:abstractNumId="49">
    <w:nsid w:val="75C6C33A"/>
    <w:multiLevelType w:val="hybridMultilevel"/>
    <w:lvl w:ilvl="0">
      <w:lvlJc w:val="left"/>
      <w:lvlText w:val="%1."/>
      <w:numFmt w:val="decimal"/>
      <w:start w:val="29"/>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2019-12-10T07:33:50Z</dcterms:created>
  <dcterms:modified xsi:type="dcterms:W3CDTF">2019-12-10T07:33:50Z</dcterms:modified>
</cp:coreProperties>
</file>