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0"/>
          <w:szCs w:val="20"/>
          <w:b w:val="1"/>
          <w:bCs w:val="1"/>
          <w:color w:val="202E39"/>
        </w:rPr>
        <w:t>SCHEDULE 14A INFORMATION</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202E39"/>
        </w:rPr>
        <w:t>Proxy Statement Pursuant to Section 14(a) of the</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202E39"/>
        </w:rPr>
        <w:t>Securities Exchange Act of 1934</w:t>
      </w:r>
    </w:p>
    <w:p>
      <w:pPr>
        <w:spacing w:after="0" w:line="156" w:lineRule="exact"/>
        <w:rPr>
          <w:sz w:val="24"/>
          <w:szCs w:val="24"/>
          <w:color w:val="auto"/>
        </w:rPr>
      </w:pPr>
    </w:p>
    <w:p>
      <w:pPr>
        <w:ind w:left="140"/>
        <w:spacing w:after="0" w:line="161" w:lineRule="exact"/>
        <w:rPr>
          <w:sz w:val="20"/>
          <w:szCs w:val="20"/>
          <w:color w:val="auto"/>
        </w:rPr>
      </w:pPr>
      <w:r>
        <w:rPr>
          <w:rFonts w:ascii="Arial" w:cs="Arial" w:eastAsia="Arial" w:hAnsi="Arial"/>
          <w:sz w:val="14"/>
          <w:szCs w:val="14"/>
          <w:color w:val="202E39"/>
        </w:rPr>
        <w:t xml:space="preserve">Filed by the Registrant </w:t>
      </w:r>
      <w:r>
        <w:rPr>
          <w:rFonts w:ascii="MS PGothic" w:cs="MS PGothic" w:eastAsia="MS PGothic" w:hAnsi="MS PGothic"/>
          <w:sz w:val="14"/>
          <w:szCs w:val="14"/>
          <w:color w:val="202E39"/>
        </w:rPr>
        <w:t>☒</w:t>
      </w:r>
    </w:p>
    <w:p>
      <w:pPr>
        <w:spacing w:after="0" w:line="45" w:lineRule="exact"/>
        <w:rPr>
          <w:sz w:val="24"/>
          <w:szCs w:val="24"/>
          <w:color w:val="auto"/>
        </w:rPr>
      </w:pPr>
    </w:p>
    <w:p>
      <w:pPr>
        <w:ind w:left="140"/>
        <w:spacing w:after="0" w:line="161" w:lineRule="exact"/>
        <w:rPr>
          <w:sz w:val="20"/>
          <w:szCs w:val="20"/>
          <w:color w:val="auto"/>
        </w:rPr>
      </w:pPr>
      <w:r>
        <w:rPr>
          <w:rFonts w:ascii="Arial" w:cs="Arial" w:eastAsia="Arial" w:hAnsi="Arial"/>
          <w:sz w:val="14"/>
          <w:szCs w:val="14"/>
          <w:color w:val="202E39"/>
        </w:rPr>
        <w:t xml:space="preserve">Filed by a Party other than the Registrant </w:t>
      </w:r>
      <w:r>
        <w:rPr>
          <w:rFonts w:ascii="MS PGothic" w:cs="MS PGothic" w:eastAsia="MS PGothic" w:hAnsi="MS PGothic"/>
          <w:sz w:val="14"/>
          <w:szCs w:val="14"/>
          <w:color w:val="202E39"/>
        </w:rPr>
        <w:t>☐</w:t>
      </w:r>
    </w:p>
    <w:p>
      <w:pPr>
        <w:spacing w:after="0" w:line="207" w:lineRule="exact"/>
        <w:rPr>
          <w:sz w:val="24"/>
          <w:szCs w:val="24"/>
          <w:color w:val="auto"/>
        </w:rPr>
      </w:pPr>
    </w:p>
    <w:p>
      <w:pPr>
        <w:ind w:left="140"/>
        <w:spacing w:after="0"/>
        <w:rPr>
          <w:sz w:val="20"/>
          <w:szCs w:val="20"/>
          <w:color w:val="auto"/>
        </w:rPr>
      </w:pPr>
      <w:r>
        <w:rPr>
          <w:rFonts w:ascii="Arial" w:cs="Arial" w:eastAsia="Arial" w:hAnsi="Arial"/>
          <w:sz w:val="14"/>
          <w:szCs w:val="14"/>
          <w:color w:val="202E39"/>
        </w:rPr>
        <w:t>Check the appropriate box:</w:t>
      </w:r>
    </w:p>
    <w:p>
      <w:pPr>
        <w:spacing w:after="0" w:line="21" w:lineRule="exact"/>
        <w:rPr>
          <w:sz w:val="24"/>
          <w:szCs w:val="24"/>
          <w:color w:val="auto"/>
        </w:rPr>
      </w:pPr>
    </w:p>
    <w:p>
      <w:pPr>
        <w:ind w:left="400" w:hanging="263"/>
        <w:spacing w:after="0"/>
        <w:tabs>
          <w:tab w:leader="none" w:pos="400" w:val="left"/>
        </w:tabs>
        <w:numPr>
          <w:ilvl w:val="0"/>
          <w:numId w:val="1"/>
        </w:numPr>
        <w:rPr>
          <w:rFonts w:ascii="MS PGothic" w:cs="MS PGothic" w:eastAsia="MS PGothic" w:hAnsi="MS PGothic"/>
          <w:sz w:val="14"/>
          <w:szCs w:val="14"/>
          <w:color w:val="202E39"/>
        </w:rPr>
      </w:pPr>
      <w:r>
        <w:rPr>
          <w:rFonts w:ascii="Arial" w:cs="Arial" w:eastAsia="Arial" w:hAnsi="Arial"/>
          <w:sz w:val="14"/>
          <w:szCs w:val="14"/>
          <w:color w:val="202E39"/>
        </w:rPr>
        <w:t>Preliminary Proxy Statement</w:t>
      </w:r>
    </w:p>
    <w:p>
      <w:pPr>
        <w:spacing w:after="0" w:line="10" w:lineRule="exact"/>
        <w:rPr>
          <w:rFonts w:ascii="MS PGothic" w:cs="MS PGothic" w:eastAsia="MS PGothic" w:hAnsi="MS PGothic"/>
          <w:sz w:val="14"/>
          <w:szCs w:val="14"/>
          <w:color w:val="202E39"/>
        </w:rPr>
      </w:pPr>
    </w:p>
    <w:p>
      <w:pPr>
        <w:ind w:left="400" w:hanging="263"/>
        <w:spacing w:after="0"/>
        <w:tabs>
          <w:tab w:leader="none" w:pos="400" w:val="left"/>
        </w:tabs>
        <w:numPr>
          <w:ilvl w:val="0"/>
          <w:numId w:val="1"/>
        </w:numPr>
        <w:rPr>
          <w:rFonts w:ascii="MS PGothic" w:cs="MS PGothic" w:eastAsia="MS PGothic" w:hAnsi="MS PGothic"/>
          <w:sz w:val="14"/>
          <w:szCs w:val="14"/>
          <w:color w:val="202E39"/>
        </w:rPr>
      </w:pPr>
      <w:r>
        <w:rPr>
          <w:rFonts w:ascii="Arial" w:cs="Arial" w:eastAsia="Arial" w:hAnsi="Arial"/>
          <w:sz w:val="14"/>
          <w:szCs w:val="14"/>
          <w:color w:val="202E39"/>
        </w:rPr>
        <w:t>Confidential, for Use of the Commission Only (as permitted by Rule 14a-6(e)(2))</w:t>
      </w:r>
    </w:p>
    <w:p>
      <w:pPr>
        <w:spacing w:after="0" w:line="10" w:lineRule="exact"/>
        <w:rPr>
          <w:rFonts w:ascii="MS PGothic" w:cs="MS PGothic" w:eastAsia="MS PGothic" w:hAnsi="MS PGothic"/>
          <w:sz w:val="14"/>
          <w:szCs w:val="14"/>
          <w:color w:val="202E39"/>
        </w:rPr>
      </w:pPr>
    </w:p>
    <w:p>
      <w:pPr>
        <w:ind w:left="400" w:hanging="263"/>
        <w:spacing w:after="0" w:line="234" w:lineRule="auto"/>
        <w:tabs>
          <w:tab w:leader="none" w:pos="400" w:val="left"/>
        </w:tabs>
        <w:numPr>
          <w:ilvl w:val="0"/>
          <w:numId w:val="1"/>
        </w:numPr>
        <w:rPr>
          <w:rFonts w:ascii="MS PGothic" w:cs="MS PGothic" w:eastAsia="MS PGothic" w:hAnsi="MS PGothic"/>
          <w:sz w:val="14"/>
          <w:szCs w:val="14"/>
          <w:color w:val="202E39"/>
        </w:rPr>
      </w:pPr>
      <w:r>
        <w:rPr>
          <w:rFonts w:ascii="Arial" w:cs="Arial" w:eastAsia="Arial" w:hAnsi="Arial"/>
          <w:sz w:val="14"/>
          <w:szCs w:val="14"/>
          <w:color w:val="202E39"/>
        </w:rPr>
        <w:t>Definitive Proxy Statement</w:t>
      </w:r>
    </w:p>
    <w:p>
      <w:pPr>
        <w:spacing w:after="0" w:line="11" w:lineRule="exact"/>
        <w:rPr>
          <w:sz w:val="24"/>
          <w:szCs w:val="24"/>
          <w:color w:val="auto"/>
        </w:rPr>
      </w:pPr>
    </w:p>
    <w:p>
      <w:pPr>
        <w:ind w:left="400" w:hanging="263"/>
        <w:spacing w:after="0"/>
        <w:tabs>
          <w:tab w:leader="none" w:pos="400" w:val="left"/>
        </w:tabs>
        <w:numPr>
          <w:ilvl w:val="0"/>
          <w:numId w:val="2"/>
        </w:numPr>
        <w:rPr>
          <w:rFonts w:ascii="MS PGothic" w:cs="MS PGothic" w:eastAsia="MS PGothic" w:hAnsi="MS PGothic"/>
          <w:sz w:val="14"/>
          <w:szCs w:val="14"/>
          <w:color w:val="202E39"/>
        </w:rPr>
      </w:pPr>
      <w:r>
        <w:rPr>
          <w:rFonts w:ascii="Arial" w:cs="Arial" w:eastAsia="Arial" w:hAnsi="Arial"/>
          <w:sz w:val="14"/>
          <w:szCs w:val="14"/>
          <w:color w:val="202E39"/>
        </w:rPr>
        <w:t>Definitive Additional Materials</w:t>
      </w:r>
    </w:p>
    <w:p>
      <w:pPr>
        <w:spacing w:after="0" w:line="14" w:lineRule="exact"/>
        <w:rPr>
          <w:sz w:val="24"/>
          <w:szCs w:val="24"/>
          <w:color w:val="auto"/>
        </w:rPr>
      </w:pPr>
    </w:p>
    <w:p>
      <w:pPr>
        <w:ind w:left="400" w:hanging="263"/>
        <w:spacing w:after="0"/>
        <w:tabs>
          <w:tab w:leader="none" w:pos="400" w:val="left"/>
        </w:tabs>
        <w:numPr>
          <w:ilvl w:val="0"/>
          <w:numId w:val="3"/>
        </w:numPr>
        <w:rPr>
          <w:rFonts w:ascii="MS PGothic" w:cs="MS PGothic" w:eastAsia="MS PGothic" w:hAnsi="MS PGothic"/>
          <w:sz w:val="14"/>
          <w:szCs w:val="14"/>
          <w:color w:val="202E39"/>
        </w:rPr>
      </w:pPr>
      <w:r>
        <w:rPr>
          <w:rFonts w:ascii="Arial" w:cs="Arial" w:eastAsia="Arial" w:hAnsi="Arial"/>
          <w:sz w:val="14"/>
          <w:szCs w:val="14"/>
          <w:color w:val="202E39"/>
        </w:rPr>
        <w:t>Soliciting Material under Rule 14a-12</w:t>
      </w:r>
    </w:p>
    <w:p>
      <w:pPr>
        <w:spacing w:after="0" w:line="165" w:lineRule="exact"/>
        <w:rPr>
          <w:sz w:val="24"/>
          <w:szCs w:val="24"/>
          <w:color w:val="auto"/>
        </w:rPr>
      </w:pPr>
    </w:p>
    <w:p>
      <w:pPr>
        <w:jc w:val="center"/>
        <w:ind w:right="-20"/>
        <w:spacing w:after="0"/>
        <w:rPr>
          <w:sz w:val="20"/>
          <w:szCs w:val="20"/>
          <w:color w:val="auto"/>
        </w:rPr>
      </w:pPr>
      <w:r>
        <w:rPr>
          <w:rFonts w:ascii="Arial" w:cs="Arial" w:eastAsia="Arial" w:hAnsi="Arial"/>
          <w:sz w:val="26"/>
          <w:szCs w:val="26"/>
          <w:b w:val="1"/>
          <w:bCs w:val="1"/>
          <w:color w:val="202E39"/>
        </w:rPr>
        <w:t>VIASAT, INC.</w:t>
      </w:r>
    </w:p>
    <w:p>
      <w:pPr>
        <w:spacing w:after="0" w:line="30"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202E39"/>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86995</wp:posOffset>
            </wp:positionH>
            <wp:positionV relativeFrom="paragraph">
              <wp:posOffset>102235</wp:posOffset>
            </wp:positionV>
            <wp:extent cx="555815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58155" cy="6985"/>
                    </a:xfrm>
                    <a:prstGeom prst="rect">
                      <a:avLst/>
                    </a:prstGeom>
                    <a:noFill/>
                  </pic:spPr>
                </pic:pic>
              </a:graphicData>
            </a:graphic>
          </wp:anchor>
        </w:drawing>
      </w:r>
    </w:p>
    <w:p>
      <w:pPr>
        <w:spacing w:after="0" w:line="152" w:lineRule="exact"/>
        <w:rPr>
          <w:sz w:val="24"/>
          <w:szCs w:val="24"/>
          <w:color w:val="auto"/>
        </w:rPr>
      </w:pPr>
    </w:p>
    <w:p>
      <w:pPr>
        <w:ind w:left="2240"/>
        <w:spacing w:after="0"/>
        <w:rPr>
          <w:sz w:val="20"/>
          <w:szCs w:val="20"/>
          <w:color w:val="auto"/>
        </w:rPr>
      </w:pPr>
      <w:r>
        <w:rPr>
          <w:rFonts w:ascii="Arial" w:cs="Arial" w:eastAsia="Arial" w:hAnsi="Arial"/>
          <w:sz w:val="14"/>
          <w:szCs w:val="14"/>
          <w:color w:val="202E39"/>
        </w:rPr>
        <w:t>(Name of Person(s) Filing Proxy Statement, if other than the Registrant)</w:t>
      </w:r>
    </w:p>
    <w:p>
      <w:pPr>
        <w:spacing w:after="0" w:line="193" w:lineRule="exact"/>
        <w:rPr>
          <w:sz w:val="24"/>
          <w:szCs w:val="24"/>
          <w:color w:val="auto"/>
        </w:rPr>
      </w:pPr>
    </w:p>
    <w:p>
      <w:pPr>
        <w:ind w:left="140"/>
        <w:spacing w:after="0"/>
        <w:rPr>
          <w:sz w:val="20"/>
          <w:szCs w:val="20"/>
          <w:color w:val="auto"/>
        </w:rPr>
      </w:pPr>
      <w:r>
        <w:rPr>
          <w:rFonts w:ascii="Arial" w:cs="Arial" w:eastAsia="Arial" w:hAnsi="Arial"/>
          <w:sz w:val="14"/>
          <w:szCs w:val="14"/>
          <w:color w:val="202E39"/>
        </w:rPr>
        <w:t>Payment of Filing Fee (Check the appropriate box):</w:t>
      </w:r>
    </w:p>
    <w:p>
      <w:pPr>
        <w:spacing w:after="0" w:line="214" w:lineRule="exact"/>
        <w:rPr>
          <w:sz w:val="24"/>
          <w:szCs w:val="24"/>
          <w:color w:val="auto"/>
        </w:rPr>
      </w:pPr>
    </w:p>
    <w:p>
      <w:pPr>
        <w:ind w:left="400" w:hanging="263"/>
        <w:spacing w:after="0"/>
        <w:tabs>
          <w:tab w:leader="none" w:pos="400" w:val="left"/>
        </w:tabs>
        <w:numPr>
          <w:ilvl w:val="0"/>
          <w:numId w:val="4"/>
        </w:numPr>
        <w:rPr>
          <w:rFonts w:ascii="MS PGothic" w:cs="MS PGothic" w:eastAsia="MS PGothic" w:hAnsi="MS PGothic"/>
          <w:sz w:val="14"/>
          <w:szCs w:val="14"/>
          <w:color w:val="202E39"/>
        </w:rPr>
      </w:pPr>
      <w:r>
        <w:rPr>
          <w:rFonts w:ascii="Arial" w:cs="Arial" w:eastAsia="Arial" w:hAnsi="Arial"/>
          <w:sz w:val="14"/>
          <w:szCs w:val="14"/>
          <w:color w:val="202E39"/>
        </w:rPr>
        <w:t>No fee required.</w:t>
      </w:r>
    </w:p>
    <w:p>
      <w:pPr>
        <w:spacing w:after="0" w:line="214" w:lineRule="exact"/>
        <w:rPr>
          <w:sz w:val="24"/>
          <w:szCs w:val="24"/>
          <w:color w:val="auto"/>
        </w:rPr>
      </w:pPr>
    </w:p>
    <w:p>
      <w:pPr>
        <w:ind w:left="400" w:hanging="263"/>
        <w:spacing w:after="0"/>
        <w:tabs>
          <w:tab w:leader="none" w:pos="400" w:val="left"/>
        </w:tabs>
        <w:numPr>
          <w:ilvl w:val="0"/>
          <w:numId w:val="5"/>
        </w:numPr>
        <w:rPr>
          <w:rFonts w:ascii="MS PGothic" w:cs="MS PGothic" w:eastAsia="MS PGothic" w:hAnsi="MS PGothic"/>
          <w:sz w:val="14"/>
          <w:szCs w:val="14"/>
          <w:color w:val="202E39"/>
        </w:rPr>
      </w:pPr>
      <w:r>
        <w:rPr>
          <w:rFonts w:ascii="Arial" w:cs="Arial" w:eastAsia="Arial" w:hAnsi="Arial"/>
          <w:sz w:val="14"/>
          <w:szCs w:val="14"/>
          <w:color w:val="202E39"/>
        </w:rPr>
        <w:t>Fee computed on table below per Exchange Act Rules 14a-6(i)(1) and 0-11.</w:t>
      </w:r>
    </w:p>
    <w:p>
      <w:pPr>
        <w:ind w:left="660" w:hanging="265"/>
        <w:spacing w:after="0"/>
        <w:tabs>
          <w:tab w:leader="none" w:pos="660" w:val="left"/>
        </w:tabs>
        <w:numPr>
          <w:ilvl w:val="1"/>
          <w:numId w:val="5"/>
        </w:numPr>
        <w:rPr>
          <w:rFonts w:ascii="Arial" w:cs="Arial" w:eastAsia="Arial" w:hAnsi="Arial"/>
          <w:sz w:val="14"/>
          <w:szCs w:val="14"/>
          <w:color w:val="202E39"/>
        </w:rPr>
      </w:pPr>
      <w:r>
        <w:rPr>
          <w:rFonts w:ascii="Arial" w:cs="Arial" w:eastAsia="Arial" w:hAnsi="Arial"/>
          <w:sz w:val="14"/>
          <w:szCs w:val="14"/>
          <w:color w:val="202E39"/>
        </w:rPr>
        <w:t>Title of each class of securities to which transaction applies:</w:t>
      </w:r>
    </w:p>
    <w:p>
      <w:pPr>
        <w:ind w:left="660" w:hanging="265"/>
        <w:spacing w:after="0"/>
        <w:tabs>
          <w:tab w:leader="none" w:pos="660" w:val="left"/>
        </w:tabs>
        <w:numPr>
          <w:ilvl w:val="1"/>
          <w:numId w:val="5"/>
        </w:numPr>
        <w:rPr>
          <w:rFonts w:ascii="Arial" w:cs="Arial" w:eastAsia="Arial" w:hAnsi="Arial"/>
          <w:sz w:val="14"/>
          <w:szCs w:val="14"/>
          <w:color w:val="202E39"/>
        </w:rPr>
      </w:pPr>
      <w:r>
        <w:rPr>
          <w:rFonts w:ascii="Arial" w:cs="Arial" w:eastAsia="Arial" w:hAnsi="Arial"/>
          <w:sz w:val="14"/>
          <w:szCs w:val="14"/>
          <w:color w:val="202E39"/>
        </w:rPr>
        <w:t>Aggregate number of securities to which transaction applies:</w:t>
      </w:r>
    </w:p>
    <w:p>
      <w:pPr>
        <w:ind w:left="660" w:right="419" w:hanging="265"/>
        <w:spacing w:after="0" w:line="239" w:lineRule="auto"/>
        <w:tabs>
          <w:tab w:leader="none" w:pos="660" w:val="left"/>
        </w:tabs>
        <w:numPr>
          <w:ilvl w:val="1"/>
          <w:numId w:val="5"/>
        </w:numPr>
        <w:rPr>
          <w:rFonts w:ascii="Arial" w:cs="Arial" w:eastAsia="Arial" w:hAnsi="Arial"/>
          <w:sz w:val="14"/>
          <w:szCs w:val="14"/>
          <w:color w:val="202E39"/>
        </w:rPr>
      </w:pPr>
      <w:r>
        <w:rPr>
          <w:rFonts w:ascii="Arial" w:cs="Arial" w:eastAsia="Arial" w:hAnsi="Arial"/>
          <w:sz w:val="14"/>
          <w:szCs w:val="14"/>
          <w:color w:val="202E39"/>
        </w:rPr>
        <w:t>Per unit price or other underlying value of transaction computed pursuant to Exchange Act Rule 0-11 (Set forth the amount on which the filing fee is calculated and state how it was determined):</w:t>
      </w:r>
    </w:p>
    <w:p>
      <w:pPr>
        <w:spacing w:after="0" w:line="1" w:lineRule="exact"/>
        <w:rPr>
          <w:rFonts w:ascii="Arial" w:cs="Arial" w:eastAsia="Arial" w:hAnsi="Arial"/>
          <w:sz w:val="14"/>
          <w:szCs w:val="14"/>
          <w:color w:val="202E39"/>
        </w:rPr>
      </w:pPr>
    </w:p>
    <w:p>
      <w:pPr>
        <w:ind w:left="660" w:hanging="265"/>
        <w:spacing w:after="0"/>
        <w:tabs>
          <w:tab w:leader="none" w:pos="660" w:val="left"/>
        </w:tabs>
        <w:numPr>
          <w:ilvl w:val="1"/>
          <w:numId w:val="5"/>
        </w:numPr>
        <w:rPr>
          <w:rFonts w:ascii="Arial" w:cs="Arial" w:eastAsia="Arial" w:hAnsi="Arial"/>
          <w:sz w:val="14"/>
          <w:szCs w:val="14"/>
          <w:color w:val="202E39"/>
        </w:rPr>
      </w:pPr>
      <w:r>
        <w:rPr>
          <w:rFonts w:ascii="Arial" w:cs="Arial" w:eastAsia="Arial" w:hAnsi="Arial"/>
          <w:sz w:val="14"/>
          <w:szCs w:val="14"/>
          <w:color w:val="202E39"/>
        </w:rPr>
        <w:t>Proposed maximum aggregate value of transaction:</w:t>
      </w:r>
    </w:p>
    <w:p>
      <w:pPr>
        <w:ind w:left="660" w:hanging="265"/>
        <w:spacing w:after="0"/>
        <w:tabs>
          <w:tab w:leader="none" w:pos="660" w:val="left"/>
        </w:tabs>
        <w:numPr>
          <w:ilvl w:val="1"/>
          <w:numId w:val="5"/>
        </w:numPr>
        <w:rPr>
          <w:rFonts w:ascii="Arial" w:cs="Arial" w:eastAsia="Arial" w:hAnsi="Arial"/>
          <w:sz w:val="14"/>
          <w:szCs w:val="14"/>
          <w:color w:val="202E39"/>
        </w:rPr>
      </w:pPr>
      <w:r>
        <w:rPr>
          <w:rFonts w:ascii="Arial" w:cs="Arial" w:eastAsia="Arial" w:hAnsi="Arial"/>
          <w:sz w:val="14"/>
          <w:szCs w:val="14"/>
          <w:color w:val="202E39"/>
        </w:rPr>
        <w:t>Total fee paid:</w:t>
      </w:r>
    </w:p>
    <w:p>
      <w:pPr>
        <w:spacing w:after="0" w:line="203" w:lineRule="exact"/>
        <w:rPr>
          <w:rFonts w:ascii="Arial" w:cs="Arial" w:eastAsia="Arial" w:hAnsi="Arial"/>
          <w:sz w:val="14"/>
          <w:szCs w:val="14"/>
          <w:color w:val="202E39"/>
        </w:rPr>
      </w:pPr>
    </w:p>
    <w:p>
      <w:pPr>
        <w:ind w:left="400" w:hanging="263"/>
        <w:spacing w:after="0"/>
        <w:tabs>
          <w:tab w:leader="none" w:pos="400" w:val="left"/>
        </w:tabs>
        <w:numPr>
          <w:ilvl w:val="0"/>
          <w:numId w:val="5"/>
        </w:numPr>
        <w:rPr>
          <w:rFonts w:ascii="MS PGothic" w:cs="MS PGothic" w:eastAsia="MS PGothic" w:hAnsi="MS PGothic"/>
          <w:sz w:val="14"/>
          <w:szCs w:val="14"/>
          <w:color w:val="202E39"/>
        </w:rPr>
      </w:pPr>
      <w:r>
        <w:rPr>
          <w:rFonts w:ascii="Arial" w:cs="Arial" w:eastAsia="Arial" w:hAnsi="Arial"/>
          <w:sz w:val="14"/>
          <w:szCs w:val="14"/>
          <w:color w:val="202E39"/>
        </w:rPr>
        <w:t>Fee paid previously with preliminary materials.</w:t>
      </w:r>
    </w:p>
    <w:p>
      <w:pPr>
        <w:spacing w:after="0" w:line="203" w:lineRule="exact"/>
        <w:rPr>
          <w:rFonts w:ascii="MS PGothic" w:cs="MS PGothic" w:eastAsia="MS PGothic" w:hAnsi="MS PGothic"/>
          <w:sz w:val="14"/>
          <w:szCs w:val="14"/>
          <w:color w:val="202E39"/>
        </w:rPr>
      </w:pPr>
    </w:p>
    <w:p>
      <w:pPr>
        <w:ind w:left="400" w:right="159" w:hanging="263"/>
        <w:spacing w:after="0" w:line="255" w:lineRule="auto"/>
        <w:tabs>
          <w:tab w:leader="none" w:pos="400" w:val="left"/>
        </w:tabs>
        <w:numPr>
          <w:ilvl w:val="0"/>
          <w:numId w:val="5"/>
        </w:numPr>
        <w:rPr>
          <w:rFonts w:ascii="MS PGothic" w:cs="MS PGothic" w:eastAsia="MS PGothic" w:hAnsi="MS PGothic"/>
          <w:sz w:val="14"/>
          <w:szCs w:val="14"/>
          <w:color w:val="202E39"/>
        </w:rPr>
      </w:pPr>
      <w:r>
        <w:rPr>
          <w:rFonts w:ascii="Arial" w:cs="Arial" w:eastAsia="Arial" w:hAnsi="Arial"/>
          <w:sz w:val="14"/>
          <w:szCs w:val="14"/>
          <w:color w:val="202E39"/>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2" w:lineRule="exact"/>
        <w:rPr>
          <w:rFonts w:ascii="MS PGothic" w:cs="MS PGothic" w:eastAsia="MS PGothic" w:hAnsi="MS PGothic"/>
          <w:sz w:val="14"/>
          <w:szCs w:val="14"/>
          <w:color w:val="202E39"/>
        </w:rPr>
      </w:pPr>
    </w:p>
    <w:p>
      <w:pPr>
        <w:ind w:left="660" w:hanging="265"/>
        <w:spacing w:after="0"/>
        <w:tabs>
          <w:tab w:leader="none" w:pos="660" w:val="left"/>
        </w:tabs>
        <w:numPr>
          <w:ilvl w:val="1"/>
          <w:numId w:val="5"/>
        </w:numPr>
        <w:rPr>
          <w:rFonts w:ascii="Arial" w:cs="Arial" w:eastAsia="Arial" w:hAnsi="Arial"/>
          <w:sz w:val="14"/>
          <w:szCs w:val="14"/>
          <w:color w:val="202E39"/>
        </w:rPr>
      </w:pPr>
      <w:r>
        <w:rPr>
          <w:rFonts w:ascii="Arial" w:cs="Arial" w:eastAsia="Arial" w:hAnsi="Arial"/>
          <w:sz w:val="14"/>
          <w:szCs w:val="14"/>
          <w:color w:val="202E39"/>
        </w:rPr>
        <w:t>Amount Previously Paid:</w:t>
      </w:r>
    </w:p>
    <w:p>
      <w:pPr>
        <w:spacing w:after="0" w:line="10" w:lineRule="exact"/>
        <w:rPr>
          <w:rFonts w:ascii="Arial" w:cs="Arial" w:eastAsia="Arial" w:hAnsi="Arial"/>
          <w:sz w:val="14"/>
          <w:szCs w:val="14"/>
          <w:color w:val="202E39"/>
        </w:rPr>
      </w:pPr>
    </w:p>
    <w:p>
      <w:pPr>
        <w:ind w:left="660" w:hanging="265"/>
        <w:spacing w:after="0"/>
        <w:tabs>
          <w:tab w:leader="none" w:pos="660" w:val="left"/>
        </w:tabs>
        <w:numPr>
          <w:ilvl w:val="1"/>
          <w:numId w:val="5"/>
        </w:numPr>
        <w:rPr>
          <w:rFonts w:ascii="Arial" w:cs="Arial" w:eastAsia="Arial" w:hAnsi="Arial"/>
          <w:sz w:val="14"/>
          <w:szCs w:val="14"/>
          <w:color w:val="202E39"/>
        </w:rPr>
      </w:pPr>
      <w:r>
        <w:rPr>
          <w:rFonts w:ascii="Arial" w:cs="Arial" w:eastAsia="Arial" w:hAnsi="Arial"/>
          <w:sz w:val="14"/>
          <w:szCs w:val="14"/>
          <w:color w:val="202E39"/>
        </w:rPr>
        <w:t>Form, Schedule or Registration Statement No.:</w:t>
      </w:r>
    </w:p>
    <w:p>
      <w:pPr>
        <w:ind w:left="660" w:hanging="265"/>
        <w:spacing w:after="0"/>
        <w:tabs>
          <w:tab w:leader="none" w:pos="660" w:val="left"/>
        </w:tabs>
        <w:numPr>
          <w:ilvl w:val="1"/>
          <w:numId w:val="5"/>
        </w:numPr>
        <w:rPr>
          <w:rFonts w:ascii="Arial" w:cs="Arial" w:eastAsia="Arial" w:hAnsi="Arial"/>
          <w:sz w:val="14"/>
          <w:szCs w:val="14"/>
          <w:color w:val="202E39"/>
        </w:rPr>
      </w:pPr>
      <w:r>
        <w:rPr>
          <w:rFonts w:ascii="Arial" w:cs="Arial" w:eastAsia="Arial" w:hAnsi="Arial"/>
          <w:sz w:val="14"/>
          <w:szCs w:val="14"/>
          <w:color w:val="202E39"/>
        </w:rPr>
        <w:t>Filing Party:</w:t>
      </w:r>
    </w:p>
    <w:p>
      <w:pPr>
        <w:ind w:left="660" w:hanging="265"/>
        <w:spacing w:after="0"/>
        <w:tabs>
          <w:tab w:leader="none" w:pos="660" w:val="left"/>
        </w:tabs>
        <w:numPr>
          <w:ilvl w:val="1"/>
          <w:numId w:val="5"/>
        </w:numPr>
        <w:rPr>
          <w:rFonts w:ascii="Arial" w:cs="Arial" w:eastAsia="Arial" w:hAnsi="Arial"/>
          <w:sz w:val="14"/>
          <w:szCs w:val="14"/>
          <w:color w:val="202E39"/>
        </w:rPr>
      </w:pPr>
      <w:r>
        <w:rPr>
          <w:rFonts w:ascii="Arial" w:cs="Arial" w:eastAsia="Arial" w:hAnsi="Arial"/>
          <w:sz w:val="14"/>
          <w:szCs w:val="14"/>
          <w:color w:val="202E39"/>
        </w:rPr>
        <w:t>Date Filed:</w:t>
      </w:r>
    </w:p>
    <w:p>
      <w:pPr>
        <w:sectPr>
          <w:pgSz w:w="11900" w:h="16838" w:orient="portrait"/>
          <w:cols w:equalWidth="0" w:num="1">
            <w:col w:w="9019"/>
          </w:cols>
          <w:pgMar w:left="1440" w:top="203" w:right="1440" w:bottom="1440" w:gutter="0" w:footer="0" w:header="0"/>
        </w:sectPr>
      </w:pPr>
    </w:p>
    <w:bookmarkStart w:id="1" w:name="page2"/>
    <w:bookmarkEnd w:id="1"/>
    <w:p>
      <w:pPr>
        <w:spacing w:after="0"/>
        <w:rPr>
          <w:sz w:val="20"/>
          <w:szCs w:val="20"/>
          <w:color w:val="auto"/>
        </w:rPr>
      </w:pPr>
      <w:r>
        <w:rPr>
          <w:rFonts w:ascii="Arial" w:cs="Arial" w:eastAsia="Arial" w:hAnsi="Arial"/>
          <w:sz w:val="56"/>
          <w:szCs w:val="56"/>
          <w:color w:val="FFFFFF"/>
        </w:rPr>
        <w:drawing>
          <wp:anchor simplePos="0" relativeHeight="251657728" behindDoc="1" locked="0" layoutInCell="0" allowOverlap="1">
            <wp:simplePos x="0" y="0"/>
            <wp:positionH relativeFrom="page">
              <wp:posOffset>130810</wp:posOffset>
            </wp:positionH>
            <wp:positionV relativeFrom="page">
              <wp:posOffset>88900</wp:posOffset>
            </wp:positionV>
            <wp:extent cx="7313930" cy="4018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13930" cy="4018915"/>
                    </a:xfrm>
                    <a:prstGeom prst="rect">
                      <a:avLst/>
                    </a:prstGeom>
                    <a:noFill/>
                  </pic:spPr>
                </pic:pic>
              </a:graphicData>
            </a:graphic>
          </wp:anchor>
        </w:drawing>
        <w:t>Shareholder Engagement</w:t>
      </w:r>
    </w:p>
    <w:p>
      <w:pPr>
        <w:spacing w:after="0" w:line="37" w:lineRule="exact"/>
        <w:rPr>
          <w:sz w:val="20"/>
          <w:szCs w:val="20"/>
          <w:color w:val="auto"/>
        </w:rPr>
      </w:pPr>
    </w:p>
    <w:p>
      <w:pPr>
        <w:spacing w:after="0"/>
        <w:rPr>
          <w:sz w:val="20"/>
          <w:szCs w:val="20"/>
          <w:color w:val="auto"/>
        </w:rPr>
      </w:pPr>
      <w:r>
        <w:rPr>
          <w:rFonts w:ascii="Arial" w:cs="Arial" w:eastAsia="Arial" w:hAnsi="Arial"/>
          <w:sz w:val="38"/>
          <w:szCs w:val="38"/>
          <w:color w:val="FFFFFF"/>
        </w:rPr>
        <w:t>August 2019</w:t>
      </w:r>
    </w:p>
    <w:p>
      <w:pPr>
        <w:sectPr>
          <w:pgSz w:w="11900" w:h="16838" w:orient="portrait"/>
          <w:cols w:equalWidth="0" w:num="1">
            <w:col w:w="9499"/>
          </w:cols>
          <w:pgMar w:left="960" w:top="1178" w:right="1440" w:bottom="1440" w:gutter="0" w:footer="0" w:header="0"/>
        </w:sectPr>
      </w:pPr>
    </w:p>
    <w:bookmarkStart w:id="2" w:name="page3"/>
    <w:bookmarkEnd w:id="2"/>
    <w:p>
      <w:pPr>
        <w:spacing w:after="0"/>
        <w:rPr>
          <w:sz w:val="20"/>
          <w:szCs w:val="20"/>
          <w:color w:val="auto"/>
        </w:rPr>
      </w:pPr>
      <w:r>
        <w:rPr>
          <w:rFonts w:ascii="Arial" w:cs="Arial" w:eastAsia="Arial" w:hAnsi="Arial"/>
          <w:sz w:val="38"/>
          <w:szCs w:val="38"/>
          <w:color w:val="202E39"/>
        </w:rPr>
        <w:drawing>
          <wp:anchor simplePos="0" relativeHeight="251657728" behindDoc="1" locked="0" layoutInCell="0" allowOverlap="1">
            <wp:simplePos x="0" y="0"/>
            <wp:positionH relativeFrom="page">
              <wp:posOffset>130810</wp:posOffset>
            </wp:positionH>
            <wp:positionV relativeFrom="page">
              <wp:posOffset>88900</wp:posOffset>
            </wp:positionV>
            <wp:extent cx="7313930" cy="41211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3930" cy="4121150"/>
                    </a:xfrm>
                    <a:prstGeom prst="rect">
                      <a:avLst/>
                    </a:prstGeom>
                    <a:noFill/>
                  </pic:spPr>
                </pic:pic>
              </a:graphicData>
            </a:graphic>
          </wp:anchor>
        </w:drawing>
        <w:t>Disclaimer</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202E39"/>
        </w:rPr>
        <w:t>Forward-Looking Statements</w:t>
      </w:r>
    </w:p>
    <w:p>
      <w:pPr>
        <w:spacing w:after="0" w:line="132" w:lineRule="exact"/>
        <w:rPr>
          <w:sz w:val="20"/>
          <w:szCs w:val="20"/>
          <w:color w:val="auto"/>
        </w:rPr>
      </w:pPr>
    </w:p>
    <w:p>
      <w:pPr>
        <w:ind w:left="20" w:right="60"/>
        <w:spacing w:after="0" w:line="276" w:lineRule="auto"/>
        <w:rPr>
          <w:sz w:val="20"/>
          <w:szCs w:val="20"/>
          <w:color w:val="auto"/>
        </w:rPr>
      </w:pPr>
      <w:r>
        <w:rPr>
          <w:rFonts w:ascii="Arial" w:cs="Arial" w:eastAsia="Arial" w:hAnsi="Arial"/>
          <w:sz w:val="10"/>
          <w:szCs w:val="10"/>
          <w:color w:val="202E39"/>
        </w:rPr>
        <w:t>This presentation contains forward-looking statements regarding future events and our future results that are subject to the safe harbors created under the Securities Act of 1933 and the Securities Exchange Act of 1934. These statements are based on current expectations, estimates, forecasts and projections about the industries in which we operate and the beliefs and assumptions of our management. We use words such as “anticipate,” “believe,” “continue,” “could,” “estimate,” “expect,” “goal,” “intend,” “may,” “plan,” “project,” “seek,” “should,” “target,” “will,” “would,” variations of such words and similar expressions to identify forward-looking statements. In addition, statements that refer to projections of earnings, revenue, costs or other financial items; anticipated growth and trends in our business or key markets; future economic conditions and performance; the development, customer acceptance and anticipated performance of technologies, products or services; satellite construction and launch activities; the performance and anticipated benefits of our ViaSat-2 and ViaSat-3 class satellites and any future satellite we may construct or acquire; the impacts on overall coverage area, planned services and financial results of the identified antenna deployment issue on the ViaSat-2 satellite; the expected completion, capacity, service, coverage, service speeds and other features of our satellites, and the timing, cost, economics and other benefits associated therewith; anticipated subscriber growth; plans, objectives and strategies for future operations; and other characterizations of future events or circumstances, are forward-looking statements. Readers are cautioned that these forward-looking statements are only predictions and are subject to risks, uncertainties and assumptions that are difficult to predict. Factors that could cause actual results to differ materially include: our ability to realize the anticipated benefits of the ViaSat-2 and ViaSat-3 class satellites and any future satellite we may construct or acquire; unexpected expenses related to our satellite projects; our ability to successfully implement our business plan for our broadband services on our anticipated timeline or at all; risks associated with the construction, launch and operation of satellites, including the effect of any anomaly, operational failure or degradation in satellite performance; our ability to realize the anticipated benefits of our acquisitions or strategic partnering arrangements; our ability to successfully develop, introduce and sell new technologies, products and services; audits by the U.S. government; changes in the global business environment and economic conditions; delays in approving U.S. government budgets and cuts in government defense expenditures; our reliance on U.S. government contracts, and on a small number of contracts which account for a significant percentage of our revenues; reduced demand for products and services as a result of continued constraints on capital spending by customers; changes in relationships with, or the financial condition of, key customers or suppliers; our reliance on a limited number of third parties to manufacture and supply our products; increased competition; introduction of new technologies and other factors affecting the communications and defense industries generally; the effect of adverse regulatory changes (including changes affecting spectrum availability or permitted uses) on our ability to sell or deploy our products and services; changes in the way others use spectrum; our inability to access additional spectrum, use spectrum for additional purposes, and/or operate satellites at additional orbital locations; competing uses of the same spectrum or orbital locations that we utilize or seek to utilize; the effect of recent changes to U.S. tax laws; our level of indebtedness and ability to comply with applicable debt covenants; our involvement in litigation, including intellectual property claims and litigation to protect our proprietary technology; our dependence on a limited number of key employees. In addition, please refer to the risk factors contained in our SEC filings available at www.sec.gov, including our most recent Annual Report on Form 10-K and Quarterly Reports on Form 10-Q. Readers are cautioned not to place undue reliance on any forward-looking statements, which speak only as of the date on which they are made. We undertake no obligation to revise or update any forward-looking statements for any reason.</w:t>
      </w:r>
    </w:p>
    <w:p>
      <w:pPr>
        <w:spacing w:after="0" w:line="299" w:lineRule="exact"/>
        <w:rPr>
          <w:sz w:val="20"/>
          <w:szCs w:val="20"/>
          <w:color w:val="auto"/>
        </w:rPr>
      </w:pPr>
    </w:p>
    <w:p>
      <w:pPr>
        <w:spacing w:after="0"/>
        <w:rPr>
          <w:sz w:val="20"/>
          <w:szCs w:val="20"/>
          <w:color w:val="auto"/>
        </w:rPr>
      </w:pPr>
      <w:r>
        <w:rPr>
          <w:rFonts w:ascii="Arial" w:cs="Arial" w:eastAsia="Arial" w:hAnsi="Arial"/>
          <w:sz w:val="12"/>
          <w:szCs w:val="12"/>
          <w:b w:val="1"/>
          <w:bCs w:val="1"/>
          <w:color w:val="202E39"/>
        </w:rPr>
        <w:t>Non-GAAP Financial Measures</w:t>
      </w:r>
    </w:p>
    <w:p>
      <w:pPr>
        <w:spacing w:after="0" w:line="165" w:lineRule="exact"/>
        <w:rPr>
          <w:sz w:val="20"/>
          <w:szCs w:val="20"/>
          <w:color w:val="auto"/>
        </w:rPr>
      </w:pPr>
    </w:p>
    <w:p>
      <w:pPr>
        <w:spacing w:after="0" w:line="257" w:lineRule="auto"/>
        <w:rPr>
          <w:sz w:val="20"/>
          <w:szCs w:val="20"/>
          <w:color w:val="auto"/>
        </w:rPr>
      </w:pPr>
      <w:r>
        <w:rPr>
          <w:rFonts w:ascii="Arial" w:cs="Arial" w:eastAsia="Arial" w:hAnsi="Arial"/>
          <w:sz w:val="10"/>
          <w:szCs w:val="10"/>
          <w:color w:val="202E39"/>
        </w:rPr>
        <w:t>This presentation includes non-GAAP financial measures such as Adjusted EBITDA to supplement Viasat’s consolidated financial statements presented on a GAAP basis. We believe these measures are appropriate to enhance an overall understanding of Viasat’s past financial performance and prospects for the future. However, the presentation of this additional information is not meant to be considered in isolation</w:t>
      </w:r>
    </w:p>
    <w:p>
      <w:pPr>
        <w:ind w:right="180"/>
        <w:spacing w:after="0" w:line="249" w:lineRule="auto"/>
        <w:rPr>
          <w:sz w:val="20"/>
          <w:szCs w:val="20"/>
          <w:color w:val="auto"/>
        </w:rPr>
      </w:pPr>
      <w:r>
        <w:rPr>
          <w:rFonts w:ascii="Arial" w:cs="Arial" w:eastAsia="Arial" w:hAnsi="Arial"/>
          <w:sz w:val="11"/>
          <w:szCs w:val="11"/>
          <w:color w:val="202E39"/>
        </w:rPr>
        <w:t>or as a substitute for measures of financial performance prepared in accordance with GAAP. A reconciliation between the non-GAAP financial information and the most comparable GAAP financial information is provided in the Appendix.</w:t>
      </w:r>
    </w:p>
    <w:p>
      <w:pPr>
        <w:spacing w:after="0" w:line="134" w:lineRule="exact"/>
        <w:rPr>
          <w:sz w:val="20"/>
          <w:szCs w:val="20"/>
          <w:color w:val="auto"/>
        </w:rPr>
      </w:pPr>
    </w:p>
    <w:p>
      <w:pPr>
        <w:spacing w:after="0"/>
        <w:rPr>
          <w:sz w:val="20"/>
          <w:szCs w:val="20"/>
          <w:color w:val="auto"/>
        </w:rPr>
      </w:pPr>
      <w:r>
        <w:rPr>
          <w:rFonts w:ascii="Arial" w:cs="Arial" w:eastAsia="Arial" w:hAnsi="Arial"/>
          <w:sz w:val="11"/>
          <w:szCs w:val="11"/>
          <w:color w:val="202E39"/>
        </w:rPr>
        <w:t>References in this presentation to “FY” or “Fiscal Year” refer to fiscal years of Viasat, Inc., being the fiscal year ended March 31st of such year. All other references are to calendar years.</w:t>
      </w:r>
    </w:p>
    <w:p>
      <w:pPr>
        <w:spacing w:after="0" w:line="395" w:lineRule="exact"/>
        <w:rPr>
          <w:sz w:val="20"/>
          <w:szCs w:val="20"/>
          <w:color w:val="auto"/>
        </w:rPr>
      </w:pPr>
    </w:p>
    <w:p>
      <w:pPr>
        <w:ind w:left="10080"/>
        <w:spacing w:after="0"/>
        <w:rPr>
          <w:sz w:val="20"/>
          <w:szCs w:val="20"/>
          <w:color w:val="auto"/>
        </w:rPr>
      </w:pPr>
      <w:r>
        <w:rPr>
          <w:rFonts w:ascii="Arial" w:cs="Arial" w:eastAsia="Arial" w:hAnsi="Arial"/>
          <w:sz w:val="9"/>
          <w:szCs w:val="9"/>
          <w:color w:val="7F7F7F"/>
        </w:rPr>
        <w:t>2</w:t>
      </w:r>
    </w:p>
    <w:p>
      <w:pPr>
        <w:sectPr>
          <w:pgSz w:w="11900" w:h="16838" w:orient="portrait"/>
          <w:cols w:equalWidth="0" w:num="1">
            <w:col w:w="10140"/>
          </w:cols>
          <w:pgMar w:left="940" w:top="1108" w:right="819" w:bottom="1440" w:gutter="0" w:footer="0" w:header="0"/>
        </w:sectPr>
      </w:pPr>
    </w:p>
    <w:bookmarkStart w:id="3" w:name="page4"/>
    <w:bookmarkEnd w:id="3"/>
    <w:p>
      <w:pPr>
        <w:spacing w:after="0"/>
        <w:rPr>
          <w:sz w:val="20"/>
          <w:szCs w:val="20"/>
          <w:color w:val="auto"/>
        </w:rPr>
      </w:pPr>
      <w:r>
        <w:rPr>
          <w:rFonts w:ascii="Arial" w:cs="Arial" w:eastAsia="Arial" w:hAnsi="Arial"/>
          <w:sz w:val="38"/>
          <w:szCs w:val="38"/>
          <w:color w:val="202E39"/>
        </w:rPr>
        <w:drawing>
          <wp:anchor simplePos="0" relativeHeight="251657728" behindDoc="1" locked="0" layoutInCell="0" allowOverlap="1">
            <wp:simplePos x="0" y="0"/>
            <wp:positionH relativeFrom="page">
              <wp:posOffset>130810</wp:posOffset>
            </wp:positionH>
            <wp:positionV relativeFrom="page">
              <wp:posOffset>88900</wp:posOffset>
            </wp:positionV>
            <wp:extent cx="7313930" cy="4059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3930" cy="4059555"/>
                    </a:xfrm>
                    <a:prstGeom prst="rect">
                      <a:avLst/>
                    </a:prstGeom>
                    <a:noFill/>
                  </pic:spPr>
                </pic:pic>
              </a:graphicData>
            </a:graphic>
          </wp:anchor>
        </w:drawing>
        <w:t>Viasat helps solve complex communication problems</w:t>
      </w:r>
    </w:p>
    <w:p>
      <w:pPr>
        <w:spacing w:after="0" w:line="37" w:lineRule="exact"/>
        <w:rPr>
          <w:sz w:val="20"/>
          <w:szCs w:val="20"/>
          <w:color w:val="auto"/>
        </w:rPr>
      </w:pPr>
    </w:p>
    <w:p>
      <w:pPr>
        <w:jc w:val="right"/>
        <w:ind w:right="720"/>
        <w:spacing w:after="0"/>
        <w:tabs>
          <w:tab w:leader="none" w:pos="3360" w:val="left"/>
        </w:tabs>
        <w:rPr>
          <w:sz w:val="20"/>
          <w:szCs w:val="20"/>
          <w:color w:val="auto"/>
        </w:rPr>
      </w:pPr>
      <w:r>
        <w:rPr>
          <w:rFonts w:ascii="Arial" w:cs="Arial" w:eastAsia="Arial" w:hAnsi="Arial"/>
          <w:sz w:val="19"/>
          <w:szCs w:val="19"/>
          <w:b w:val="1"/>
          <w:bCs w:val="1"/>
          <w:color w:val="FFFFFF"/>
        </w:rPr>
        <w:t>Business Segments</w:t>
      </w:r>
      <w:r>
        <w:rPr>
          <w:sz w:val="20"/>
          <w:szCs w:val="20"/>
          <w:color w:val="auto"/>
        </w:rPr>
        <w:tab/>
      </w:r>
      <w:r>
        <w:rPr>
          <w:rFonts w:ascii="Arial" w:cs="Arial" w:eastAsia="Arial" w:hAnsi="Arial"/>
          <w:sz w:val="19"/>
          <w:szCs w:val="19"/>
          <w:b w:val="1"/>
          <w:bCs w:val="1"/>
          <w:color w:val="FFFFFF"/>
        </w:rPr>
        <w:t>Notable Customers and End Markets</w:t>
      </w:r>
    </w:p>
    <w:p>
      <w:pPr>
        <w:spacing w:after="0" w:line="94"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013064"/>
        </w:rPr>
        <w:t>Government Systems</w:t>
      </w:r>
    </w:p>
    <w:p>
      <w:pPr>
        <w:spacing w:after="0" w:line="25" w:lineRule="exact"/>
        <w:rPr>
          <w:sz w:val="20"/>
          <w:szCs w:val="20"/>
          <w:color w:val="auto"/>
        </w:rPr>
      </w:pPr>
    </w:p>
    <w:p>
      <w:pPr>
        <w:ind w:left="540"/>
        <w:spacing w:after="0"/>
        <w:rPr>
          <w:sz w:val="20"/>
          <w:szCs w:val="20"/>
          <w:color w:val="auto"/>
        </w:rPr>
      </w:pPr>
      <w:r>
        <w:rPr>
          <w:rFonts w:ascii="Arial" w:cs="Arial" w:eastAsia="Arial" w:hAnsi="Arial"/>
          <w:sz w:val="12"/>
          <w:szCs w:val="12"/>
          <w:color w:val="202E39"/>
        </w:rPr>
        <w:t>Satellite and tactical broadband networking creating innovative new mission and</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2"/>
          <w:szCs w:val="12"/>
          <w:color w:val="202E39"/>
        </w:rPr>
        <w:t>network-centric fixed and mobile resilient government communications</w:t>
      </w:r>
    </w:p>
    <w:p>
      <w:pPr>
        <w:spacing w:after="0" w:line="37" w:lineRule="exact"/>
        <w:rPr>
          <w:sz w:val="20"/>
          <w:szCs w:val="20"/>
          <w:color w:val="auto"/>
        </w:rPr>
      </w:pPr>
    </w:p>
    <w:p>
      <w:pPr>
        <w:ind w:left="540"/>
        <w:spacing w:after="0"/>
        <w:rPr>
          <w:sz w:val="20"/>
          <w:szCs w:val="20"/>
          <w:color w:val="auto"/>
        </w:rPr>
      </w:pPr>
      <w:r>
        <w:rPr>
          <w:rFonts w:ascii="Arial" w:cs="Arial" w:eastAsia="Arial" w:hAnsi="Arial"/>
          <w:sz w:val="12"/>
          <w:szCs w:val="12"/>
          <w:color w:val="202E39"/>
        </w:rPr>
        <w:t>Key segments:</w:t>
      </w:r>
    </w:p>
    <w:p>
      <w:pPr>
        <w:ind w:left="740" w:hanging="210"/>
        <w:spacing w:after="0" w:line="236" w:lineRule="auto"/>
        <w:tabs>
          <w:tab w:leader="none" w:pos="740" w:val="left"/>
        </w:tabs>
        <w:numPr>
          <w:ilvl w:val="0"/>
          <w:numId w:val="6"/>
        </w:numPr>
        <w:rPr>
          <w:rFonts w:ascii="Arial" w:cs="Arial" w:eastAsia="Arial" w:hAnsi="Arial"/>
          <w:sz w:val="14"/>
          <w:szCs w:val="14"/>
          <w:color w:val="009FE3"/>
        </w:rPr>
      </w:pPr>
      <w:r>
        <w:rPr>
          <w:rFonts w:ascii="Arial" w:cs="Arial" w:eastAsia="Arial" w:hAnsi="Arial"/>
          <w:sz w:val="12"/>
          <w:szCs w:val="12"/>
          <w:color w:val="202E39"/>
        </w:rPr>
        <w:t>Government mobile broadband</w:t>
      </w:r>
    </w:p>
    <w:p>
      <w:pPr>
        <w:ind w:left="740" w:hanging="210"/>
        <w:spacing w:after="0" w:line="209" w:lineRule="auto"/>
        <w:tabs>
          <w:tab w:leader="none" w:pos="740" w:val="left"/>
        </w:tabs>
        <w:numPr>
          <w:ilvl w:val="0"/>
          <w:numId w:val="6"/>
        </w:numPr>
        <w:rPr>
          <w:rFonts w:ascii="Arial" w:cs="Arial" w:eastAsia="Arial" w:hAnsi="Arial"/>
          <w:sz w:val="14"/>
          <w:szCs w:val="14"/>
          <w:color w:val="009FE3"/>
        </w:rPr>
      </w:pPr>
      <w:r>
        <w:rPr>
          <w:rFonts w:ascii="Arial" w:cs="Arial" w:eastAsia="Arial" w:hAnsi="Arial"/>
          <w:sz w:val="12"/>
          <w:szCs w:val="12"/>
          <w:color w:val="202E39"/>
        </w:rPr>
        <w:t>Government cybersecurity and information assurance</w:t>
      </w:r>
    </w:p>
    <w:p>
      <w:pPr>
        <w:spacing w:after="0" w:line="8" w:lineRule="exact"/>
        <w:rPr>
          <w:rFonts w:ascii="Arial" w:cs="Arial" w:eastAsia="Arial" w:hAnsi="Arial"/>
          <w:sz w:val="14"/>
          <w:szCs w:val="14"/>
          <w:color w:val="009FE3"/>
        </w:rPr>
      </w:pPr>
    </w:p>
    <w:p>
      <w:pPr>
        <w:ind w:left="740" w:hanging="210"/>
        <w:spacing w:after="0" w:line="193" w:lineRule="auto"/>
        <w:tabs>
          <w:tab w:leader="none" w:pos="740" w:val="left"/>
        </w:tabs>
        <w:numPr>
          <w:ilvl w:val="0"/>
          <w:numId w:val="6"/>
        </w:numPr>
        <w:rPr>
          <w:rFonts w:ascii="Arial" w:cs="Arial" w:eastAsia="Arial" w:hAnsi="Arial"/>
          <w:sz w:val="13"/>
          <w:szCs w:val="13"/>
          <w:color w:val="009FE3"/>
        </w:rPr>
      </w:pPr>
      <w:r>
        <w:rPr>
          <w:rFonts w:ascii="Arial" w:cs="Arial" w:eastAsia="Arial" w:hAnsi="Arial"/>
          <w:sz w:val="11"/>
          <w:szCs w:val="11"/>
          <w:color w:val="202E39"/>
        </w:rPr>
        <w:t>Satellite communications systems</w:t>
      </w:r>
    </w:p>
    <w:p>
      <w:pPr>
        <w:ind w:left="540"/>
        <w:spacing w:after="0"/>
        <w:tabs>
          <w:tab w:leader="none" w:pos="720" w:val="left"/>
          <w:tab w:leader="none" w:pos="3560" w:val="left"/>
        </w:tabs>
        <w:rPr>
          <w:sz w:val="20"/>
          <w:szCs w:val="20"/>
          <w:color w:val="auto"/>
        </w:rPr>
      </w:pPr>
      <w:r>
        <w:rPr>
          <w:rFonts w:ascii="Arial" w:cs="Arial" w:eastAsia="Arial" w:hAnsi="Arial"/>
          <w:sz w:val="14"/>
          <w:szCs w:val="14"/>
          <w:color w:val="009FE3"/>
        </w:rPr>
        <w:t>›</w:t>
      </w:r>
      <w:r>
        <w:rPr>
          <w:sz w:val="20"/>
          <w:szCs w:val="20"/>
          <w:color w:val="auto"/>
        </w:rPr>
        <w:tab/>
      </w:r>
      <w:r>
        <w:rPr>
          <w:rFonts w:ascii="Arial" w:cs="Arial" w:eastAsia="Arial" w:hAnsi="Arial"/>
          <w:sz w:val="12"/>
          <w:szCs w:val="12"/>
          <w:color w:val="202E39"/>
        </w:rPr>
        <w:t>Tactical data links</w:t>
      </w:r>
      <w:r>
        <w:rPr>
          <w:sz w:val="20"/>
          <w:szCs w:val="20"/>
          <w:color w:val="auto"/>
        </w:rPr>
        <w:tab/>
      </w:r>
      <w:r>
        <w:rPr>
          <w:rFonts w:ascii="Arial" w:cs="Arial" w:eastAsia="Arial" w:hAnsi="Arial"/>
          <w:sz w:val="12"/>
          <w:szCs w:val="12"/>
          <w:b w:val="1"/>
          <w:bCs w:val="1"/>
          <w:color w:val="202E39"/>
        </w:rPr>
        <w:t>FY 2019 Revenue</w:t>
      </w:r>
    </w:p>
    <w:p>
      <w:pPr>
        <w:spacing w:after="0" w:line="132" w:lineRule="exact"/>
        <w:rPr>
          <w:sz w:val="20"/>
          <w:szCs w:val="20"/>
          <w:color w:val="auto"/>
        </w:rPr>
      </w:pPr>
    </w:p>
    <w:tbl>
      <w:tblPr>
        <w:tblLayout w:type="fixed"/>
        <w:tblInd w:w="540" w:type="dxa"/>
        <w:tblCellMar>
          <w:top w:w="0" w:type="dxa"/>
          <w:left w:w="0" w:type="dxa"/>
          <w:bottom w:w="0" w:type="dxa"/>
          <w:right w:w="0" w:type="dxa"/>
        </w:tblCellMar>
      </w:tblPr>
      <w:tr>
        <w:trPr>
          <w:trHeight w:val="209"/>
        </w:trPr>
        <w:tc>
          <w:tcPr>
            <w:tcW w:w="2980" w:type="dxa"/>
            <w:vAlign w:val="bottom"/>
          </w:tcPr>
          <w:p>
            <w:pPr>
              <w:spacing w:after="0"/>
              <w:rPr>
                <w:sz w:val="20"/>
                <w:szCs w:val="20"/>
                <w:color w:val="auto"/>
              </w:rPr>
            </w:pPr>
            <w:r>
              <w:rPr>
                <w:rFonts w:ascii="Arial" w:cs="Arial" w:eastAsia="Arial" w:hAnsi="Arial"/>
                <w:sz w:val="16"/>
                <w:szCs w:val="16"/>
                <w:b w:val="1"/>
                <w:bCs w:val="1"/>
                <w:color w:val="013064"/>
              </w:rPr>
              <w:t>Satellite Services</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2980" w:type="dxa"/>
            <w:vAlign w:val="bottom"/>
          </w:tcPr>
          <w:p>
            <w:pPr>
              <w:spacing w:after="0"/>
              <w:rPr>
                <w:sz w:val="20"/>
                <w:szCs w:val="20"/>
                <w:color w:val="auto"/>
              </w:rPr>
            </w:pPr>
            <w:r>
              <w:rPr>
                <w:rFonts w:ascii="Arial" w:cs="Arial" w:eastAsia="Arial" w:hAnsi="Arial"/>
                <w:sz w:val="12"/>
                <w:szCs w:val="12"/>
                <w:color w:val="202E39"/>
              </w:rPr>
              <w:t>High-speed broadband services for consumer,</w:t>
            </w:r>
          </w:p>
        </w:tc>
        <w:tc>
          <w:tcPr>
            <w:tcW w:w="1180" w:type="dxa"/>
            <w:vAlign w:val="bottom"/>
            <w:vMerge w:val="restart"/>
          </w:tcPr>
          <w:p>
            <w:pPr>
              <w:ind w:left="580"/>
              <w:spacing w:after="0"/>
              <w:rPr>
                <w:sz w:val="20"/>
                <w:szCs w:val="20"/>
                <w:color w:val="auto"/>
              </w:rPr>
            </w:pPr>
            <w:r>
              <w:rPr>
                <w:rFonts w:ascii="Arial" w:cs="Arial" w:eastAsia="Arial" w:hAnsi="Arial"/>
                <w:sz w:val="11"/>
                <w:szCs w:val="11"/>
                <w:color w:val="FFFFFF"/>
                <w:w w:val="95"/>
              </w:rPr>
              <w:t>Government</w:t>
            </w:r>
          </w:p>
        </w:tc>
        <w:tc>
          <w:tcPr>
            <w:tcW w:w="0" w:type="dxa"/>
            <w:vAlign w:val="bottom"/>
          </w:tcPr>
          <w:p>
            <w:pPr>
              <w:spacing w:after="0"/>
              <w:rPr>
                <w:sz w:val="1"/>
                <w:szCs w:val="1"/>
                <w:color w:val="auto"/>
              </w:rPr>
            </w:pPr>
          </w:p>
        </w:tc>
      </w:tr>
      <w:tr>
        <w:trPr>
          <w:trHeight w:val="53"/>
        </w:trPr>
        <w:tc>
          <w:tcPr>
            <w:tcW w:w="2980" w:type="dxa"/>
            <w:vAlign w:val="bottom"/>
            <w:vMerge w:val="restart"/>
          </w:tcPr>
          <w:p>
            <w:pPr>
              <w:spacing w:after="0"/>
              <w:rPr>
                <w:sz w:val="20"/>
                <w:szCs w:val="20"/>
                <w:color w:val="auto"/>
              </w:rPr>
            </w:pPr>
            <w:r>
              <w:rPr>
                <w:rFonts w:ascii="Arial" w:cs="Arial" w:eastAsia="Arial" w:hAnsi="Arial"/>
                <w:sz w:val="12"/>
                <w:szCs w:val="12"/>
                <w:color w:val="202E39"/>
              </w:rPr>
              <w:t>enterprise and mobile broadband customers</w:t>
            </w: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980" w:type="dxa"/>
            <w:vAlign w:val="bottom"/>
            <w:vMerge w:val="continue"/>
          </w:tcPr>
          <w:p>
            <w:pPr>
              <w:spacing w:after="0"/>
              <w:rPr>
                <w:sz w:val="7"/>
                <w:szCs w:val="7"/>
                <w:color w:val="auto"/>
              </w:rPr>
            </w:pPr>
          </w:p>
        </w:tc>
        <w:tc>
          <w:tcPr>
            <w:tcW w:w="1180" w:type="dxa"/>
            <w:vAlign w:val="bottom"/>
            <w:vMerge w:val="restart"/>
          </w:tcPr>
          <w:p>
            <w:pPr>
              <w:ind w:left="680"/>
              <w:spacing w:after="0"/>
              <w:rPr>
                <w:sz w:val="20"/>
                <w:szCs w:val="20"/>
                <w:color w:val="auto"/>
              </w:rPr>
            </w:pPr>
            <w:r>
              <w:rPr>
                <w:rFonts w:ascii="Arial" w:cs="Arial" w:eastAsia="Arial" w:hAnsi="Arial"/>
                <w:sz w:val="11"/>
                <w:szCs w:val="11"/>
                <w:color w:val="FFFFFF"/>
              </w:rPr>
              <w:t>Systems</w:t>
            </w:r>
          </w:p>
        </w:tc>
        <w:tc>
          <w:tcPr>
            <w:tcW w:w="0" w:type="dxa"/>
            <w:vAlign w:val="bottom"/>
          </w:tcPr>
          <w:p>
            <w:pPr>
              <w:spacing w:after="0"/>
              <w:rPr>
                <w:sz w:val="1"/>
                <w:szCs w:val="1"/>
                <w:color w:val="auto"/>
              </w:rPr>
            </w:pPr>
          </w:p>
        </w:tc>
      </w:tr>
      <w:tr>
        <w:trPr>
          <w:trHeight w:val="41"/>
        </w:trPr>
        <w:tc>
          <w:tcPr>
            <w:tcW w:w="298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120"/>
          </w:cols>
          <w:pgMar w:left="940" w:top="1098" w:right="839" w:bottom="1440" w:gutter="0" w:footer="0" w:header="0"/>
        </w:sectPr>
      </w:pPr>
    </w:p>
    <w:p>
      <w:pPr>
        <w:ind w:left="540"/>
        <w:spacing w:after="0" w:line="247" w:lineRule="auto"/>
        <w:rPr>
          <w:sz w:val="20"/>
          <w:szCs w:val="20"/>
          <w:color w:val="auto"/>
        </w:rPr>
      </w:pPr>
      <w:r>
        <w:rPr>
          <w:rFonts w:ascii="Arial" w:cs="Arial" w:eastAsia="Arial" w:hAnsi="Arial"/>
          <w:sz w:val="12"/>
          <w:szCs w:val="12"/>
          <w:color w:val="202E39"/>
        </w:rPr>
        <w:t>High-speed in-flight internet and wireless in-flight entertainment</w:t>
      </w:r>
    </w:p>
    <w:p>
      <w:pPr>
        <w:spacing w:after="0" w:line="52" w:lineRule="exact"/>
        <w:rPr>
          <w:sz w:val="20"/>
          <w:szCs w:val="20"/>
          <w:color w:val="auto"/>
        </w:rPr>
      </w:pPr>
    </w:p>
    <w:p>
      <w:pPr>
        <w:ind w:left="540"/>
        <w:spacing w:after="0"/>
        <w:rPr>
          <w:sz w:val="20"/>
          <w:szCs w:val="20"/>
          <w:color w:val="auto"/>
        </w:rPr>
      </w:pPr>
      <w:r>
        <w:rPr>
          <w:rFonts w:ascii="Arial" w:cs="Arial" w:eastAsia="Arial" w:hAnsi="Arial"/>
          <w:sz w:val="12"/>
          <w:szCs w:val="12"/>
          <w:color w:val="202E39"/>
        </w:rPr>
        <w:t>Key segments:</w:t>
      </w:r>
    </w:p>
    <w:p>
      <w:pPr>
        <w:ind w:left="740" w:hanging="210"/>
        <w:spacing w:after="0" w:line="236" w:lineRule="auto"/>
        <w:tabs>
          <w:tab w:leader="none" w:pos="740" w:val="left"/>
        </w:tabs>
        <w:numPr>
          <w:ilvl w:val="0"/>
          <w:numId w:val="7"/>
        </w:numPr>
        <w:rPr>
          <w:rFonts w:ascii="Arial" w:cs="Arial" w:eastAsia="Arial" w:hAnsi="Arial"/>
          <w:sz w:val="14"/>
          <w:szCs w:val="14"/>
          <w:color w:val="009FE3"/>
        </w:rPr>
      </w:pPr>
      <w:r>
        <w:rPr>
          <w:rFonts w:ascii="Arial" w:cs="Arial" w:eastAsia="Arial" w:hAnsi="Arial"/>
          <w:sz w:val="12"/>
          <w:szCs w:val="12"/>
          <w:color w:val="202E39"/>
        </w:rPr>
        <w:t>Fixed broadband</w:t>
      </w:r>
    </w:p>
    <w:p>
      <w:pPr>
        <w:ind w:left="740" w:hanging="210"/>
        <w:spacing w:after="0" w:line="207" w:lineRule="auto"/>
        <w:tabs>
          <w:tab w:leader="none" w:pos="740" w:val="left"/>
        </w:tabs>
        <w:numPr>
          <w:ilvl w:val="0"/>
          <w:numId w:val="7"/>
        </w:numPr>
        <w:rPr>
          <w:rFonts w:ascii="Arial" w:cs="Arial" w:eastAsia="Arial" w:hAnsi="Arial"/>
          <w:sz w:val="14"/>
          <w:szCs w:val="14"/>
          <w:color w:val="009FE3"/>
        </w:rPr>
      </w:pPr>
      <w:r>
        <w:rPr>
          <w:rFonts w:ascii="Arial" w:cs="Arial" w:eastAsia="Arial" w:hAnsi="Arial"/>
          <w:sz w:val="12"/>
          <w:szCs w:val="12"/>
          <w:color w:val="202E39"/>
        </w:rPr>
        <w:t>In-flight services</w:t>
      </w:r>
    </w:p>
    <w:p>
      <w:pPr>
        <w:ind w:left="740" w:hanging="210"/>
        <w:spacing w:after="0" w:line="209" w:lineRule="auto"/>
        <w:tabs>
          <w:tab w:leader="none" w:pos="740" w:val="left"/>
        </w:tabs>
        <w:numPr>
          <w:ilvl w:val="0"/>
          <w:numId w:val="7"/>
        </w:numPr>
        <w:rPr>
          <w:rFonts w:ascii="Arial" w:cs="Arial" w:eastAsia="Arial" w:hAnsi="Arial"/>
          <w:sz w:val="14"/>
          <w:szCs w:val="14"/>
          <w:color w:val="009FE3"/>
        </w:rPr>
      </w:pPr>
      <w:r>
        <w:rPr>
          <w:rFonts w:ascii="Arial" w:cs="Arial" w:eastAsia="Arial" w:hAnsi="Arial"/>
          <w:sz w:val="12"/>
          <w:szCs w:val="12"/>
          <w:color w:val="202E39"/>
        </w:rPr>
        <w:t>Mobile broadband</w:t>
      </w:r>
    </w:p>
    <w:p>
      <w:pPr>
        <w:spacing w:after="0" w:line="20" w:lineRule="exact"/>
        <w:rPr>
          <w:sz w:val="20"/>
          <w:szCs w:val="20"/>
          <w:color w:val="auto"/>
        </w:rPr>
      </w:pPr>
      <w:r>
        <w:rPr>
          <w:sz w:val="20"/>
          <w:szCs w:val="20"/>
          <w:color w:val="auto"/>
        </w:rPr>
        <w:br w:type="column"/>
      </w:r>
    </w:p>
    <w:p>
      <w:pPr>
        <w:ind w:left="1140"/>
        <w:spacing w:after="0"/>
        <w:rPr>
          <w:sz w:val="20"/>
          <w:szCs w:val="20"/>
          <w:color w:val="auto"/>
        </w:rPr>
      </w:pPr>
      <w:r>
        <w:rPr>
          <w:rFonts w:ascii="Arial" w:cs="Arial" w:eastAsia="Arial" w:hAnsi="Arial"/>
          <w:sz w:val="11"/>
          <w:szCs w:val="11"/>
          <w:color w:val="FFFFFF"/>
        </w:rPr>
        <w:t>46%</w:t>
      </w:r>
    </w:p>
    <w:p>
      <w:pPr>
        <w:spacing w:after="0" w:line="228" w:lineRule="exact"/>
        <w:rPr>
          <w:sz w:val="20"/>
          <w:szCs w:val="20"/>
          <w:color w:val="auto"/>
        </w:rPr>
      </w:pPr>
    </w:p>
    <w:p>
      <w:pPr>
        <w:jc w:val="center"/>
        <w:ind w:right="6120"/>
        <w:spacing w:after="0"/>
        <w:rPr>
          <w:sz w:val="20"/>
          <w:szCs w:val="20"/>
          <w:color w:val="auto"/>
        </w:rPr>
      </w:pPr>
      <w:r>
        <w:rPr>
          <w:rFonts w:ascii="Arial" w:cs="Arial" w:eastAsia="Arial" w:hAnsi="Arial"/>
          <w:sz w:val="10"/>
          <w:szCs w:val="10"/>
          <w:color w:val="FFFFFF"/>
        </w:rPr>
        <w:t>Satellite Services</w:t>
      </w:r>
    </w:p>
    <w:p>
      <w:pPr>
        <w:spacing w:after="0" w:line="3" w:lineRule="exact"/>
        <w:rPr>
          <w:sz w:val="20"/>
          <w:szCs w:val="20"/>
          <w:color w:val="auto"/>
        </w:rPr>
      </w:pPr>
    </w:p>
    <w:p>
      <w:pPr>
        <w:jc w:val="center"/>
        <w:ind w:right="6120"/>
        <w:spacing w:after="0"/>
        <w:rPr>
          <w:sz w:val="20"/>
          <w:szCs w:val="20"/>
          <w:color w:val="auto"/>
        </w:rPr>
      </w:pPr>
      <w:r>
        <w:rPr>
          <w:rFonts w:ascii="Arial" w:cs="Arial" w:eastAsia="Arial" w:hAnsi="Arial"/>
          <w:sz w:val="11"/>
          <w:szCs w:val="11"/>
          <w:color w:val="FFFFFF"/>
        </w:rPr>
        <w:t>33%</w:t>
      </w:r>
    </w:p>
    <w:p>
      <w:pPr>
        <w:spacing w:after="0" w:line="112" w:lineRule="exact"/>
        <w:rPr>
          <w:sz w:val="20"/>
          <w:szCs w:val="20"/>
          <w:color w:val="auto"/>
        </w:rPr>
      </w:pPr>
    </w:p>
    <w:p>
      <w:pPr>
        <w:jc w:val="right"/>
        <w:ind w:right="5460"/>
        <w:spacing w:after="0"/>
        <w:rPr>
          <w:sz w:val="20"/>
          <w:szCs w:val="20"/>
          <w:color w:val="auto"/>
        </w:rPr>
      </w:pPr>
      <w:r>
        <w:rPr>
          <w:rFonts w:ascii="Arial" w:cs="Arial" w:eastAsia="Arial" w:hAnsi="Arial"/>
          <w:sz w:val="11"/>
          <w:szCs w:val="11"/>
          <w:color w:val="auto"/>
        </w:rPr>
        <w:t>Commercial</w:t>
      </w:r>
    </w:p>
    <w:p>
      <w:pPr>
        <w:ind w:left="1000"/>
        <w:spacing w:after="0"/>
        <w:rPr>
          <w:sz w:val="20"/>
          <w:szCs w:val="20"/>
          <w:color w:val="auto"/>
        </w:rPr>
      </w:pPr>
      <w:r>
        <w:rPr>
          <w:rFonts w:ascii="Arial" w:cs="Arial" w:eastAsia="Arial" w:hAnsi="Arial"/>
          <w:sz w:val="11"/>
          <w:szCs w:val="11"/>
          <w:color w:val="auto"/>
        </w:rPr>
        <w:t>Networks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1"/>
          <w:szCs w:val="11"/>
          <w:color w:val="auto"/>
        </w:rPr>
        <w:t>21%</w:t>
      </w:r>
    </w:p>
    <w:p>
      <w:pPr>
        <w:spacing w:after="0" w:line="95" w:lineRule="exact"/>
        <w:rPr>
          <w:sz w:val="20"/>
          <w:szCs w:val="20"/>
          <w:color w:val="auto"/>
        </w:rPr>
      </w:pPr>
    </w:p>
    <w:p>
      <w:pPr>
        <w:sectPr>
          <w:pgSz w:w="11900" w:h="16838" w:orient="portrait"/>
          <w:cols w:equalWidth="0" w:num="2">
            <w:col w:w="2660" w:space="500"/>
            <w:col w:w="6960"/>
          </w:cols>
          <w:pgMar w:left="940" w:top="1098" w:right="839" w:bottom="1440" w:gutter="0" w:footer="0" w:header="0"/>
          <w:type w:val="continuous"/>
        </w:sectPr>
      </w:pPr>
    </w:p>
    <w:p>
      <w:pPr>
        <w:ind w:left="540"/>
        <w:spacing w:after="0"/>
        <w:rPr>
          <w:sz w:val="20"/>
          <w:szCs w:val="20"/>
          <w:color w:val="auto"/>
        </w:rPr>
      </w:pPr>
      <w:r>
        <w:rPr>
          <w:rFonts w:ascii="Arial" w:cs="Arial" w:eastAsia="Arial" w:hAnsi="Arial"/>
          <w:sz w:val="16"/>
          <w:szCs w:val="16"/>
          <w:b w:val="1"/>
          <w:bCs w:val="1"/>
          <w:color w:val="013064"/>
        </w:rPr>
        <w:t>Commercial Networks</w:t>
      </w:r>
    </w:p>
    <w:p>
      <w:pPr>
        <w:spacing w:after="0" w:line="25" w:lineRule="exact"/>
        <w:rPr>
          <w:sz w:val="20"/>
          <w:szCs w:val="20"/>
          <w:color w:val="auto"/>
        </w:rPr>
      </w:pPr>
    </w:p>
    <w:p>
      <w:pPr>
        <w:ind w:left="540"/>
        <w:spacing w:after="0"/>
        <w:rPr>
          <w:sz w:val="20"/>
          <w:szCs w:val="20"/>
          <w:color w:val="auto"/>
        </w:rPr>
      </w:pPr>
      <w:r>
        <w:rPr>
          <w:rFonts w:ascii="Arial" w:cs="Arial" w:eastAsia="Arial" w:hAnsi="Arial"/>
          <w:sz w:val="12"/>
          <w:szCs w:val="12"/>
          <w:color w:val="202E39"/>
        </w:rPr>
        <w:t>Innovates, develops and produces technology that enables broadband services</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2"/>
          <w:szCs w:val="12"/>
          <w:color w:val="202E39"/>
        </w:rPr>
        <w:t>to fixed, nomadic and mobile users</w:t>
      </w:r>
    </w:p>
    <w:p>
      <w:pPr>
        <w:spacing w:after="0" w:line="37" w:lineRule="exact"/>
        <w:rPr>
          <w:sz w:val="20"/>
          <w:szCs w:val="20"/>
          <w:color w:val="auto"/>
        </w:rPr>
      </w:pPr>
    </w:p>
    <w:p>
      <w:pPr>
        <w:ind w:left="540"/>
        <w:spacing w:after="0"/>
        <w:rPr>
          <w:sz w:val="20"/>
          <w:szCs w:val="20"/>
          <w:color w:val="auto"/>
        </w:rPr>
      </w:pPr>
      <w:r>
        <w:rPr>
          <w:rFonts w:ascii="Arial" w:cs="Arial" w:eastAsia="Arial" w:hAnsi="Arial"/>
          <w:sz w:val="12"/>
          <w:szCs w:val="12"/>
          <w:color w:val="202E39"/>
        </w:rPr>
        <w:t>Key segments:</w:t>
      </w:r>
    </w:p>
    <w:p>
      <w:pPr>
        <w:ind w:left="740" w:hanging="210"/>
        <w:spacing w:after="0" w:line="236" w:lineRule="auto"/>
        <w:tabs>
          <w:tab w:leader="none" w:pos="740" w:val="left"/>
        </w:tabs>
        <w:numPr>
          <w:ilvl w:val="0"/>
          <w:numId w:val="8"/>
        </w:numPr>
        <w:rPr>
          <w:rFonts w:ascii="Arial" w:cs="Arial" w:eastAsia="Arial" w:hAnsi="Arial"/>
          <w:sz w:val="14"/>
          <w:szCs w:val="14"/>
          <w:color w:val="009FE3"/>
        </w:rPr>
      </w:pPr>
      <w:r>
        <w:rPr>
          <w:rFonts w:ascii="Arial" w:cs="Arial" w:eastAsia="Arial" w:hAnsi="Arial"/>
          <w:sz w:val="12"/>
          <w:szCs w:val="12"/>
          <w:color w:val="202E39"/>
        </w:rPr>
        <w:t>Mobile broadband satellite communication systems</w:t>
      </w:r>
    </w:p>
    <w:p>
      <w:pPr>
        <w:ind w:left="740" w:hanging="210"/>
        <w:spacing w:after="0" w:line="194" w:lineRule="auto"/>
        <w:tabs>
          <w:tab w:leader="none" w:pos="740" w:val="left"/>
        </w:tabs>
        <w:numPr>
          <w:ilvl w:val="0"/>
          <w:numId w:val="8"/>
        </w:numPr>
        <w:rPr>
          <w:rFonts w:ascii="Arial" w:cs="Arial" w:eastAsia="Arial" w:hAnsi="Arial"/>
          <w:sz w:val="14"/>
          <w:szCs w:val="14"/>
          <w:color w:val="009FE3"/>
        </w:rPr>
      </w:pPr>
      <w:r>
        <w:rPr>
          <w:rFonts w:ascii="Arial" w:cs="Arial" w:eastAsia="Arial" w:hAnsi="Arial"/>
          <w:sz w:val="12"/>
          <w:szCs w:val="12"/>
          <w:color w:val="202E39"/>
        </w:rPr>
        <w:t>Fixed satellite networks</w:t>
      </w:r>
    </w:p>
    <w:tbl>
      <w:tblPr>
        <w:tblLayout w:type="fixed"/>
        <w:tblInd w:w="540" w:type="dxa"/>
        <w:tblCellMar>
          <w:top w:w="0" w:type="dxa"/>
          <w:left w:w="0" w:type="dxa"/>
          <w:bottom w:w="0" w:type="dxa"/>
          <w:right w:w="0" w:type="dxa"/>
        </w:tblCellMar>
      </w:tblPr>
      <w:tr>
        <w:trPr>
          <w:trHeight w:val="140"/>
        </w:trPr>
        <w:tc>
          <w:tcPr>
            <w:tcW w:w="120" w:type="dxa"/>
            <w:vAlign w:val="bottom"/>
          </w:tcPr>
          <w:p>
            <w:pPr>
              <w:spacing w:after="0" w:line="140" w:lineRule="exact"/>
              <w:rPr>
                <w:sz w:val="20"/>
                <w:szCs w:val="20"/>
                <w:color w:val="auto"/>
              </w:rPr>
            </w:pPr>
            <w:r>
              <w:rPr>
                <w:rFonts w:ascii="Arial" w:cs="Arial" w:eastAsia="Arial" w:hAnsi="Arial"/>
                <w:sz w:val="14"/>
                <w:szCs w:val="14"/>
                <w:color w:val="009FE3"/>
              </w:rPr>
              <w:t>›</w:t>
            </w:r>
          </w:p>
        </w:tc>
        <w:tc>
          <w:tcPr>
            <w:tcW w:w="3300" w:type="dxa"/>
            <w:vAlign w:val="bottom"/>
          </w:tcPr>
          <w:p>
            <w:pPr>
              <w:ind w:left="80"/>
              <w:spacing w:after="0"/>
              <w:rPr>
                <w:sz w:val="20"/>
                <w:szCs w:val="20"/>
                <w:color w:val="auto"/>
              </w:rPr>
            </w:pPr>
            <w:r>
              <w:rPr>
                <w:rFonts w:ascii="Arial" w:cs="Arial" w:eastAsia="Arial" w:hAnsi="Arial"/>
                <w:sz w:val="12"/>
                <w:szCs w:val="12"/>
                <w:color w:val="202E39"/>
              </w:rPr>
              <w:t>Antenna systems</w:t>
            </w:r>
          </w:p>
        </w:tc>
        <w:tc>
          <w:tcPr>
            <w:tcW w:w="2160" w:type="dxa"/>
            <w:vAlign w:val="bottom"/>
            <w:vMerge w:val="restart"/>
          </w:tcPr>
          <w:p>
            <w:pPr>
              <w:ind w:left="1300"/>
              <w:spacing w:after="0"/>
              <w:rPr>
                <w:sz w:val="20"/>
                <w:szCs w:val="20"/>
                <w:color w:val="auto"/>
              </w:rPr>
            </w:pPr>
            <w:r>
              <w:rPr>
                <w:rFonts w:ascii="Arial" w:cs="Arial" w:eastAsia="Arial" w:hAnsi="Arial"/>
                <w:sz w:val="14"/>
                <w:szCs w:val="14"/>
                <w:color w:val="202E39"/>
              </w:rPr>
              <w:t>Consumers</w:t>
            </w:r>
          </w:p>
        </w:tc>
        <w:tc>
          <w:tcPr>
            <w:tcW w:w="1040" w:type="dxa"/>
            <w:vAlign w:val="bottom"/>
            <w:vMerge w:val="restart"/>
          </w:tcPr>
          <w:p>
            <w:pPr>
              <w:ind w:left="160"/>
              <w:spacing w:after="0"/>
              <w:rPr>
                <w:sz w:val="20"/>
                <w:szCs w:val="20"/>
                <w:color w:val="auto"/>
              </w:rPr>
            </w:pPr>
            <w:r>
              <w:rPr>
                <w:rFonts w:ascii="Arial" w:cs="Arial" w:eastAsia="Arial" w:hAnsi="Arial"/>
                <w:sz w:val="14"/>
                <w:szCs w:val="14"/>
                <w:color w:val="202E39"/>
              </w:rPr>
              <w:t>Government</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202E39"/>
              </w:rPr>
              <w:t>Commercial</w:t>
            </w:r>
          </w:p>
        </w:tc>
        <w:tc>
          <w:tcPr>
            <w:tcW w:w="1080" w:type="dxa"/>
            <w:vAlign w:val="bottom"/>
            <w:vMerge w:val="restart"/>
          </w:tcPr>
          <w:p>
            <w:pPr>
              <w:ind w:left="160"/>
              <w:spacing w:after="0"/>
              <w:rPr>
                <w:sz w:val="20"/>
                <w:szCs w:val="20"/>
                <w:color w:val="auto"/>
              </w:rPr>
            </w:pPr>
            <w:r>
              <w:rPr>
                <w:rFonts w:ascii="Arial" w:cs="Arial" w:eastAsia="Arial" w:hAnsi="Arial"/>
                <w:sz w:val="14"/>
                <w:szCs w:val="14"/>
                <w:color w:val="202E39"/>
              </w:rPr>
              <w:t>Enterprises</w:t>
            </w:r>
          </w:p>
        </w:tc>
        <w:tc>
          <w:tcPr>
            <w:tcW w:w="640" w:type="dxa"/>
            <w:vAlign w:val="bottom"/>
            <w:vMerge w:val="restart"/>
          </w:tcPr>
          <w:p>
            <w:pPr>
              <w:ind w:left="200"/>
              <w:spacing w:after="0"/>
              <w:rPr>
                <w:sz w:val="20"/>
                <w:szCs w:val="20"/>
                <w:color w:val="auto"/>
              </w:rPr>
            </w:pPr>
            <w:r>
              <w:rPr>
                <w:rFonts w:ascii="Arial" w:cs="Arial" w:eastAsia="Arial" w:hAnsi="Arial"/>
                <w:sz w:val="14"/>
                <w:szCs w:val="14"/>
                <w:color w:val="202E39"/>
                <w:w w:val="94"/>
              </w:rPr>
              <w:t>Military</w:t>
            </w:r>
          </w:p>
        </w:tc>
        <w:tc>
          <w:tcPr>
            <w:tcW w:w="0" w:type="dxa"/>
            <w:vAlign w:val="bottom"/>
          </w:tcPr>
          <w:p>
            <w:pPr>
              <w:spacing w:after="0"/>
              <w:rPr>
                <w:sz w:val="1"/>
                <w:szCs w:val="1"/>
                <w:color w:val="auto"/>
              </w:rPr>
            </w:pPr>
          </w:p>
        </w:tc>
      </w:tr>
      <w:tr>
        <w:trPr>
          <w:trHeight w:val="64"/>
        </w:trPr>
        <w:tc>
          <w:tcPr>
            <w:tcW w:w="120" w:type="dxa"/>
            <w:vAlign w:val="bottom"/>
            <w:vMerge w:val="restart"/>
          </w:tcPr>
          <w:p>
            <w:pPr>
              <w:spacing w:after="0"/>
              <w:rPr>
                <w:sz w:val="20"/>
                <w:szCs w:val="20"/>
                <w:color w:val="auto"/>
              </w:rPr>
            </w:pPr>
            <w:r>
              <w:rPr>
                <w:rFonts w:ascii="Arial" w:cs="Arial" w:eastAsia="Arial" w:hAnsi="Arial"/>
                <w:sz w:val="14"/>
                <w:szCs w:val="14"/>
                <w:color w:val="009FE3"/>
              </w:rPr>
              <w:t>›</w:t>
            </w:r>
          </w:p>
        </w:tc>
        <w:tc>
          <w:tcPr>
            <w:tcW w:w="3300" w:type="dxa"/>
            <w:vAlign w:val="bottom"/>
            <w:vMerge w:val="restart"/>
          </w:tcPr>
          <w:p>
            <w:pPr>
              <w:ind w:left="80"/>
              <w:spacing w:after="0"/>
              <w:rPr>
                <w:sz w:val="20"/>
                <w:szCs w:val="20"/>
                <w:color w:val="auto"/>
              </w:rPr>
            </w:pPr>
            <w:r>
              <w:rPr>
                <w:rFonts w:ascii="Arial" w:cs="Arial" w:eastAsia="Arial" w:hAnsi="Arial"/>
                <w:sz w:val="12"/>
                <w:szCs w:val="12"/>
                <w:color w:val="202E39"/>
              </w:rPr>
              <w:t>Space-to-earth connectivity systems</w:t>
            </w:r>
          </w:p>
        </w:tc>
        <w:tc>
          <w:tcPr>
            <w:tcW w:w="216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120" w:type="dxa"/>
            <w:vAlign w:val="bottom"/>
            <w:vMerge w:val="continue"/>
          </w:tcPr>
          <w:p>
            <w:pPr>
              <w:spacing w:after="0"/>
              <w:rPr>
                <w:sz w:val="9"/>
                <w:szCs w:val="9"/>
                <w:color w:val="auto"/>
              </w:rPr>
            </w:pPr>
          </w:p>
        </w:tc>
        <w:tc>
          <w:tcPr>
            <w:tcW w:w="3300" w:type="dxa"/>
            <w:vAlign w:val="bottom"/>
            <w:vMerge w:val="continue"/>
          </w:tcPr>
          <w:p>
            <w:pPr>
              <w:spacing w:after="0"/>
              <w:rPr>
                <w:sz w:val="9"/>
                <w:szCs w:val="9"/>
                <w:color w:val="auto"/>
              </w:rPr>
            </w:pPr>
          </w:p>
        </w:tc>
        <w:tc>
          <w:tcPr>
            <w:tcW w:w="2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color w:val="202E39"/>
                <w:w w:val="93"/>
              </w:rPr>
              <w:t>Air</w:t>
            </w:r>
          </w:p>
        </w:tc>
        <w:tc>
          <w:tcPr>
            <w:tcW w:w="108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120" w:type="dxa"/>
            <w:vAlign w:val="bottom"/>
          </w:tcPr>
          <w:p>
            <w:pPr>
              <w:spacing w:after="0"/>
              <w:rPr>
                <w:sz w:val="5"/>
                <w:szCs w:val="5"/>
                <w:color w:val="auto"/>
              </w:rPr>
            </w:pPr>
          </w:p>
        </w:tc>
        <w:tc>
          <w:tcPr>
            <w:tcW w:w="330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right"/>
        <w:spacing w:after="0"/>
        <w:rPr>
          <w:sz w:val="20"/>
          <w:szCs w:val="20"/>
          <w:color w:val="auto"/>
        </w:rPr>
      </w:pPr>
      <w:r>
        <w:rPr>
          <w:rFonts w:ascii="Arial" w:cs="Arial" w:eastAsia="Arial" w:hAnsi="Arial"/>
          <w:sz w:val="9"/>
          <w:szCs w:val="9"/>
          <w:color w:val="7F7F7F"/>
        </w:rPr>
        <w:t>3</w:t>
      </w:r>
    </w:p>
    <w:p>
      <w:pPr>
        <w:sectPr>
          <w:pgSz w:w="11900" w:h="16838" w:orient="portrait"/>
          <w:cols w:equalWidth="0" w:num="1">
            <w:col w:w="10120"/>
          </w:cols>
          <w:pgMar w:left="940" w:top="1098" w:right="839" w:bottom="1440" w:gutter="0" w:footer="0" w:header="0"/>
          <w:type w:val="continuous"/>
        </w:sectPr>
      </w:pPr>
    </w:p>
    <w:bookmarkStart w:id="4" w:name="page5"/>
    <w:bookmarkEnd w:id="4"/>
    <w:p>
      <w:pPr>
        <w:ind w:left="20" w:right="1340"/>
        <w:spacing w:after="0" w:line="235" w:lineRule="auto"/>
        <w:rPr>
          <w:sz w:val="20"/>
          <w:szCs w:val="20"/>
          <w:color w:val="auto"/>
        </w:rPr>
      </w:pPr>
      <w:r>
        <w:rPr>
          <w:rFonts w:ascii="Arial" w:cs="Arial" w:eastAsia="Arial" w:hAnsi="Arial"/>
          <w:sz w:val="38"/>
          <w:szCs w:val="38"/>
          <w:color w:val="202E39"/>
        </w:rPr>
        <w:drawing>
          <wp:anchor simplePos="0" relativeHeight="251657728" behindDoc="1" locked="0" layoutInCell="0" allowOverlap="1">
            <wp:simplePos x="0" y="0"/>
            <wp:positionH relativeFrom="page">
              <wp:posOffset>130810</wp:posOffset>
            </wp:positionH>
            <wp:positionV relativeFrom="page">
              <wp:posOffset>88900</wp:posOffset>
            </wp:positionV>
            <wp:extent cx="7313930" cy="41141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13930" cy="4114165"/>
                    </a:xfrm>
                    <a:prstGeom prst="rect">
                      <a:avLst/>
                    </a:prstGeom>
                    <a:noFill/>
                  </pic:spPr>
                </pic:pic>
              </a:graphicData>
            </a:graphic>
          </wp:anchor>
        </w:drawing>
        <w:t>Lifecycle of a VSAT satellite demonstrates non-linear financial cadence</w:t>
      </w:r>
    </w:p>
    <w:p>
      <w:pPr>
        <w:spacing w:after="0" w:line="2" w:lineRule="exact"/>
        <w:rPr>
          <w:sz w:val="20"/>
          <w:szCs w:val="20"/>
          <w:color w:val="auto"/>
        </w:rPr>
      </w:pPr>
    </w:p>
    <w:p>
      <w:pPr>
        <w:ind w:left="120" w:right="20"/>
        <w:spacing w:after="0" w:line="251" w:lineRule="auto"/>
        <w:rPr>
          <w:sz w:val="20"/>
          <w:szCs w:val="20"/>
          <w:color w:val="auto"/>
        </w:rPr>
      </w:pPr>
      <w:r>
        <w:rPr>
          <w:rFonts w:ascii="Arial" w:cs="Arial" w:eastAsia="Arial" w:hAnsi="Arial"/>
          <w:sz w:val="15"/>
          <w:szCs w:val="15"/>
          <w:color w:val="009FE3"/>
        </w:rPr>
        <w:t>Substantial R&amp;D investment and operating costs associated with the launch of commercial service temporarily puts transitory pressure on Adj. EBITDA and cash flow leading up to and in the first year after service launch, making individual years difficult to measure, but historical trends show these investments enable long-term growth and stockholder value creation</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660" w:type="dxa"/>
            <w:vAlign w:val="bottom"/>
            <w:vMerge w:val="restart"/>
          </w:tcPr>
          <w:p>
            <w:pPr>
              <w:ind w:left="360"/>
              <w:spacing w:after="0"/>
              <w:rPr>
                <w:sz w:val="20"/>
                <w:szCs w:val="20"/>
                <w:color w:val="auto"/>
              </w:rPr>
            </w:pPr>
            <w:r>
              <w:rPr>
                <w:rFonts w:ascii="Arial" w:cs="Arial" w:eastAsia="Arial" w:hAnsi="Arial"/>
                <w:sz w:val="19"/>
                <w:szCs w:val="19"/>
                <w:b w:val="1"/>
                <w:bCs w:val="1"/>
                <w:color w:val="FFFFFF"/>
              </w:rPr>
              <w:t>Development Phase</w:t>
            </w:r>
          </w:p>
        </w:tc>
        <w:tc>
          <w:tcPr>
            <w:tcW w:w="3140" w:type="dxa"/>
            <w:vAlign w:val="bottom"/>
          </w:tcPr>
          <w:p>
            <w:pPr>
              <w:jc w:val="center"/>
              <w:spacing w:after="0"/>
              <w:rPr>
                <w:sz w:val="20"/>
                <w:szCs w:val="20"/>
                <w:color w:val="auto"/>
              </w:rPr>
            </w:pPr>
            <w:r>
              <w:rPr>
                <w:rFonts w:ascii="Arial" w:cs="Arial" w:eastAsia="Arial" w:hAnsi="Arial"/>
                <w:sz w:val="19"/>
                <w:szCs w:val="19"/>
                <w:b w:val="1"/>
                <w:bCs w:val="1"/>
                <w:color w:val="FFFFFF"/>
              </w:rPr>
              <w:t>Construction &amp; Pre-Service</w:t>
            </w:r>
          </w:p>
        </w:tc>
        <w:tc>
          <w:tcPr>
            <w:tcW w:w="4000" w:type="dxa"/>
            <w:vAlign w:val="bottom"/>
            <w:vMerge w:val="restart"/>
          </w:tcPr>
          <w:p>
            <w:pPr>
              <w:ind w:left="1300"/>
              <w:spacing w:after="0"/>
              <w:rPr>
                <w:sz w:val="20"/>
                <w:szCs w:val="20"/>
                <w:color w:val="auto"/>
              </w:rPr>
            </w:pPr>
            <w:r>
              <w:rPr>
                <w:rFonts w:ascii="Arial" w:cs="Arial" w:eastAsia="Arial" w:hAnsi="Arial"/>
                <w:sz w:val="19"/>
                <w:szCs w:val="19"/>
                <w:b w:val="1"/>
                <w:bCs w:val="1"/>
                <w:color w:val="FFFFFF"/>
              </w:rPr>
              <w:t>Post Launch Phase</w:t>
            </w:r>
          </w:p>
        </w:tc>
        <w:tc>
          <w:tcPr>
            <w:tcW w:w="0" w:type="dxa"/>
            <w:vAlign w:val="bottom"/>
          </w:tcPr>
          <w:p>
            <w:pPr>
              <w:spacing w:after="0"/>
              <w:rPr>
                <w:sz w:val="1"/>
                <w:szCs w:val="1"/>
                <w:color w:val="auto"/>
              </w:rPr>
            </w:pPr>
          </w:p>
        </w:tc>
      </w:tr>
      <w:tr>
        <w:trPr>
          <w:trHeight w:val="149"/>
        </w:trPr>
        <w:tc>
          <w:tcPr>
            <w:tcW w:w="2660" w:type="dxa"/>
            <w:vAlign w:val="bottom"/>
            <w:vMerge w:val="continue"/>
          </w:tcPr>
          <w:p>
            <w:pPr>
              <w:spacing w:after="0"/>
              <w:rPr>
                <w:sz w:val="12"/>
                <w:szCs w:val="12"/>
                <w:color w:val="auto"/>
              </w:rPr>
            </w:pPr>
          </w:p>
        </w:tc>
        <w:tc>
          <w:tcPr>
            <w:tcW w:w="3140" w:type="dxa"/>
            <w:vAlign w:val="bottom"/>
            <w:vMerge w:val="restart"/>
          </w:tcPr>
          <w:p>
            <w:pPr>
              <w:jc w:val="center"/>
              <w:spacing w:after="0"/>
              <w:rPr>
                <w:sz w:val="20"/>
                <w:szCs w:val="20"/>
                <w:color w:val="auto"/>
              </w:rPr>
            </w:pPr>
            <w:r>
              <w:rPr>
                <w:rFonts w:ascii="Arial" w:cs="Arial" w:eastAsia="Arial" w:hAnsi="Arial"/>
                <w:sz w:val="19"/>
                <w:szCs w:val="19"/>
                <w:b w:val="1"/>
                <w:bCs w:val="1"/>
                <w:color w:val="FFFFFF"/>
              </w:rPr>
              <w:t>Launch Phase</w:t>
            </w:r>
          </w:p>
        </w:tc>
        <w:tc>
          <w:tcPr>
            <w:tcW w:w="4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660" w:type="dxa"/>
            <w:vAlign w:val="bottom"/>
          </w:tcPr>
          <w:p>
            <w:pPr>
              <w:spacing w:after="0"/>
              <w:rPr>
                <w:sz w:val="9"/>
                <w:szCs w:val="9"/>
                <w:color w:val="auto"/>
              </w:rPr>
            </w:pPr>
          </w:p>
        </w:tc>
        <w:tc>
          <w:tcPr>
            <w:tcW w:w="3140" w:type="dxa"/>
            <w:vAlign w:val="bottom"/>
            <w:vMerge w:val="continue"/>
          </w:tcPr>
          <w:p>
            <w:pPr>
              <w:spacing w:after="0"/>
              <w:rPr>
                <w:sz w:val="9"/>
                <w:szCs w:val="9"/>
                <w:color w:val="auto"/>
              </w:rPr>
            </w:pPr>
          </w:p>
        </w:tc>
        <w:tc>
          <w:tcPr>
            <w:tcW w:w="4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2660" w:type="dxa"/>
            <w:vAlign w:val="bottom"/>
          </w:tcPr>
          <w:p>
            <w:pPr>
              <w:ind w:left="20"/>
              <w:spacing w:after="0"/>
              <w:rPr>
                <w:sz w:val="20"/>
                <w:szCs w:val="20"/>
                <w:color w:val="auto"/>
              </w:rPr>
            </w:pPr>
            <w:r>
              <w:rPr>
                <w:rFonts w:ascii="Arial" w:cs="Arial" w:eastAsia="Arial" w:hAnsi="Arial"/>
                <w:sz w:val="17"/>
                <w:szCs w:val="17"/>
                <w:color w:val="009FE3"/>
              </w:rPr>
              <w:t xml:space="preserve">›  </w:t>
            </w:r>
            <w:r>
              <w:rPr>
                <w:rFonts w:ascii="Arial" w:cs="Arial" w:eastAsia="Arial" w:hAnsi="Arial"/>
                <w:sz w:val="13"/>
                <w:szCs w:val="13"/>
                <w:color w:val="202E39"/>
              </w:rPr>
              <w:t>Large upfront investment in R&amp;D as</w:t>
            </w:r>
          </w:p>
        </w:tc>
        <w:tc>
          <w:tcPr>
            <w:tcW w:w="3140" w:type="dxa"/>
            <w:vAlign w:val="bottom"/>
          </w:tcPr>
          <w:p>
            <w:pPr>
              <w:ind w:left="160"/>
              <w:spacing w:after="0"/>
              <w:rPr>
                <w:sz w:val="20"/>
                <w:szCs w:val="20"/>
                <w:color w:val="auto"/>
              </w:rPr>
            </w:pPr>
            <w:r>
              <w:rPr>
                <w:rFonts w:ascii="Arial" w:cs="Arial" w:eastAsia="Arial" w:hAnsi="Arial"/>
                <w:sz w:val="17"/>
                <w:szCs w:val="17"/>
                <w:color w:val="009FE3"/>
              </w:rPr>
              <w:t xml:space="preserve">›  </w:t>
            </w:r>
            <w:r>
              <w:rPr>
                <w:rFonts w:ascii="Arial" w:cs="Arial" w:eastAsia="Arial" w:hAnsi="Arial"/>
                <w:sz w:val="13"/>
                <w:szCs w:val="13"/>
                <w:color w:val="202E39"/>
              </w:rPr>
              <w:t>Cash outflows continue as a result of high</w:t>
            </w:r>
          </w:p>
        </w:tc>
        <w:tc>
          <w:tcPr>
            <w:tcW w:w="4000" w:type="dxa"/>
            <w:vAlign w:val="bottom"/>
          </w:tcPr>
          <w:p>
            <w:pPr>
              <w:ind w:left="160"/>
              <w:spacing w:after="0"/>
              <w:rPr>
                <w:sz w:val="20"/>
                <w:szCs w:val="20"/>
                <w:color w:val="auto"/>
              </w:rPr>
            </w:pPr>
            <w:r>
              <w:rPr>
                <w:rFonts w:ascii="Arial" w:cs="Arial" w:eastAsia="Arial" w:hAnsi="Arial"/>
                <w:sz w:val="17"/>
                <w:szCs w:val="17"/>
                <w:color w:val="009FE3"/>
              </w:rPr>
              <w:t xml:space="preserve">›  </w:t>
            </w:r>
            <w:r>
              <w:rPr>
                <w:rFonts w:ascii="Arial" w:cs="Arial" w:eastAsia="Arial" w:hAnsi="Arial"/>
                <w:sz w:val="13"/>
                <w:szCs w:val="13"/>
                <w:color w:val="202E39"/>
              </w:rPr>
              <w:t>As satellite enters commercial service, increased revenues</w:t>
            </w:r>
          </w:p>
        </w:tc>
        <w:tc>
          <w:tcPr>
            <w:tcW w:w="0" w:type="dxa"/>
            <w:vAlign w:val="bottom"/>
          </w:tcPr>
          <w:p>
            <w:pPr>
              <w:spacing w:after="0"/>
              <w:rPr>
                <w:sz w:val="1"/>
                <w:szCs w:val="1"/>
                <w:color w:val="auto"/>
              </w:rPr>
            </w:pPr>
          </w:p>
        </w:tc>
      </w:tr>
      <w:tr>
        <w:trPr>
          <w:trHeight w:val="161"/>
        </w:trPr>
        <w:tc>
          <w:tcPr>
            <w:tcW w:w="2660" w:type="dxa"/>
            <w:vAlign w:val="bottom"/>
          </w:tcPr>
          <w:p>
            <w:pPr>
              <w:ind w:left="240"/>
              <w:spacing w:after="0"/>
              <w:rPr>
                <w:sz w:val="20"/>
                <w:szCs w:val="20"/>
                <w:color w:val="auto"/>
              </w:rPr>
            </w:pPr>
            <w:r>
              <w:rPr>
                <w:rFonts w:ascii="Arial" w:cs="Arial" w:eastAsia="Arial" w:hAnsi="Arial"/>
                <w:sz w:val="14"/>
                <w:szCs w:val="14"/>
                <w:color w:val="202E39"/>
              </w:rPr>
              <w:t>specifications and technology for the</w:t>
            </w:r>
          </w:p>
        </w:tc>
        <w:tc>
          <w:tcPr>
            <w:tcW w:w="3140" w:type="dxa"/>
            <w:vAlign w:val="bottom"/>
          </w:tcPr>
          <w:p>
            <w:pPr>
              <w:ind w:left="360"/>
              <w:spacing w:after="0"/>
              <w:rPr>
                <w:sz w:val="20"/>
                <w:szCs w:val="20"/>
                <w:color w:val="auto"/>
              </w:rPr>
            </w:pPr>
            <w:r>
              <w:rPr>
                <w:rFonts w:ascii="Arial" w:cs="Arial" w:eastAsia="Arial" w:hAnsi="Arial"/>
                <w:sz w:val="14"/>
                <w:szCs w:val="14"/>
                <w:color w:val="202E39"/>
              </w:rPr>
              <w:t>capital expenditures and opex associated</w:t>
            </w:r>
          </w:p>
        </w:tc>
        <w:tc>
          <w:tcPr>
            <w:tcW w:w="4000" w:type="dxa"/>
            <w:vAlign w:val="bottom"/>
          </w:tcPr>
          <w:p>
            <w:pPr>
              <w:ind w:left="380"/>
              <w:spacing w:after="0"/>
              <w:rPr>
                <w:sz w:val="20"/>
                <w:szCs w:val="20"/>
                <w:color w:val="auto"/>
              </w:rPr>
            </w:pPr>
            <w:r>
              <w:rPr>
                <w:rFonts w:ascii="Arial" w:cs="Arial" w:eastAsia="Arial" w:hAnsi="Arial"/>
                <w:sz w:val="14"/>
                <w:szCs w:val="14"/>
                <w:color w:val="202E39"/>
              </w:rPr>
              <w:t>coupled with reduced capital expenditures create positive</w:t>
            </w:r>
          </w:p>
        </w:tc>
        <w:tc>
          <w:tcPr>
            <w:tcW w:w="0" w:type="dxa"/>
            <w:vAlign w:val="bottom"/>
          </w:tcPr>
          <w:p>
            <w:pPr>
              <w:spacing w:after="0"/>
              <w:rPr>
                <w:sz w:val="1"/>
                <w:szCs w:val="1"/>
                <w:color w:val="auto"/>
              </w:rPr>
            </w:pPr>
          </w:p>
        </w:tc>
      </w:tr>
      <w:tr>
        <w:trPr>
          <w:trHeight w:val="168"/>
        </w:trPr>
        <w:tc>
          <w:tcPr>
            <w:tcW w:w="2660" w:type="dxa"/>
            <w:vAlign w:val="bottom"/>
          </w:tcPr>
          <w:p>
            <w:pPr>
              <w:ind w:left="240"/>
              <w:spacing w:after="0"/>
              <w:rPr>
                <w:sz w:val="20"/>
                <w:szCs w:val="20"/>
                <w:color w:val="auto"/>
              </w:rPr>
            </w:pPr>
            <w:r>
              <w:rPr>
                <w:rFonts w:ascii="Arial" w:cs="Arial" w:eastAsia="Arial" w:hAnsi="Arial"/>
                <w:sz w:val="14"/>
                <w:szCs w:val="14"/>
                <w:color w:val="202E39"/>
              </w:rPr>
              <w:t>satellite are finalized</w:t>
            </w:r>
          </w:p>
        </w:tc>
        <w:tc>
          <w:tcPr>
            <w:tcW w:w="3140" w:type="dxa"/>
            <w:vAlign w:val="bottom"/>
          </w:tcPr>
          <w:p>
            <w:pPr>
              <w:ind w:left="360"/>
              <w:spacing w:after="0"/>
              <w:rPr>
                <w:sz w:val="20"/>
                <w:szCs w:val="20"/>
                <w:color w:val="auto"/>
              </w:rPr>
            </w:pPr>
            <w:r>
              <w:rPr>
                <w:rFonts w:ascii="Arial" w:cs="Arial" w:eastAsia="Arial" w:hAnsi="Arial"/>
                <w:sz w:val="14"/>
                <w:szCs w:val="14"/>
                <w:color w:val="202E39"/>
              </w:rPr>
              <w:t>with satellite construction</w:t>
            </w:r>
          </w:p>
        </w:tc>
        <w:tc>
          <w:tcPr>
            <w:tcW w:w="4000" w:type="dxa"/>
            <w:vAlign w:val="bottom"/>
          </w:tcPr>
          <w:p>
            <w:pPr>
              <w:ind w:left="380"/>
              <w:spacing w:after="0"/>
              <w:rPr>
                <w:sz w:val="20"/>
                <w:szCs w:val="20"/>
                <w:color w:val="auto"/>
              </w:rPr>
            </w:pPr>
            <w:r>
              <w:rPr>
                <w:rFonts w:ascii="Arial" w:cs="Arial" w:eastAsia="Arial" w:hAnsi="Arial"/>
                <w:sz w:val="14"/>
                <w:szCs w:val="14"/>
                <w:color w:val="202E39"/>
              </w:rPr>
              <w:t>inflection point for cash flow</w:t>
            </w:r>
          </w:p>
        </w:tc>
        <w:tc>
          <w:tcPr>
            <w:tcW w:w="0" w:type="dxa"/>
            <w:vAlign w:val="bottom"/>
          </w:tcPr>
          <w:p>
            <w:pPr>
              <w:spacing w:after="0"/>
              <w:rPr>
                <w:sz w:val="1"/>
                <w:szCs w:val="1"/>
                <w:color w:val="auto"/>
              </w:rPr>
            </w:pPr>
          </w:p>
        </w:tc>
      </w:tr>
      <w:tr>
        <w:trPr>
          <w:trHeight w:val="250"/>
        </w:trPr>
        <w:tc>
          <w:tcPr>
            <w:tcW w:w="2660" w:type="dxa"/>
            <w:vAlign w:val="bottom"/>
          </w:tcPr>
          <w:p>
            <w:pPr>
              <w:ind w:left="20"/>
              <w:spacing w:after="0"/>
              <w:rPr>
                <w:sz w:val="20"/>
                <w:szCs w:val="20"/>
                <w:color w:val="auto"/>
              </w:rPr>
            </w:pPr>
            <w:r>
              <w:rPr>
                <w:rFonts w:ascii="Arial" w:cs="Arial" w:eastAsia="Arial" w:hAnsi="Arial"/>
                <w:sz w:val="17"/>
                <w:szCs w:val="17"/>
                <w:color w:val="009FE3"/>
              </w:rPr>
              <w:t xml:space="preserve">›  </w:t>
            </w:r>
            <w:r>
              <w:rPr>
                <w:rFonts w:ascii="Arial" w:cs="Arial" w:eastAsia="Arial" w:hAnsi="Arial"/>
                <w:sz w:val="13"/>
                <w:szCs w:val="13"/>
                <w:color w:val="202E39"/>
              </w:rPr>
              <w:t>Acquire favorable long-term</w:t>
            </w:r>
          </w:p>
        </w:tc>
        <w:tc>
          <w:tcPr>
            <w:tcW w:w="3140" w:type="dxa"/>
            <w:vAlign w:val="bottom"/>
          </w:tcPr>
          <w:p>
            <w:pPr>
              <w:ind w:left="160"/>
              <w:spacing w:after="0"/>
              <w:rPr>
                <w:sz w:val="20"/>
                <w:szCs w:val="20"/>
                <w:color w:val="auto"/>
              </w:rPr>
            </w:pPr>
            <w:r>
              <w:rPr>
                <w:rFonts w:ascii="Arial" w:cs="Arial" w:eastAsia="Arial" w:hAnsi="Arial"/>
                <w:sz w:val="17"/>
                <w:szCs w:val="17"/>
                <w:color w:val="009FE3"/>
              </w:rPr>
              <w:t xml:space="preserve">›  </w:t>
            </w:r>
            <w:r>
              <w:rPr>
                <w:rFonts w:ascii="Arial" w:cs="Arial" w:eastAsia="Arial" w:hAnsi="Arial"/>
                <w:sz w:val="13"/>
                <w:szCs w:val="13"/>
                <w:color w:val="202E39"/>
              </w:rPr>
              <w:t>No revenue for new satellite and growth is</w:t>
            </w:r>
          </w:p>
        </w:tc>
        <w:tc>
          <w:tcPr>
            <w:tcW w:w="4000" w:type="dxa"/>
            <w:vAlign w:val="bottom"/>
          </w:tcPr>
          <w:p>
            <w:pPr>
              <w:ind w:left="160"/>
              <w:spacing w:after="0"/>
              <w:rPr>
                <w:sz w:val="20"/>
                <w:szCs w:val="20"/>
                <w:color w:val="auto"/>
              </w:rPr>
            </w:pPr>
            <w:r>
              <w:rPr>
                <w:rFonts w:ascii="Arial" w:cs="Arial" w:eastAsia="Arial" w:hAnsi="Arial"/>
                <w:sz w:val="17"/>
                <w:szCs w:val="17"/>
                <w:color w:val="009FE3"/>
              </w:rPr>
              <w:t xml:space="preserve">›  </w:t>
            </w:r>
            <w:r>
              <w:rPr>
                <w:rFonts w:ascii="Arial" w:cs="Arial" w:eastAsia="Arial" w:hAnsi="Arial"/>
                <w:sz w:val="13"/>
                <w:szCs w:val="13"/>
                <w:color w:val="202E39"/>
              </w:rPr>
              <w:t>Expanded bandwidth capacity and geographic coverage</w:t>
            </w:r>
          </w:p>
        </w:tc>
        <w:tc>
          <w:tcPr>
            <w:tcW w:w="0" w:type="dxa"/>
            <w:vAlign w:val="bottom"/>
          </w:tcPr>
          <w:p>
            <w:pPr>
              <w:spacing w:after="0"/>
              <w:rPr>
                <w:sz w:val="1"/>
                <w:szCs w:val="1"/>
                <w:color w:val="auto"/>
              </w:rPr>
            </w:pPr>
          </w:p>
        </w:tc>
      </w:tr>
      <w:tr>
        <w:trPr>
          <w:trHeight w:val="161"/>
        </w:trPr>
        <w:tc>
          <w:tcPr>
            <w:tcW w:w="2660" w:type="dxa"/>
            <w:vAlign w:val="bottom"/>
          </w:tcPr>
          <w:p>
            <w:pPr>
              <w:ind w:left="240"/>
              <w:spacing w:after="0"/>
              <w:rPr>
                <w:sz w:val="20"/>
                <w:szCs w:val="20"/>
                <w:color w:val="auto"/>
              </w:rPr>
            </w:pPr>
            <w:r>
              <w:rPr>
                <w:rFonts w:ascii="Arial" w:cs="Arial" w:eastAsia="Arial" w:hAnsi="Arial"/>
                <w:sz w:val="14"/>
                <w:szCs w:val="14"/>
                <w:color w:val="202E39"/>
              </w:rPr>
              <w:t>financing</w:t>
            </w:r>
          </w:p>
        </w:tc>
        <w:tc>
          <w:tcPr>
            <w:tcW w:w="3140" w:type="dxa"/>
            <w:vAlign w:val="bottom"/>
          </w:tcPr>
          <w:p>
            <w:pPr>
              <w:ind w:left="360"/>
              <w:spacing w:after="0"/>
              <w:rPr>
                <w:sz w:val="20"/>
                <w:szCs w:val="20"/>
                <w:color w:val="auto"/>
              </w:rPr>
            </w:pPr>
            <w:r>
              <w:rPr>
                <w:rFonts w:ascii="Arial" w:cs="Arial" w:eastAsia="Arial" w:hAnsi="Arial"/>
                <w:sz w:val="14"/>
                <w:szCs w:val="14"/>
                <w:color w:val="202E39"/>
              </w:rPr>
              <w:t>likely muted for existing satellites as they</w:t>
            </w:r>
          </w:p>
        </w:tc>
        <w:tc>
          <w:tcPr>
            <w:tcW w:w="4000" w:type="dxa"/>
            <w:vAlign w:val="bottom"/>
          </w:tcPr>
          <w:p>
            <w:pPr>
              <w:ind w:left="380"/>
              <w:spacing w:after="0"/>
              <w:rPr>
                <w:sz w:val="20"/>
                <w:szCs w:val="20"/>
                <w:color w:val="auto"/>
              </w:rPr>
            </w:pPr>
            <w:r>
              <w:rPr>
                <w:rFonts w:ascii="Arial" w:cs="Arial" w:eastAsia="Arial" w:hAnsi="Arial"/>
                <w:sz w:val="14"/>
                <w:szCs w:val="14"/>
                <w:color w:val="202E39"/>
                <w:w w:val="99"/>
              </w:rPr>
              <w:t>enables growth in service offerings within new and existing</w:t>
            </w:r>
          </w:p>
        </w:tc>
        <w:tc>
          <w:tcPr>
            <w:tcW w:w="0" w:type="dxa"/>
            <w:vAlign w:val="bottom"/>
          </w:tcPr>
          <w:p>
            <w:pPr>
              <w:spacing w:after="0"/>
              <w:rPr>
                <w:sz w:val="1"/>
                <w:szCs w:val="1"/>
                <w:color w:val="auto"/>
              </w:rPr>
            </w:pPr>
          </w:p>
        </w:tc>
      </w:tr>
      <w:tr>
        <w:trPr>
          <w:trHeight w:val="168"/>
        </w:trPr>
        <w:tc>
          <w:tcPr>
            <w:tcW w:w="2660" w:type="dxa"/>
            <w:vAlign w:val="bottom"/>
            <w:vMerge w:val="restart"/>
          </w:tcPr>
          <w:p>
            <w:pPr>
              <w:ind w:left="20"/>
              <w:spacing w:after="0"/>
              <w:rPr>
                <w:sz w:val="20"/>
                <w:szCs w:val="20"/>
                <w:color w:val="auto"/>
              </w:rPr>
            </w:pPr>
            <w:r>
              <w:rPr>
                <w:rFonts w:ascii="Arial" w:cs="Arial" w:eastAsia="Arial" w:hAnsi="Arial"/>
                <w:sz w:val="17"/>
                <w:szCs w:val="17"/>
                <w:color w:val="009FE3"/>
              </w:rPr>
              <w:t xml:space="preserve">›  </w:t>
            </w:r>
            <w:r>
              <w:rPr>
                <w:rFonts w:ascii="Arial" w:cs="Arial" w:eastAsia="Arial" w:hAnsi="Arial"/>
                <w:sz w:val="13"/>
                <w:szCs w:val="13"/>
                <w:color w:val="202E39"/>
              </w:rPr>
              <w:t>Contract with third-party for the</w:t>
            </w:r>
          </w:p>
        </w:tc>
        <w:tc>
          <w:tcPr>
            <w:tcW w:w="3140" w:type="dxa"/>
            <w:vAlign w:val="bottom"/>
          </w:tcPr>
          <w:p>
            <w:pPr>
              <w:ind w:left="360"/>
              <w:spacing w:after="0"/>
              <w:rPr>
                <w:sz w:val="20"/>
                <w:szCs w:val="20"/>
                <w:color w:val="auto"/>
              </w:rPr>
            </w:pPr>
            <w:r>
              <w:rPr>
                <w:rFonts w:ascii="Arial" w:cs="Arial" w:eastAsia="Arial" w:hAnsi="Arial"/>
                <w:sz w:val="14"/>
                <w:szCs w:val="14"/>
                <w:color w:val="202E39"/>
              </w:rPr>
              <w:t>reach more mature phases</w:t>
            </w:r>
          </w:p>
        </w:tc>
        <w:tc>
          <w:tcPr>
            <w:tcW w:w="4000" w:type="dxa"/>
            <w:vAlign w:val="bottom"/>
          </w:tcPr>
          <w:p>
            <w:pPr>
              <w:ind w:left="380"/>
              <w:spacing w:after="0"/>
              <w:rPr>
                <w:sz w:val="20"/>
                <w:szCs w:val="20"/>
                <w:color w:val="auto"/>
              </w:rPr>
            </w:pPr>
            <w:r>
              <w:rPr>
                <w:rFonts w:ascii="Arial" w:cs="Arial" w:eastAsia="Arial" w:hAnsi="Arial"/>
                <w:sz w:val="14"/>
                <w:szCs w:val="14"/>
                <w:color w:val="202E39"/>
              </w:rPr>
              <w:t>markets</w:t>
            </w:r>
          </w:p>
        </w:tc>
        <w:tc>
          <w:tcPr>
            <w:tcW w:w="0" w:type="dxa"/>
            <w:vAlign w:val="bottom"/>
          </w:tcPr>
          <w:p>
            <w:pPr>
              <w:spacing w:after="0"/>
              <w:rPr>
                <w:sz w:val="1"/>
                <w:szCs w:val="1"/>
                <w:color w:val="auto"/>
              </w:rPr>
            </w:pPr>
          </w:p>
        </w:tc>
      </w:tr>
      <w:tr>
        <w:trPr>
          <w:trHeight w:val="79"/>
        </w:trPr>
        <w:tc>
          <w:tcPr>
            <w:tcW w:w="2660" w:type="dxa"/>
            <w:vAlign w:val="bottom"/>
            <w:vMerge w:val="continue"/>
          </w:tcPr>
          <w:p>
            <w:pPr>
              <w:spacing w:after="0"/>
              <w:rPr>
                <w:sz w:val="6"/>
                <w:szCs w:val="6"/>
                <w:color w:val="auto"/>
              </w:rPr>
            </w:pPr>
          </w:p>
        </w:tc>
        <w:tc>
          <w:tcPr>
            <w:tcW w:w="3140" w:type="dxa"/>
            <w:vAlign w:val="bottom"/>
            <w:vMerge w:val="restart"/>
          </w:tcPr>
          <w:p>
            <w:pPr>
              <w:ind w:left="160"/>
              <w:spacing w:after="0"/>
              <w:rPr>
                <w:sz w:val="20"/>
                <w:szCs w:val="20"/>
                <w:color w:val="auto"/>
              </w:rPr>
            </w:pPr>
            <w:r>
              <w:rPr>
                <w:rFonts w:ascii="Arial" w:cs="Arial" w:eastAsia="Arial" w:hAnsi="Arial"/>
                <w:sz w:val="17"/>
                <w:szCs w:val="17"/>
                <w:color w:val="009FE3"/>
              </w:rPr>
              <w:t xml:space="preserve">›  </w:t>
            </w:r>
            <w:r>
              <w:rPr>
                <w:rFonts w:ascii="Arial" w:cs="Arial" w:eastAsia="Arial" w:hAnsi="Arial"/>
                <w:sz w:val="13"/>
                <w:szCs w:val="13"/>
                <w:color w:val="202E39"/>
              </w:rPr>
              <w:t>Healthy cash flow from existing satellites</w:t>
            </w:r>
          </w:p>
        </w:tc>
        <w:tc>
          <w:tcPr>
            <w:tcW w:w="4000" w:type="dxa"/>
            <w:vAlign w:val="bottom"/>
            <w:vMerge w:val="restart"/>
          </w:tcPr>
          <w:p>
            <w:pPr>
              <w:ind w:left="160"/>
              <w:spacing w:after="0"/>
              <w:rPr>
                <w:sz w:val="20"/>
                <w:szCs w:val="20"/>
                <w:color w:val="auto"/>
              </w:rPr>
            </w:pPr>
            <w:r>
              <w:rPr>
                <w:rFonts w:ascii="Arial" w:cs="Arial" w:eastAsia="Arial" w:hAnsi="Arial"/>
                <w:sz w:val="17"/>
                <w:szCs w:val="17"/>
                <w:color w:val="009FE3"/>
              </w:rPr>
              <w:t xml:space="preserve">›  </w:t>
            </w:r>
            <w:r>
              <w:rPr>
                <w:rFonts w:ascii="Arial" w:cs="Arial" w:eastAsia="Arial" w:hAnsi="Arial"/>
                <w:sz w:val="13"/>
                <w:szCs w:val="13"/>
                <w:color w:val="202E39"/>
              </w:rPr>
              <w:t>Expansion pf consumer revenue base</w:t>
            </w:r>
          </w:p>
        </w:tc>
        <w:tc>
          <w:tcPr>
            <w:tcW w:w="0" w:type="dxa"/>
            <w:vAlign w:val="bottom"/>
          </w:tcPr>
          <w:p>
            <w:pPr>
              <w:spacing w:after="0"/>
              <w:rPr>
                <w:sz w:val="1"/>
                <w:szCs w:val="1"/>
                <w:color w:val="auto"/>
              </w:rPr>
            </w:pPr>
          </w:p>
        </w:tc>
      </w:tr>
      <w:tr>
        <w:trPr>
          <w:trHeight w:val="172"/>
        </w:trPr>
        <w:tc>
          <w:tcPr>
            <w:tcW w:w="2660" w:type="dxa"/>
            <w:vAlign w:val="bottom"/>
          </w:tcPr>
          <w:p>
            <w:pPr>
              <w:ind w:left="240"/>
              <w:spacing w:after="0"/>
              <w:rPr>
                <w:sz w:val="20"/>
                <w:szCs w:val="20"/>
                <w:color w:val="auto"/>
              </w:rPr>
            </w:pPr>
            <w:r>
              <w:rPr>
                <w:rFonts w:ascii="Arial" w:cs="Arial" w:eastAsia="Arial" w:hAnsi="Arial"/>
                <w:sz w:val="14"/>
                <w:szCs w:val="14"/>
                <w:color w:val="202E39"/>
              </w:rPr>
              <w:t>construction and launch of the</w:t>
            </w:r>
          </w:p>
        </w:tc>
        <w:tc>
          <w:tcPr>
            <w:tcW w:w="3140" w:type="dxa"/>
            <w:vAlign w:val="bottom"/>
            <w:vMerge w:val="continue"/>
          </w:tcPr>
          <w:p>
            <w:pPr>
              <w:spacing w:after="0"/>
              <w:rPr>
                <w:sz w:val="14"/>
                <w:szCs w:val="14"/>
                <w:color w:val="auto"/>
              </w:rPr>
            </w:pPr>
          </w:p>
        </w:tc>
        <w:tc>
          <w:tcPr>
            <w:tcW w:w="4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660" w:type="dxa"/>
            <w:vAlign w:val="bottom"/>
          </w:tcPr>
          <w:p>
            <w:pPr>
              <w:ind w:left="240"/>
              <w:spacing w:after="0"/>
              <w:rPr>
                <w:sz w:val="20"/>
                <w:szCs w:val="20"/>
                <w:color w:val="auto"/>
              </w:rPr>
            </w:pPr>
            <w:r>
              <w:rPr>
                <w:rFonts w:ascii="Arial" w:cs="Arial" w:eastAsia="Arial" w:hAnsi="Arial"/>
                <w:sz w:val="14"/>
                <w:szCs w:val="14"/>
                <w:color w:val="202E39"/>
              </w:rPr>
              <w:t>satellite</w:t>
            </w:r>
          </w:p>
        </w:tc>
        <w:tc>
          <w:tcPr>
            <w:tcW w:w="3140" w:type="dxa"/>
            <w:vAlign w:val="bottom"/>
          </w:tcPr>
          <w:p>
            <w:pPr>
              <w:ind w:left="360"/>
              <w:spacing w:after="0"/>
              <w:rPr>
                <w:sz w:val="20"/>
                <w:szCs w:val="20"/>
                <w:color w:val="auto"/>
              </w:rPr>
            </w:pPr>
            <w:r>
              <w:rPr>
                <w:rFonts w:ascii="Arial" w:cs="Arial" w:eastAsia="Arial" w:hAnsi="Arial"/>
                <w:sz w:val="14"/>
                <w:szCs w:val="14"/>
                <w:color w:val="202E39"/>
              </w:rPr>
              <w:t>fuels multi-year investment in growth</w:t>
            </w:r>
          </w:p>
        </w:tc>
        <w:tc>
          <w:tcPr>
            <w:tcW w:w="4000" w:type="dxa"/>
            <w:vAlign w:val="bottom"/>
          </w:tcPr>
          <w:p>
            <w:pPr>
              <w:ind w:left="380"/>
              <w:spacing w:after="0"/>
              <w:rPr>
                <w:sz w:val="20"/>
                <w:szCs w:val="20"/>
                <w:color w:val="auto"/>
              </w:rPr>
            </w:pPr>
            <w:r>
              <w:rPr>
                <w:rFonts w:ascii="Arial" w:cs="Arial" w:eastAsia="Arial" w:hAnsi="Arial"/>
                <w:sz w:val="14"/>
                <w:szCs w:val="14"/>
                <w:color w:val="202E39"/>
              </w:rPr>
              <w:t>drives Adj. EBITDA growth</w:t>
            </w:r>
          </w:p>
        </w:tc>
        <w:tc>
          <w:tcPr>
            <w:tcW w:w="0" w:type="dxa"/>
            <w:vAlign w:val="bottom"/>
          </w:tcPr>
          <w:p>
            <w:pPr>
              <w:spacing w:after="0"/>
              <w:rPr>
                <w:sz w:val="1"/>
                <w:szCs w:val="1"/>
                <w:color w:val="auto"/>
              </w:rPr>
            </w:pPr>
          </w:p>
        </w:tc>
      </w:tr>
      <w:tr>
        <w:trPr>
          <w:trHeight w:val="168"/>
        </w:trPr>
        <w:tc>
          <w:tcPr>
            <w:tcW w:w="2660" w:type="dxa"/>
            <w:vAlign w:val="bottom"/>
          </w:tcPr>
          <w:p>
            <w:pPr>
              <w:spacing w:after="0"/>
              <w:rPr>
                <w:sz w:val="14"/>
                <w:szCs w:val="14"/>
                <w:color w:val="auto"/>
              </w:rPr>
            </w:pPr>
          </w:p>
        </w:tc>
        <w:tc>
          <w:tcPr>
            <w:tcW w:w="3140" w:type="dxa"/>
            <w:vAlign w:val="bottom"/>
          </w:tcPr>
          <w:p>
            <w:pPr>
              <w:ind w:left="360"/>
              <w:spacing w:after="0"/>
              <w:rPr>
                <w:sz w:val="20"/>
                <w:szCs w:val="20"/>
                <w:color w:val="auto"/>
              </w:rPr>
            </w:pPr>
            <w:r>
              <w:rPr>
                <w:rFonts w:ascii="Arial" w:cs="Arial" w:eastAsia="Arial" w:hAnsi="Arial"/>
                <w:sz w:val="14"/>
                <w:szCs w:val="14"/>
                <w:color w:val="202E39"/>
              </w:rPr>
              <w:t>initiatives</w:t>
            </w:r>
          </w:p>
        </w:tc>
        <w:tc>
          <w:tcPr>
            <w:tcW w:w="4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2"/>
        </w:trPr>
        <w:tc>
          <w:tcPr>
            <w:tcW w:w="2660" w:type="dxa"/>
            <w:vAlign w:val="bottom"/>
            <w:vMerge w:val="restart"/>
          </w:tcPr>
          <w:p>
            <w:pPr>
              <w:spacing w:after="0"/>
              <w:rPr>
                <w:sz w:val="20"/>
                <w:szCs w:val="20"/>
                <w:color w:val="auto"/>
              </w:rPr>
            </w:pPr>
            <w:r>
              <w:rPr>
                <w:rFonts w:ascii="Arial" w:cs="Arial" w:eastAsia="Arial" w:hAnsi="Arial"/>
                <w:sz w:val="12"/>
                <w:szCs w:val="12"/>
                <w:color w:val="202E39"/>
              </w:rPr>
              <w:t>Cash flow</w:t>
            </w:r>
          </w:p>
        </w:tc>
        <w:tc>
          <w:tcPr>
            <w:tcW w:w="7140" w:type="dxa"/>
            <w:vAlign w:val="bottom"/>
            <w:gridSpan w:val="2"/>
          </w:tcPr>
          <w:p>
            <w:pPr>
              <w:ind w:left="2620"/>
              <w:spacing w:after="0"/>
              <w:rPr>
                <w:sz w:val="20"/>
                <w:szCs w:val="20"/>
                <w:color w:val="auto"/>
              </w:rPr>
            </w:pPr>
            <w:r>
              <w:rPr>
                <w:rFonts w:ascii="Arial" w:cs="Arial" w:eastAsia="Arial" w:hAnsi="Arial"/>
                <w:sz w:val="12"/>
                <w:szCs w:val="12"/>
                <w:color w:val="202E39"/>
              </w:rPr>
              <w:t>Launch of Commercial</w:t>
            </w:r>
          </w:p>
        </w:tc>
        <w:tc>
          <w:tcPr>
            <w:tcW w:w="0" w:type="dxa"/>
            <w:vAlign w:val="bottom"/>
          </w:tcPr>
          <w:p>
            <w:pPr>
              <w:spacing w:after="0"/>
              <w:rPr>
                <w:sz w:val="1"/>
                <w:szCs w:val="1"/>
                <w:color w:val="auto"/>
              </w:rPr>
            </w:pPr>
          </w:p>
        </w:tc>
      </w:tr>
      <w:tr>
        <w:trPr>
          <w:trHeight w:val="118"/>
        </w:trPr>
        <w:tc>
          <w:tcPr>
            <w:tcW w:w="2660" w:type="dxa"/>
            <w:vAlign w:val="bottom"/>
            <w:vMerge w:val="continue"/>
          </w:tcPr>
          <w:p>
            <w:pPr>
              <w:spacing w:after="0"/>
              <w:rPr>
                <w:sz w:val="10"/>
                <w:szCs w:val="10"/>
                <w:color w:val="auto"/>
              </w:rPr>
            </w:pPr>
          </w:p>
        </w:tc>
        <w:tc>
          <w:tcPr>
            <w:tcW w:w="7140" w:type="dxa"/>
            <w:vAlign w:val="bottom"/>
            <w:gridSpan w:val="2"/>
          </w:tcPr>
          <w:p>
            <w:pPr>
              <w:ind w:left="2680"/>
              <w:spacing w:after="0" w:line="118" w:lineRule="exact"/>
              <w:rPr>
                <w:sz w:val="20"/>
                <w:szCs w:val="20"/>
                <w:color w:val="auto"/>
              </w:rPr>
            </w:pPr>
            <w:r>
              <w:rPr>
                <w:rFonts w:ascii="Arial" w:cs="Arial" w:eastAsia="Arial" w:hAnsi="Arial"/>
                <w:sz w:val="12"/>
                <w:szCs w:val="12"/>
                <w:color w:val="202E39"/>
              </w:rPr>
              <w:t>Service on Satellite</w:t>
            </w:r>
          </w:p>
        </w:tc>
        <w:tc>
          <w:tcPr>
            <w:tcW w:w="0" w:type="dxa"/>
            <w:vAlign w:val="bottom"/>
          </w:tcPr>
          <w:p>
            <w:pPr>
              <w:spacing w:after="0"/>
              <w:rPr>
                <w:sz w:val="1"/>
                <w:szCs w:val="1"/>
                <w:color w:val="auto"/>
              </w:rPr>
            </w:pPr>
          </w:p>
        </w:tc>
      </w:tr>
      <w:tr>
        <w:trPr>
          <w:trHeight w:val="141"/>
        </w:trPr>
        <w:tc>
          <w:tcPr>
            <w:tcW w:w="2660" w:type="dxa"/>
            <w:vAlign w:val="bottom"/>
          </w:tcPr>
          <w:p>
            <w:pPr>
              <w:spacing w:after="0"/>
              <w:rPr>
                <w:sz w:val="20"/>
                <w:szCs w:val="20"/>
                <w:color w:val="auto"/>
              </w:rPr>
            </w:pPr>
            <w:r>
              <w:rPr>
                <w:rFonts w:ascii="Arial" w:cs="Arial" w:eastAsia="Arial" w:hAnsi="Arial"/>
                <w:sz w:val="12"/>
                <w:szCs w:val="12"/>
                <w:color w:val="202E39"/>
              </w:rPr>
              <w:t>breakeven</w:t>
            </w:r>
          </w:p>
        </w:tc>
        <w:tc>
          <w:tcPr>
            <w:tcW w:w="314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0"/>
        </w:trPr>
        <w:tc>
          <w:tcPr>
            <w:tcW w:w="2660" w:type="dxa"/>
            <w:vAlign w:val="bottom"/>
            <w:vMerge w:val="restart"/>
          </w:tcPr>
          <w:p>
            <w:pPr>
              <w:ind w:left="1040"/>
              <w:spacing w:after="0"/>
              <w:rPr>
                <w:sz w:val="20"/>
                <w:szCs w:val="20"/>
                <w:color w:val="auto"/>
              </w:rPr>
            </w:pPr>
            <w:r>
              <w:rPr>
                <w:rFonts w:ascii="Arial" w:cs="Arial" w:eastAsia="Arial" w:hAnsi="Arial"/>
                <w:sz w:val="14"/>
                <w:szCs w:val="14"/>
                <w:b w:val="1"/>
                <w:bCs w:val="1"/>
                <w:color w:val="FFFFFF"/>
              </w:rPr>
              <w:t>3-5 Years</w:t>
            </w:r>
          </w:p>
        </w:tc>
        <w:tc>
          <w:tcPr>
            <w:tcW w:w="3140" w:type="dxa"/>
            <w:vAlign w:val="bottom"/>
            <w:vMerge w:val="restart"/>
          </w:tcPr>
          <w:p>
            <w:pPr>
              <w:jc w:val="center"/>
              <w:spacing w:after="0"/>
              <w:rPr>
                <w:sz w:val="20"/>
                <w:szCs w:val="20"/>
                <w:color w:val="auto"/>
              </w:rPr>
            </w:pPr>
            <w:r>
              <w:rPr>
                <w:rFonts w:ascii="Arial" w:cs="Arial" w:eastAsia="Arial" w:hAnsi="Arial"/>
                <w:sz w:val="14"/>
                <w:szCs w:val="14"/>
                <w:b w:val="1"/>
                <w:bCs w:val="1"/>
                <w:color w:val="FFFFFF"/>
                <w:w w:val="99"/>
              </w:rPr>
              <w:t>3-4 Years</w:t>
            </w:r>
          </w:p>
        </w:tc>
        <w:tc>
          <w:tcPr>
            <w:tcW w:w="4000" w:type="dxa"/>
            <w:vAlign w:val="bottom"/>
          </w:tcPr>
          <w:p>
            <w:pPr>
              <w:ind w:left="480"/>
              <w:spacing w:after="0"/>
              <w:rPr>
                <w:sz w:val="20"/>
                <w:szCs w:val="20"/>
                <w:color w:val="auto"/>
              </w:rPr>
            </w:pPr>
            <w:r>
              <w:rPr>
                <w:rFonts w:ascii="Arial" w:cs="Arial" w:eastAsia="Arial" w:hAnsi="Arial"/>
                <w:sz w:val="14"/>
                <w:szCs w:val="14"/>
                <w:b w:val="1"/>
                <w:bCs w:val="1"/>
                <w:color w:val="FFFFFF"/>
              </w:rPr>
              <w:t>Investments create assets for long-term revenue</w:t>
            </w:r>
          </w:p>
        </w:tc>
        <w:tc>
          <w:tcPr>
            <w:tcW w:w="0" w:type="dxa"/>
            <w:vAlign w:val="bottom"/>
          </w:tcPr>
          <w:p>
            <w:pPr>
              <w:spacing w:after="0"/>
              <w:rPr>
                <w:sz w:val="1"/>
                <w:szCs w:val="1"/>
                <w:color w:val="auto"/>
              </w:rPr>
            </w:pPr>
          </w:p>
        </w:tc>
      </w:tr>
      <w:tr>
        <w:trPr>
          <w:trHeight w:val="98"/>
        </w:trPr>
        <w:tc>
          <w:tcPr>
            <w:tcW w:w="2660" w:type="dxa"/>
            <w:vAlign w:val="bottom"/>
            <w:vMerge w:val="continue"/>
          </w:tcPr>
          <w:p>
            <w:pPr>
              <w:spacing w:after="0"/>
              <w:rPr>
                <w:sz w:val="8"/>
                <w:szCs w:val="8"/>
                <w:color w:val="auto"/>
              </w:rPr>
            </w:pPr>
          </w:p>
        </w:tc>
        <w:tc>
          <w:tcPr>
            <w:tcW w:w="3140" w:type="dxa"/>
            <w:vAlign w:val="bottom"/>
            <w:vMerge w:val="continue"/>
          </w:tcPr>
          <w:p>
            <w:pPr>
              <w:spacing w:after="0"/>
              <w:rPr>
                <w:sz w:val="8"/>
                <w:szCs w:val="8"/>
                <w:color w:val="auto"/>
              </w:rPr>
            </w:pPr>
          </w:p>
        </w:tc>
        <w:tc>
          <w:tcPr>
            <w:tcW w:w="4000" w:type="dxa"/>
            <w:vAlign w:val="bottom"/>
            <w:vMerge w:val="restart"/>
          </w:tcPr>
          <w:p>
            <w:pPr>
              <w:ind w:left="1740"/>
              <w:spacing w:after="0"/>
              <w:rPr>
                <w:sz w:val="20"/>
                <w:szCs w:val="20"/>
                <w:color w:val="auto"/>
              </w:rPr>
            </w:pPr>
            <w:r>
              <w:rPr>
                <w:rFonts w:ascii="Arial" w:cs="Arial" w:eastAsia="Arial" w:hAnsi="Arial"/>
                <w:sz w:val="14"/>
                <w:szCs w:val="14"/>
                <w:b w:val="1"/>
                <w:bCs w:val="1"/>
                <w:color w:val="FFFFFF"/>
              </w:rPr>
              <w:t>generation</w:t>
            </w:r>
          </w:p>
        </w:tc>
        <w:tc>
          <w:tcPr>
            <w:tcW w:w="0" w:type="dxa"/>
            <w:vAlign w:val="bottom"/>
          </w:tcPr>
          <w:p>
            <w:pPr>
              <w:spacing w:after="0"/>
              <w:rPr>
                <w:sz w:val="1"/>
                <w:szCs w:val="1"/>
                <w:color w:val="auto"/>
              </w:rPr>
            </w:pPr>
          </w:p>
        </w:tc>
      </w:tr>
      <w:tr>
        <w:trPr>
          <w:trHeight w:val="86"/>
        </w:trPr>
        <w:tc>
          <w:tcPr>
            <w:tcW w:w="2660" w:type="dxa"/>
            <w:vAlign w:val="bottom"/>
          </w:tcPr>
          <w:p>
            <w:pPr>
              <w:spacing w:after="0"/>
              <w:rPr>
                <w:sz w:val="7"/>
                <w:szCs w:val="7"/>
                <w:color w:val="auto"/>
              </w:rPr>
            </w:pPr>
          </w:p>
        </w:tc>
        <w:tc>
          <w:tcPr>
            <w:tcW w:w="3140" w:type="dxa"/>
            <w:vAlign w:val="bottom"/>
          </w:tcPr>
          <w:p>
            <w:pPr>
              <w:spacing w:after="0"/>
              <w:rPr>
                <w:sz w:val="7"/>
                <w:szCs w:val="7"/>
                <w:color w:val="auto"/>
              </w:rPr>
            </w:pPr>
          </w:p>
        </w:tc>
        <w:tc>
          <w:tcPr>
            <w:tcW w:w="4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right"/>
        <w:spacing w:after="0"/>
        <w:rPr>
          <w:sz w:val="20"/>
          <w:szCs w:val="20"/>
          <w:color w:val="auto"/>
        </w:rPr>
      </w:pPr>
      <w:r>
        <w:rPr>
          <w:rFonts w:ascii="Arial" w:cs="Arial" w:eastAsia="Arial" w:hAnsi="Arial"/>
          <w:sz w:val="9"/>
          <w:szCs w:val="9"/>
          <w:color w:val="7F7F7F"/>
        </w:rPr>
        <w:t>4</w:t>
      </w:r>
    </w:p>
    <w:p>
      <w:pPr>
        <w:sectPr>
          <w:pgSz w:w="11900" w:h="16838" w:orient="portrait"/>
          <w:cols w:equalWidth="0" w:num="1">
            <w:col w:w="10140"/>
          </w:cols>
          <w:pgMar w:left="920" w:top="894" w:right="839" w:bottom="1440" w:gutter="0" w:footer="0" w:header="0"/>
        </w:sectPr>
      </w:pPr>
    </w:p>
    <w:bookmarkStart w:id="5" w:name="page6"/>
    <w:bookmarkEnd w:id="5"/>
    <w:p>
      <w:pPr>
        <w:spacing w:after="0"/>
        <w:rPr>
          <w:sz w:val="20"/>
          <w:szCs w:val="20"/>
          <w:color w:val="auto"/>
        </w:rPr>
      </w:pPr>
      <w:r>
        <w:rPr>
          <w:rFonts w:ascii="Arial" w:cs="Arial" w:eastAsia="Arial" w:hAnsi="Arial"/>
          <w:sz w:val="37"/>
          <w:szCs w:val="37"/>
          <w:color w:val="202E39"/>
        </w:rPr>
        <w:drawing>
          <wp:anchor simplePos="0" relativeHeight="251657728" behindDoc="1" locked="0" layoutInCell="0" allowOverlap="1">
            <wp:simplePos x="0" y="0"/>
            <wp:positionH relativeFrom="page">
              <wp:posOffset>130810</wp:posOffset>
            </wp:positionH>
            <wp:positionV relativeFrom="page">
              <wp:posOffset>88900</wp:posOffset>
            </wp:positionV>
            <wp:extent cx="7313930" cy="40595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13930" cy="4059555"/>
                    </a:xfrm>
                    <a:prstGeom prst="rect">
                      <a:avLst/>
                    </a:prstGeom>
                    <a:noFill/>
                  </pic:spPr>
                </pic:pic>
              </a:graphicData>
            </a:graphic>
          </wp:anchor>
        </w:drawing>
        <w:t>Our business strategy has delivered strong financial results</w:t>
      </w:r>
    </w:p>
    <w:p>
      <w:pPr>
        <w:spacing w:after="0" w:line="91" w:lineRule="exact"/>
        <w:rPr>
          <w:sz w:val="20"/>
          <w:szCs w:val="20"/>
          <w:color w:val="auto"/>
        </w:rPr>
      </w:pPr>
    </w:p>
    <w:p>
      <w:pPr>
        <w:jc w:val="center"/>
        <w:ind w:right="-179"/>
        <w:spacing w:after="0"/>
        <w:rPr>
          <w:sz w:val="20"/>
          <w:szCs w:val="20"/>
          <w:color w:val="auto"/>
        </w:rPr>
      </w:pPr>
      <w:r>
        <w:rPr>
          <w:rFonts w:ascii="Arial" w:cs="Arial" w:eastAsia="Arial" w:hAnsi="Arial"/>
          <w:sz w:val="21"/>
          <w:szCs w:val="21"/>
          <w:b w:val="1"/>
          <w:bCs w:val="1"/>
          <w:color w:val="auto"/>
        </w:rPr>
        <w:t>Principal Strategy Elements</w:t>
      </w:r>
    </w:p>
    <w:p>
      <w:pPr>
        <w:sectPr>
          <w:pgSz w:w="11900" w:h="16838" w:orient="portrait"/>
          <w:cols w:equalWidth="0" w:num="1">
            <w:col w:w="10860"/>
          </w:cols>
          <w:pgMar w:left="480" w:top="1098" w:right="559" w:bottom="1440" w:gutter="0" w:footer="0" w:header="0"/>
        </w:sectPr>
      </w:pPr>
    </w:p>
    <w:p>
      <w:pPr>
        <w:spacing w:after="0" w:line="329" w:lineRule="exact"/>
        <w:rPr>
          <w:sz w:val="20"/>
          <w:szCs w:val="20"/>
          <w:color w:val="auto"/>
        </w:rPr>
      </w:pPr>
    </w:p>
    <w:p>
      <w:pPr>
        <w:ind w:left="340" w:firstLine="161"/>
        <w:spacing w:after="0" w:line="317" w:lineRule="auto"/>
        <w:rPr>
          <w:sz w:val="20"/>
          <w:szCs w:val="20"/>
          <w:color w:val="auto"/>
        </w:rPr>
      </w:pPr>
      <w:r>
        <w:rPr>
          <w:rFonts w:ascii="Arial" w:cs="Arial" w:eastAsia="Arial" w:hAnsi="Arial"/>
          <w:sz w:val="12"/>
          <w:szCs w:val="12"/>
          <w:b w:val="1"/>
          <w:bCs w:val="1"/>
          <w:color w:val="FFFFFF"/>
        </w:rPr>
        <w:t>Maintain Focus on Technology Leadership</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ind w:firstLine="64"/>
        <w:spacing w:after="0" w:line="317" w:lineRule="auto"/>
        <w:rPr>
          <w:sz w:val="20"/>
          <w:szCs w:val="20"/>
          <w:color w:val="auto"/>
        </w:rPr>
      </w:pPr>
      <w:r>
        <w:rPr>
          <w:rFonts w:ascii="Arial" w:cs="Arial" w:eastAsia="Arial" w:hAnsi="Arial"/>
          <w:sz w:val="12"/>
          <w:szCs w:val="12"/>
          <w:b w:val="1"/>
          <w:bCs w:val="1"/>
          <w:color w:val="FFFFFF"/>
        </w:rPr>
        <w:t>Continue Expansion into New and Adjacent Markets</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tabs>
          <w:tab w:leader="none" w:pos="2280" w:val="left"/>
        </w:tabs>
        <w:rPr>
          <w:sz w:val="20"/>
          <w:szCs w:val="20"/>
          <w:color w:val="auto"/>
        </w:rPr>
      </w:pPr>
      <w:r>
        <w:rPr>
          <w:rFonts w:ascii="Arial" w:cs="Arial" w:eastAsia="Arial" w:hAnsi="Arial"/>
          <w:sz w:val="13"/>
          <w:szCs w:val="13"/>
          <w:b w:val="1"/>
          <w:bCs w:val="1"/>
          <w:color w:val="FFFFFF"/>
        </w:rPr>
        <w:t>Drive Efficiencies of Scale</w:t>
      </w:r>
      <w:r>
        <w:rPr>
          <w:sz w:val="20"/>
          <w:szCs w:val="20"/>
          <w:color w:val="auto"/>
        </w:rPr>
        <w:tab/>
      </w:r>
      <w:r>
        <w:rPr>
          <w:rFonts w:ascii="Arial" w:cs="Arial" w:eastAsia="Arial" w:hAnsi="Arial"/>
          <w:sz w:val="12"/>
          <w:szCs w:val="12"/>
          <w:b w:val="1"/>
          <w:bCs w:val="1"/>
          <w:color w:val="FFFFFF"/>
        </w:rPr>
        <w:t>Continue International</w:t>
      </w:r>
    </w:p>
    <w:p>
      <w:pPr>
        <w:spacing w:after="0" w:line="17" w:lineRule="exact"/>
        <w:rPr>
          <w:sz w:val="20"/>
          <w:szCs w:val="20"/>
          <w:color w:val="auto"/>
        </w:rPr>
      </w:pPr>
    </w:p>
    <w:p>
      <w:pPr>
        <w:ind w:left="320"/>
        <w:spacing w:after="0"/>
        <w:tabs>
          <w:tab w:leader="none" w:pos="2660" w:val="left"/>
        </w:tabs>
        <w:rPr>
          <w:sz w:val="20"/>
          <w:szCs w:val="20"/>
          <w:color w:val="auto"/>
        </w:rPr>
      </w:pPr>
      <w:r>
        <w:rPr>
          <w:rFonts w:ascii="Arial" w:cs="Arial" w:eastAsia="Arial" w:hAnsi="Arial"/>
          <w:sz w:val="13"/>
          <w:szCs w:val="13"/>
          <w:b w:val="1"/>
          <w:bCs w:val="1"/>
          <w:color w:val="FFFFFF"/>
        </w:rPr>
        <w:t>and Operations</w:t>
      </w:r>
      <w:r>
        <w:rPr>
          <w:sz w:val="20"/>
          <w:szCs w:val="20"/>
          <w:color w:val="auto"/>
        </w:rPr>
        <w:tab/>
      </w:r>
      <w:r>
        <w:rPr>
          <w:rFonts w:ascii="Arial" w:cs="Arial" w:eastAsia="Arial" w:hAnsi="Arial"/>
          <w:sz w:val="12"/>
          <w:szCs w:val="12"/>
          <w:b w:val="1"/>
          <w:bCs w:val="1"/>
          <w:color w:val="FFFFFF"/>
        </w:rPr>
        <w:t>Expansion</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jc w:val="center"/>
        <w:ind w:right="160"/>
        <w:spacing w:after="0"/>
        <w:rPr>
          <w:sz w:val="20"/>
          <w:szCs w:val="20"/>
          <w:color w:val="auto"/>
        </w:rPr>
      </w:pPr>
      <w:r>
        <w:rPr>
          <w:rFonts w:ascii="Arial" w:cs="Arial" w:eastAsia="Arial" w:hAnsi="Arial"/>
          <w:sz w:val="13"/>
          <w:szCs w:val="13"/>
          <w:b w:val="1"/>
          <w:bCs w:val="1"/>
          <w:color w:val="FFFFFF"/>
        </w:rPr>
        <w:t>Pursue Growth Through</w:t>
      </w:r>
    </w:p>
    <w:p>
      <w:pPr>
        <w:spacing w:after="0" w:line="17" w:lineRule="exact"/>
        <w:rPr>
          <w:sz w:val="20"/>
          <w:szCs w:val="20"/>
          <w:color w:val="auto"/>
        </w:rPr>
      </w:pPr>
    </w:p>
    <w:p>
      <w:pPr>
        <w:jc w:val="center"/>
        <w:ind w:right="160"/>
        <w:spacing w:after="0"/>
        <w:rPr>
          <w:sz w:val="20"/>
          <w:szCs w:val="20"/>
          <w:color w:val="auto"/>
        </w:rPr>
      </w:pPr>
      <w:r>
        <w:rPr>
          <w:rFonts w:ascii="Arial" w:cs="Arial" w:eastAsia="Arial" w:hAnsi="Arial"/>
          <w:sz w:val="13"/>
          <w:szCs w:val="13"/>
          <w:b w:val="1"/>
          <w:bCs w:val="1"/>
          <w:color w:val="FFFFFF"/>
        </w:rPr>
        <w:t>Strategic Alliances,</w:t>
      </w:r>
    </w:p>
    <w:p>
      <w:pPr>
        <w:spacing w:after="0" w:line="5" w:lineRule="exact"/>
        <w:rPr>
          <w:sz w:val="20"/>
          <w:szCs w:val="20"/>
          <w:color w:val="auto"/>
        </w:rPr>
      </w:pPr>
    </w:p>
    <w:p>
      <w:pPr>
        <w:spacing w:after="0"/>
        <w:rPr>
          <w:sz w:val="20"/>
          <w:szCs w:val="20"/>
          <w:color w:val="auto"/>
        </w:rPr>
      </w:pPr>
      <w:r>
        <w:rPr>
          <w:rFonts w:ascii="Arial" w:cs="Arial" w:eastAsia="Arial" w:hAnsi="Arial"/>
          <w:sz w:val="12"/>
          <w:szCs w:val="12"/>
          <w:b w:val="1"/>
          <w:bCs w:val="1"/>
          <w:color w:val="FFFFFF"/>
        </w:rPr>
        <w:t>Partnering Arrangements</w:t>
      </w:r>
    </w:p>
    <w:p>
      <w:pPr>
        <w:spacing w:after="0" w:line="19" w:lineRule="exact"/>
        <w:rPr>
          <w:sz w:val="20"/>
          <w:szCs w:val="20"/>
          <w:color w:val="auto"/>
        </w:rPr>
      </w:pPr>
    </w:p>
    <w:p>
      <w:pPr>
        <w:ind w:left="240"/>
        <w:spacing w:after="0"/>
        <w:rPr>
          <w:sz w:val="20"/>
          <w:szCs w:val="20"/>
          <w:color w:val="auto"/>
        </w:rPr>
      </w:pPr>
      <w:r>
        <w:rPr>
          <w:rFonts w:ascii="Arial" w:cs="Arial" w:eastAsia="Arial" w:hAnsi="Arial"/>
          <w:sz w:val="13"/>
          <w:szCs w:val="13"/>
          <w:b w:val="1"/>
          <w:bCs w:val="1"/>
          <w:color w:val="FFFFFF"/>
        </w:rPr>
        <w:t>and Relationships</w:t>
      </w:r>
    </w:p>
    <w:p>
      <w:pPr>
        <w:spacing w:after="0" w:line="85" w:lineRule="exact"/>
        <w:rPr>
          <w:sz w:val="20"/>
          <w:szCs w:val="20"/>
          <w:color w:val="auto"/>
        </w:rPr>
      </w:pPr>
    </w:p>
    <w:p>
      <w:pPr>
        <w:sectPr>
          <w:pgSz w:w="11900" w:h="16838" w:orient="portrait"/>
          <w:cols w:equalWidth="0" w:num="4">
            <w:col w:w="1780" w:space="680"/>
            <w:col w:w="1640" w:space="600"/>
            <w:col w:w="3700" w:space="720"/>
            <w:col w:w="1740"/>
          </w:cols>
          <w:pgMar w:left="480" w:top="1098" w:right="559" w:bottom="1440" w:gutter="0" w:footer="0" w:header="0"/>
          <w:type w:val="continuous"/>
        </w:sectPr>
      </w:pPr>
    </w:p>
    <w:p>
      <w:pPr>
        <w:ind w:left="300" w:hanging="114"/>
        <w:spacing w:after="0" w:line="206" w:lineRule="auto"/>
        <w:tabs>
          <w:tab w:leader="none" w:pos="300" w:val="left"/>
        </w:tabs>
        <w:numPr>
          <w:ilvl w:val="0"/>
          <w:numId w:val="9"/>
        </w:numPr>
        <w:rPr>
          <w:rFonts w:ascii="Arial" w:cs="Arial" w:eastAsia="Arial" w:hAnsi="Arial"/>
          <w:sz w:val="28"/>
          <w:szCs w:val="28"/>
          <w:color w:val="202E39"/>
          <w:vertAlign w:val="subscript"/>
        </w:rPr>
      </w:pPr>
      <w:r>
        <w:rPr>
          <w:rFonts w:ascii="Arial" w:cs="Arial" w:eastAsia="Arial" w:hAnsi="Arial"/>
          <w:sz w:val="12"/>
          <w:szCs w:val="12"/>
          <w:color w:val="202E39"/>
        </w:rPr>
        <w:t>Through a focus on R&amp;D, we aim to maintain our leadership position in satellite systems, technologies and services, while expanding efforts in wireless communications, cloud networking and security</w:t>
      </w:r>
    </w:p>
    <w:p>
      <w:pPr>
        <w:spacing w:after="0" w:line="268" w:lineRule="exact"/>
        <w:rPr>
          <w:rFonts w:ascii="Arial" w:cs="Arial" w:eastAsia="Arial" w:hAnsi="Arial"/>
          <w:sz w:val="28"/>
          <w:szCs w:val="28"/>
          <w:color w:val="202E39"/>
          <w:vertAlign w:val="subscript"/>
        </w:rPr>
      </w:pPr>
    </w:p>
    <w:p>
      <w:pPr>
        <w:ind w:left="300" w:right="220"/>
        <w:spacing w:after="0" w:line="244" w:lineRule="auto"/>
        <w:rPr>
          <w:rFonts w:ascii="Arial" w:cs="Arial" w:eastAsia="Arial" w:hAnsi="Arial"/>
          <w:sz w:val="28"/>
          <w:szCs w:val="28"/>
          <w:color w:val="202E39"/>
          <w:vertAlign w:val="subscript"/>
        </w:rPr>
      </w:pPr>
      <w:r>
        <w:rPr>
          <w:rFonts w:ascii="Arial" w:cs="Arial" w:eastAsia="Arial" w:hAnsi="Arial"/>
          <w:sz w:val="12"/>
          <w:szCs w:val="12"/>
          <w:color w:val="202E39"/>
        </w:rPr>
        <w:t>Rapid growth of in-flight connectivity (IFC) is driving revenues and market share gains</w:t>
      </w:r>
    </w:p>
    <w:p>
      <w:pPr>
        <w:spacing w:after="0" w:line="35" w:lineRule="exact"/>
        <w:rPr>
          <w:rFonts w:ascii="Arial" w:cs="Arial" w:eastAsia="Arial" w:hAnsi="Arial"/>
          <w:sz w:val="28"/>
          <w:szCs w:val="28"/>
          <w:color w:val="202E39"/>
          <w:vertAlign w:val="subscript"/>
        </w:rPr>
      </w:pPr>
    </w:p>
    <w:p>
      <w:pPr>
        <w:ind w:left="420" w:hanging="116"/>
        <w:spacing w:after="0"/>
        <w:tabs>
          <w:tab w:leader="none" w:pos="420" w:val="left"/>
        </w:tabs>
        <w:numPr>
          <w:ilvl w:val="1"/>
          <w:numId w:val="9"/>
        </w:numPr>
        <w:rPr>
          <w:rFonts w:ascii="Arial" w:cs="Arial" w:eastAsia="Arial" w:hAnsi="Arial"/>
          <w:sz w:val="12"/>
          <w:szCs w:val="12"/>
          <w:color w:val="BFD733"/>
        </w:rPr>
      </w:pPr>
      <w:r>
        <w:rPr>
          <w:rFonts w:ascii="Arial" w:cs="Arial" w:eastAsia="Arial" w:hAnsi="Arial"/>
          <w:sz w:val="12"/>
          <w:szCs w:val="12"/>
          <w:color w:val="202E39"/>
        </w:rPr>
        <w:t xml:space="preserve">1,312 tails in service </w:t>
      </w:r>
      <w:r>
        <w:rPr>
          <w:rFonts w:ascii="Arial" w:cs="Arial" w:eastAsia="Arial" w:hAnsi="Arial"/>
          <w:sz w:val="15"/>
          <w:szCs w:val="15"/>
          <w:color w:val="202E39"/>
          <w:vertAlign w:val="superscript"/>
        </w:rPr>
        <w:t>(4)</w:t>
      </w:r>
    </w:p>
    <w:p>
      <w:pPr>
        <w:spacing w:after="0" w:line="110" w:lineRule="exact"/>
        <w:rPr>
          <w:rFonts w:ascii="Arial" w:cs="Arial" w:eastAsia="Arial" w:hAnsi="Arial"/>
          <w:sz w:val="12"/>
          <w:szCs w:val="12"/>
          <w:color w:val="BFD733"/>
        </w:rPr>
      </w:pPr>
    </w:p>
    <w:p>
      <w:pPr>
        <w:ind w:left="420" w:hanging="116"/>
        <w:spacing w:after="0"/>
        <w:tabs>
          <w:tab w:leader="none" w:pos="420" w:val="left"/>
        </w:tabs>
        <w:numPr>
          <w:ilvl w:val="1"/>
          <w:numId w:val="9"/>
        </w:numPr>
        <w:rPr>
          <w:rFonts w:ascii="Arial" w:cs="Arial" w:eastAsia="Arial" w:hAnsi="Arial"/>
          <w:sz w:val="12"/>
          <w:szCs w:val="12"/>
          <w:color w:val="BFD733"/>
        </w:rPr>
      </w:pPr>
      <w:r>
        <w:rPr>
          <w:rFonts w:ascii="Arial" w:cs="Arial" w:eastAsia="Arial" w:hAnsi="Arial"/>
          <w:sz w:val="12"/>
          <w:szCs w:val="12"/>
          <w:color w:val="202E39"/>
        </w:rPr>
        <w:t>700+ IFC terminal shipments</w:t>
      </w:r>
    </w:p>
    <w:p>
      <w:pPr>
        <w:spacing w:after="0" w:line="20" w:lineRule="exact"/>
        <w:rPr>
          <w:sz w:val="20"/>
          <w:szCs w:val="20"/>
          <w:color w:val="auto"/>
        </w:rPr>
      </w:pPr>
      <w:r>
        <w:rPr>
          <w:sz w:val="20"/>
          <w:szCs w:val="20"/>
          <w:color w:val="auto"/>
        </w:rPr>
        <w:br w:type="column"/>
      </w:r>
    </w:p>
    <w:p>
      <w:pPr>
        <w:ind w:left="114" w:right="20" w:hanging="114"/>
        <w:spacing w:after="0" w:line="224" w:lineRule="auto"/>
        <w:tabs>
          <w:tab w:leader="none" w:pos="114" w:val="left"/>
        </w:tabs>
        <w:numPr>
          <w:ilvl w:val="0"/>
          <w:numId w:val="10"/>
        </w:numPr>
        <w:rPr>
          <w:rFonts w:ascii="Arial" w:cs="Arial" w:eastAsia="Arial" w:hAnsi="Arial"/>
          <w:sz w:val="26"/>
          <w:szCs w:val="26"/>
          <w:color w:val="202E39"/>
          <w:vertAlign w:val="subscript"/>
        </w:rPr>
      </w:pPr>
      <w:r>
        <w:rPr>
          <w:rFonts w:ascii="Arial" w:cs="Arial" w:eastAsia="Arial" w:hAnsi="Arial"/>
          <w:sz w:val="11"/>
          <w:szCs w:val="11"/>
          <w:color w:val="202E39"/>
        </w:rPr>
        <w:t>Leverage opportunities to create or address new and adjacent markets as technological advancements disrupt existing business models and drive shifts in target markets or user demand</w:t>
      </w:r>
    </w:p>
    <w:p>
      <w:pPr>
        <w:spacing w:after="0" w:line="268" w:lineRule="exact"/>
        <w:rPr>
          <w:sz w:val="20"/>
          <w:szCs w:val="20"/>
          <w:color w:val="auto"/>
        </w:rPr>
      </w:pPr>
    </w:p>
    <w:p>
      <w:pPr>
        <w:ind w:left="154" w:right="40"/>
        <w:spacing w:after="0" w:line="278" w:lineRule="auto"/>
        <w:rPr>
          <w:sz w:val="20"/>
          <w:szCs w:val="20"/>
          <w:color w:val="auto"/>
        </w:rPr>
      </w:pPr>
      <w:r>
        <w:rPr>
          <w:rFonts w:ascii="Arial" w:cs="Arial" w:eastAsia="Arial" w:hAnsi="Arial"/>
          <w:sz w:val="11"/>
          <w:szCs w:val="11"/>
          <w:color w:val="auto"/>
        </w:rPr>
        <w:t xml:space="preserve">Improved capabilities in large geographic areas provide </w:t>
      </w:r>
      <w:r>
        <w:rPr>
          <w:rFonts w:ascii="Arial" w:cs="Arial" w:eastAsia="Arial" w:hAnsi="Arial"/>
          <w:sz w:val="11"/>
          <w:szCs w:val="11"/>
          <w:color w:val="202E39"/>
        </w:rPr>
        <w:t>strong growth potential</w:t>
      </w:r>
    </w:p>
    <w:p>
      <w:pPr>
        <w:spacing w:after="0" w:line="22" w:lineRule="exact"/>
        <w:rPr>
          <w:sz w:val="20"/>
          <w:szCs w:val="20"/>
          <w:color w:val="auto"/>
        </w:rPr>
      </w:pPr>
    </w:p>
    <w:p>
      <w:pPr>
        <w:ind w:left="274" w:hanging="113"/>
        <w:spacing w:after="0" w:line="244" w:lineRule="auto"/>
        <w:tabs>
          <w:tab w:leader="none" w:pos="274" w:val="left"/>
        </w:tabs>
        <w:numPr>
          <w:ilvl w:val="0"/>
          <w:numId w:val="11"/>
        </w:numPr>
        <w:rPr>
          <w:rFonts w:ascii="Arial" w:cs="Arial" w:eastAsia="Arial" w:hAnsi="Arial"/>
          <w:sz w:val="12"/>
          <w:szCs w:val="12"/>
          <w:color w:val="BFD733"/>
        </w:rPr>
      </w:pPr>
      <w:r>
        <w:rPr>
          <w:rFonts w:ascii="Arial" w:cs="Arial" w:eastAsia="Arial" w:hAnsi="Arial"/>
          <w:sz w:val="12"/>
          <w:szCs w:val="12"/>
          <w:color w:val="202E39"/>
        </w:rPr>
        <w:t>1 million people within walking range of hotspots in Mexico</w:t>
      </w:r>
    </w:p>
    <w:p>
      <w:pPr>
        <w:spacing w:after="0" w:line="20" w:lineRule="exact"/>
        <w:rPr>
          <w:sz w:val="20"/>
          <w:szCs w:val="20"/>
          <w:color w:val="auto"/>
        </w:rPr>
      </w:pPr>
      <w:r>
        <w:rPr>
          <w:sz w:val="20"/>
          <w:szCs w:val="20"/>
          <w:color w:val="auto"/>
        </w:rPr>
        <w:br w:type="column"/>
      </w:r>
    </w:p>
    <w:p>
      <w:pPr>
        <w:ind w:left="116" w:right="140" w:hanging="116"/>
        <w:spacing w:after="0" w:line="218" w:lineRule="auto"/>
        <w:tabs>
          <w:tab w:leader="none" w:pos="116" w:val="left"/>
        </w:tabs>
        <w:numPr>
          <w:ilvl w:val="0"/>
          <w:numId w:val="12"/>
        </w:numPr>
        <w:rPr>
          <w:rFonts w:ascii="Arial" w:cs="Arial" w:eastAsia="Arial" w:hAnsi="Arial"/>
          <w:sz w:val="26"/>
          <w:szCs w:val="26"/>
          <w:color w:val="202E39"/>
          <w:vertAlign w:val="subscript"/>
        </w:rPr>
      </w:pPr>
      <w:r>
        <w:rPr>
          <w:rFonts w:ascii="Arial" w:cs="Arial" w:eastAsia="Arial" w:hAnsi="Arial"/>
          <w:sz w:val="11"/>
          <w:szCs w:val="11"/>
          <w:color w:val="202E39"/>
        </w:rPr>
        <w:t>Vertically integrated end-to-end platform of leading broadband technologies positions us to drive operating efficiencies and cost-effectively deliver our diverse portfolio of offerings</w:t>
      </w:r>
    </w:p>
    <w:p>
      <w:pPr>
        <w:spacing w:after="0" w:line="398" w:lineRule="exact"/>
        <w:rPr>
          <w:sz w:val="20"/>
          <w:szCs w:val="20"/>
          <w:color w:val="auto"/>
        </w:rPr>
      </w:pPr>
    </w:p>
    <w:p>
      <w:pPr>
        <w:ind w:left="156" w:right="100"/>
        <w:spacing w:after="0" w:line="244" w:lineRule="auto"/>
        <w:rPr>
          <w:sz w:val="20"/>
          <w:szCs w:val="20"/>
          <w:color w:val="auto"/>
        </w:rPr>
      </w:pPr>
      <w:r>
        <w:rPr>
          <w:rFonts w:ascii="Arial" w:cs="Arial" w:eastAsia="Arial" w:hAnsi="Arial"/>
          <w:sz w:val="12"/>
          <w:szCs w:val="12"/>
          <w:color w:val="202E39"/>
        </w:rPr>
        <w:t>Improved operating efficiencies contributed to 44% year-over-year Adj. EBITDA growth for FY19</w:t>
      </w:r>
    </w:p>
    <w:p>
      <w:pPr>
        <w:spacing w:after="0" w:line="136" w:lineRule="exact"/>
        <w:rPr>
          <w:sz w:val="20"/>
          <w:szCs w:val="20"/>
          <w:color w:val="auto"/>
        </w:rPr>
      </w:pPr>
    </w:p>
    <w:p>
      <w:pPr>
        <w:ind w:left="156"/>
        <w:spacing w:after="0" w:line="267" w:lineRule="auto"/>
        <w:rPr>
          <w:sz w:val="20"/>
          <w:szCs w:val="20"/>
          <w:color w:val="auto"/>
        </w:rPr>
      </w:pPr>
      <w:r>
        <w:rPr>
          <w:rFonts w:ascii="Arial" w:cs="Arial" w:eastAsia="Arial" w:hAnsi="Arial"/>
          <w:sz w:val="11"/>
          <w:szCs w:val="11"/>
          <w:color w:val="202E39"/>
        </w:rPr>
        <w:t>ViaSat-3 global satellite constellation to further drive scale and operational efficiencies</w:t>
      </w:r>
    </w:p>
    <w:p>
      <w:pPr>
        <w:spacing w:after="0" w:line="20" w:lineRule="exact"/>
        <w:rPr>
          <w:sz w:val="20"/>
          <w:szCs w:val="20"/>
          <w:color w:val="auto"/>
        </w:rPr>
      </w:pPr>
      <w:r>
        <w:rPr>
          <w:sz w:val="20"/>
          <w:szCs w:val="20"/>
          <w:color w:val="auto"/>
        </w:rPr>
        <w:br w:type="column"/>
      </w:r>
    </w:p>
    <w:p>
      <w:pPr>
        <w:ind w:left="105" w:right="40" w:hanging="105"/>
        <w:spacing w:after="0" w:line="210" w:lineRule="auto"/>
        <w:tabs>
          <w:tab w:leader="none" w:pos="105" w:val="left"/>
        </w:tabs>
        <w:numPr>
          <w:ilvl w:val="0"/>
          <w:numId w:val="13"/>
        </w:numPr>
        <w:rPr>
          <w:rFonts w:ascii="Arial" w:cs="Arial" w:eastAsia="Arial" w:hAnsi="Arial"/>
          <w:sz w:val="28"/>
          <w:szCs w:val="28"/>
          <w:color w:val="202E39"/>
          <w:vertAlign w:val="subscript"/>
        </w:rPr>
      </w:pPr>
      <w:r>
        <w:rPr>
          <w:rFonts w:ascii="Arial" w:cs="Arial" w:eastAsia="Arial" w:hAnsi="Arial"/>
          <w:sz w:val="12"/>
          <w:szCs w:val="12"/>
          <w:color w:val="202E39"/>
        </w:rPr>
        <w:t>As our unique offerings become increasingly attractive internationally, our investment in new satellites is expected to create global coverage and enables the scalable, long-term global expansion of our business</w:t>
      </w:r>
    </w:p>
    <w:p>
      <w:pPr>
        <w:spacing w:after="0" w:line="117" w:lineRule="exact"/>
        <w:rPr>
          <w:sz w:val="20"/>
          <w:szCs w:val="20"/>
          <w:color w:val="auto"/>
        </w:rPr>
      </w:pPr>
    </w:p>
    <w:p>
      <w:pPr>
        <w:ind w:left="145" w:right="20"/>
        <w:spacing w:after="0" w:line="278" w:lineRule="auto"/>
        <w:rPr>
          <w:sz w:val="20"/>
          <w:szCs w:val="20"/>
          <w:color w:val="auto"/>
        </w:rPr>
      </w:pPr>
      <w:r>
        <w:rPr>
          <w:rFonts w:ascii="Arial" w:cs="Arial" w:eastAsia="Arial" w:hAnsi="Arial"/>
          <w:sz w:val="11"/>
          <w:szCs w:val="11"/>
          <w:color w:val="202E39"/>
        </w:rPr>
        <w:t>Expanded Community Wi-Fi into Mexico and Brazil in FY19 with global expansion potential</w:t>
      </w:r>
    </w:p>
    <w:p>
      <w:pPr>
        <w:spacing w:after="0" w:line="118" w:lineRule="exact"/>
        <w:rPr>
          <w:sz w:val="20"/>
          <w:szCs w:val="20"/>
          <w:color w:val="auto"/>
        </w:rPr>
      </w:pPr>
    </w:p>
    <w:p>
      <w:pPr>
        <w:ind w:left="145"/>
        <w:spacing w:after="0" w:line="266" w:lineRule="auto"/>
        <w:rPr>
          <w:sz w:val="20"/>
          <w:szCs w:val="20"/>
          <w:color w:val="auto"/>
        </w:rPr>
      </w:pPr>
      <w:r>
        <w:rPr>
          <w:rFonts w:ascii="Arial" w:cs="Arial" w:eastAsia="Arial" w:hAnsi="Arial"/>
          <w:sz w:val="11"/>
          <w:szCs w:val="11"/>
          <w:color w:val="202E39"/>
        </w:rPr>
        <w:t>ViaSat-3 class satellites expected to provide broadband services over the Americas, EMEA and APAC regions</w:t>
      </w:r>
    </w:p>
    <w:p>
      <w:pPr>
        <w:spacing w:after="0" w:line="20" w:lineRule="exact"/>
        <w:rPr>
          <w:sz w:val="20"/>
          <w:szCs w:val="20"/>
          <w:color w:val="auto"/>
        </w:rPr>
      </w:pPr>
      <w:r>
        <w:rPr>
          <w:sz w:val="20"/>
          <w:szCs w:val="20"/>
          <w:color w:val="auto"/>
        </w:rPr>
        <w:br w:type="column"/>
      </w:r>
    </w:p>
    <w:p>
      <w:pPr>
        <w:ind w:left="115" w:hanging="115"/>
        <w:spacing w:after="0" w:line="210" w:lineRule="auto"/>
        <w:tabs>
          <w:tab w:leader="none" w:pos="115" w:val="left"/>
        </w:tabs>
        <w:numPr>
          <w:ilvl w:val="0"/>
          <w:numId w:val="14"/>
        </w:numPr>
        <w:rPr>
          <w:rFonts w:ascii="Arial" w:cs="Arial" w:eastAsia="Arial" w:hAnsi="Arial"/>
          <w:sz w:val="28"/>
          <w:szCs w:val="28"/>
          <w:color w:val="202E39"/>
          <w:vertAlign w:val="subscript"/>
        </w:rPr>
      </w:pPr>
      <w:r>
        <w:rPr>
          <w:rFonts w:ascii="Arial" w:cs="Arial" w:eastAsia="Arial" w:hAnsi="Arial"/>
          <w:sz w:val="12"/>
          <w:szCs w:val="12"/>
          <w:color w:val="202E39"/>
        </w:rPr>
        <w:t>Actively seek strategic relationships with companies whose financial, marketing, operational or technological resources can accelerate the introduction of new technologies, offerings or the penetration of new markets</w:t>
      </w:r>
    </w:p>
    <w:p>
      <w:pPr>
        <w:spacing w:after="0" w:line="128" w:lineRule="exact"/>
        <w:rPr>
          <w:sz w:val="20"/>
          <w:szCs w:val="20"/>
          <w:color w:val="auto"/>
        </w:rPr>
      </w:pPr>
    </w:p>
    <w:p>
      <w:pPr>
        <w:jc w:val="both"/>
        <w:ind w:left="75" w:right="140"/>
        <w:spacing w:after="0" w:line="278" w:lineRule="auto"/>
        <w:rPr>
          <w:sz w:val="20"/>
          <w:szCs w:val="20"/>
          <w:color w:val="auto"/>
        </w:rPr>
      </w:pPr>
      <w:r>
        <w:rPr>
          <w:rFonts w:ascii="Arial" w:cs="Arial" w:eastAsia="Arial" w:hAnsi="Arial"/>
          <w:sz w:val="11"/>
          <w:szCs w:val="11"/>
          <w:color w:val="202E39"/>
        </w:rPr>
        <w:t>Strategic partnering with China Satcom expected to bring IFC service to airlines over China</w:t>
      </w:r>
    </w:p>
    <w:p>
      <w:pPr>
        <w:spacing w:after="0" w:line="65" w:lineRule="exact"/>
        <w:rPr>
          <w:sz w:val="20"/>
          <w:szCs w:val="20"/>
          <w:color w:val="auto"/>
        </w:rPr>
      </w:pPr>
    </w:p>
    <w:p>
      <w:pPr>
        <w:jc w:val="both"/>
        <w:ind w:left="75" w:right="140"/>
        <w:spacing w:after="0" w:line="278" w:lineRule="auto"/>
        <w:rPr>
          <w:sz w:val="20"/>
          <w:szCs w:val="20"/>
          <w:color w:val="auto"/>
        </w:rPr>
      </w:pPr>
      <w:r>
        <w:rPr>
          <w:rFonts w:ascii="Arial" w:cs="Arial" w:eastAsia="Arial" w:hAnsi="Arial"/>
          <w:sz w:val="11"/>
          <w:szCs w:val="11"/>
          <w:color w:val="202E39"/>
        </w:rPr>
        <w:t>Collaboration with Facebook to provide internet connectivity to remote regions in Mexico</w:t>
      </w:r>
    </w:p>
    <w:p>
      <w:pPr>
        <w:spacing w:after="0" w:line="375" w:lineRule="exact"/>
        <w:rPr>
          <w:sz w:val="20"/>
          <w:szCs w:val="20"/>
          <w:color w:val="auto"/>
        </w:rPr>
      </w:pPr>
    </w:p>
    <w:p>
      <w:pPr>
        <w:sectPr>
          <w:pgSz w:w="11900" w:h="16838" w:orient="portrait"/>
          <w:cols w:equalWidth="0" w:num="5">
            <w:col w:w="1960" w:space="446"/>
            <w:col w:w="1734" w:space="444"/>
            <w:col w:w="1876" w:space="355"/>
            <w:col w:w="1785" w:space="425"/>
            <w:col w:w="1835"/>
          </w:cols>
          <w:pgMar w:left="480" w:top="1098" w:right="559" w:bottom="1440" w:gutter="0" w:footer="0" w:header="0"/>
          <w:type w:val="continuous"/>
        </w:sectPr>
      </w:pP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900" w:type="dxa"/>
            <w:vAlign w:val="bottom"/>
          </w:tcPr>
          <w:p>
            <w:pPr>
              <w:spacing w:after="0"/>
              <w:rPr>
                <w:sz w:val="16"/>
                <w:szCs w:val="16"/>
                <w:color w:val="auto"/>
              </w:rPr>
            </w:pPr>
          </w:p>
        </w:tc>
        <w:tc>
          <w:tcPr>
            <w:tcW w:w="1760" w:type="dxa"/>
            <w:vAlign w:val="bottom"/>
            <w:vMerge w:val="restart"/>
          </w:tcPr>
          <w:p>
            <w:pPr>
              <w:ind w:left="880"/>
              <w:spacing w:after="0"/>
              <w:rPr>
                <w:sz w:val="20"/>
                <w:szCs w:val="20"/>
                <w:color w:val="auto"/>
              </w:rPr>
            </w:pPr>
            <w:r>
              <w:rPr>
                <w:rFonts w:ascii="Arial" w:cs="Arial" w:eastAsia="Arial" w:hAnsi="Arial"/>
                <w:sz w:val="16"/>
                <w:szCs w:val="16"/>
                <w:b w:val="1"/>
                <w:bCs w:val="1"/>
                <w:color w:val="009FE3"/>
              </w:rPr>
              <w:t>Revenue</w:t>
            </w:r>
          </w:p>
        </w:tc>
        <w:tc>
          <w:tcPr>
            <w:tcW w:w="1380" w:type="dxa"/>
            <w:vAlign w:val="bottom"/>
          </w:tcPr>
          <w:p>
            <w:pPr>
              <w:jc w:val="right"/>
              <w:ind w:right="97"/>
              <w:spacing w:after="0"/>
              <w:rPr>
                <w:sz w:val="20"/>
                <w:szCs w:val="20"/>
                <w:color w:val="auto"/>
              </w:rPr>
            </w:pPr>
            <w:r>
              <w:rPr>
                <w:rFonts w:ascii="Arial" w:cs="Arial" w:eastAsia="Arial" w:hAnsi="Arial"/>
                <w:sz w:val="11"/>
                <w:szCs w:val="11"/>
                <w:b w:val="1"/>
                <w:bCs w:val="1"/>
                <w:color w:val="009FE3"/>
              </w:rPr>
              <w:t>1</w:t>
            </w:r>
          </w:p>
        </w:tc>
        <w:tc>
          <w:tcPr>
            <w:tcW w:w="700" w:type="dxa"/>
            <w:vAlign w:val="bottom"/>
            <w:vMerge w:val="restart"/>
          </w:tcPr>
          <w:p>
            <w:pPr>
              <w:ind w:left="160"/>
              <w:spacing w:after="0"/>
              <w:rPr>
                <w:sz w:val="20"/>
                <w:szCs w:val="20"/>
                <w:color w:val="auto"/>
              </w:rPr>
            </w:pPr>
            <w:r>
              <w:rPr>
                <w:rFonts w:ascii="Arial" w:cs="Arial" w:eastAsia="Arial" w:hAnsi="Arial"/>
                <w:sz w:val="16"/>
                <w:szCs w:val="16"/>
                <w:b w:val="1"/>
                <w:bCs w:val="1"/>
                <w:color w:val="009FE3"/>
                <w:w w:val="99"/>
              </w:rPr>
              <w:t>Margin</w:t>
            </w:r>
          </w:p>
        </w:tc>
        <w:tc>
          <w:tcPr>
            <w:tcW w:w="780" w:type="dxa"/>
            <w:vAlign w:val="bottom"/>
          </w:tcPr>
          <w:p>
            <w:pPr>
              <w:jc w:val="right"/>
              <w:ind w:right="646"/>
              <w:spacing w:after="0"/>
              <w:rPr>
                <w:sz w:val="20"/>
                <w:szCs w:val="20"/>
                <w:color w:val="auto"/>
              </w:rPr>
            </w:pPr>
            <w:r>
              <w:rPr>
                <w:rFonts w:ascii="Arial" w:cs="Arial" w:eastAsia="Arial" w:hAnsi="Arial"/>
                <w:sz w:val="11"/>
                <w:szCs w:val="11"/>
                <w:b w:val="1"/>
                <w:bCs w:val="1"/>
                <w:color w:val="009FE3"/>
                <w:w w:val="97"/>
              </w:rPr>
              <w:t>2</w:t>
            </w:r>
          </w:p>
        </w:tc>
        <w:tc>
          <w:tcPr>
            <w:tcW w:w="2500" w:type="dxa"/>
            <w:vAlign w:val="bottom"/>
            <w:gridSpan w:val="2"/>
          </w:tcPr>
          <w:p>
            <w:pPr>
              <w:ind w:left="720"/>
              <w:spacing w:after="0"/>
              <w:rPr>
                <w:sz w:val="20"/>
                <w:szCs w:val="20"/>
                <w:color w:val="auto"/>
              </w:rPr>
            </w:pPr>
            <w:r>
              <w:rPr>
                <w:rFonts w:ascii="Arial" w:cs="Arial" w:eastAsia="Arial" w:hAnsi="Arial"/>
                <w:sz w:val="16"/>
                <w:szCs w:val="16"/>
                <w:b w:val="1"/>
                <w:bCs w:val="1"/>
                <w:color w:val="009FE3"/>
              </w:rPr>
              <w:t>New contract</w:t>
            </w:r>
          </w:p>
        </w:tc>
        <w:tc>
          <w:tcPr>
            <w:tcW w:w="1980" w:type="dxa"/>
            <w:vAlign w:val="bottom"/>
          </w:tcPr>
          <w:p>
            <w:pPr>
              <w:ind w:left="760"/>
              <w:spacing w:after="0"/>
              <w:rPr>
                <w:sz w:val="20"/>
                <w:szCs w:val="20"/>
                <w:color w:val="auto"/>
              </w:rPr>
            </w:pPr>
            <w:r>
              <w:rPr>
                <w:rFonts w:ascii="Arial" w:cs="Arial" w:eastAsia="Arial" w:hAnsi="Arial"/>
                <w:sz w:val="16"/>
                <w:szCs w:val="16"/>
                <w:b w:val="1"/>
                <w:bCs w:val="1"/>
                <w:color w:val="009FE3"/>
                <w:w w:val="99"/>
              </w:rPr>
              <w:t>U.S. Residential</w:t>
            </w:r>
          </w:p>
        </w:tc>
        <w:tc>
          <w:tcPr>
            <w:tcW w:w="0" w:type="dxa"/>
            <w:vAlign w:val="bottom"/>
          </w:tcPr>
          <w:p>
            <w:pPr>
              <w:spacing w:after="0"/>
              <w:rPr>
                <w:sz w:val="1"/>
                <w:szCs w:val="1"/>
                <w:color w:val="auto"/>
              </w:rPr>
            </w:pPr>
          </w:p>
        </w:tc>
      </w:tr>
      <w:tr>
        <w:trPr>
          <w:trHeight w:val="174"/>
        </w:trPr>
        <w:tc>
          <w:tcPr>
            <w:tcW w:w="900" w:type="dxa"/>
            <w:vAlign w:val="bottom"/>
            <w:vMerge w:val="restart"/>
          </w:tcPr>
          <w:p>
            <w:pPr>
              <w:jc w:val="right"/>
              <w:ind w:right="342"/>
              <w:spacing w:after="0"/>
              <w:rPr>
                <w:sz w:val="20"/>
                <w:szCs w:val="20"/>
                <w:color w:val="auto"/>
              </w:rPr>
            </w:pPr>
            <w:r>
              <w:rPr>
                <w:rFonts w:ascii="Arial" w:cs="Arial" w:eastAsia="Arial" w:hAnsi="Arial"/>
                <w:sz w:val="19"/>
                <w:szCs w:val="19"/>
                <w:b w:val="1"/>
                <w:bCs w:val="1"/>
                <w:color w:val="FFFFFF"/>
                <w:w w:val="94"/>
              </w:rPr>
              <w:t>FY’19</w:t>
            </w:r>
          </w:p>
        </w:tc>
        <w:tc>
          <w:tcPr>
            <w:tcW w:w="1760" w:type="dxa"/>
            <w:vAlign w:val="bottom"/>
            <w:vMerge w:val="continue"/>
          </w:tcPr>
          <w:p>
            <w:pPr>
              <w:spacing w:after="0"/>
              <w:rPr>
                <w:sz w:val="15"/>
                <w:szCs w:val="15"/>
                <w:color w:val="auto"/>
              </w:rPr>
            </w:pPr>
          </w:p>
        </w:tc>
        <w:tc>
          <w:tcPr>
            <w:tcW w:w="1380" w:type="dxa"/>
            <w:vAlign w:val="bottom"/>
          </w:tcPr>
          <w:p>
            <w:pPr>
              <w:ind w:left="220"/>
              <w:spacing w:after="0" w:line="175" w:lineRule="exact"/>
              <w:rPr>
                <w:sz w:val="20"/>
                <w:szCs w:val="20"/>
                <w:color w:val="auto"/>
              </w:rPr>
            </w:pPr>
            <w:r>
              <w:rPr>
                <w:rFonts w:ascii="Arial" w:cs="Arial" w:eastAsia="Arial" w:hAnsi="Arial"/>
                <w:sz w:val="16"/>
                <w:szCs w:val="16"/>
                <w:b w:val="1"/>
                <w:bCs w:val="1"/>
                <w:color w:val="009FE3"/>
              </w:rPr>
              <w:t>Adj. EBITDA</w:t>
            </w:r>
          </w:p>
        </w:tc>
        <w:tc>
          <w:tcPr>
            <w:tcW w:w="70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280" w:type="dxa"/>
            <w:vAlign w:val="bottom"/>
            <w:vMerge w:val="restart"/>
          </w:tcPr>
          <w:p>
            <w:pPr>
              <w:ind w:left="720"/>
              <w:spacing w:after="0"/>
              <w:rPr>
                <w:sz w:val="20"/>
                <w:szCs w:val="20"/>
                <w:color w:val="auto"/>
              </w:rPr>
            </w:pPr>
            <w:r>
              <w:rPr>
                <w:rFonts w:ascii="Arial" w:cs="Arial" w:eastAsia="Arial" w:hAnsi="Arial"/>
                <w:sz w:val="16"/>
                <w:szCs w:val="16"/>
                <w:b w:val="1"/>
                <w:bCs w:val="1"/>
                <w:color w:val="009FE3"/>
                <w:w w:val="97"/>
              </w:rPr>
              <w:t>awards</w:t>
            </w:r>
          </w:p>
        </w:tc>
        <w:tc>
          <w:tcPr>
            <w:tcW w:w="1220" w:type="dxa"/>
            <w:vAlign w:val="bottom"/>
          </w:tcPr>
          <w:p>
            <w:pPr>
              <w:jc w:val="right"/>
              <w:ind w:right="1086"/>
              <w:spacing w:after="0"/>
              <w:rPr>
                <w:sz w:val="20"/>
                <w:szCs w:val="20"/>
                <w:color w:val="auto"/>
              </w:rPr>
            </w:pPr>
            <w:r>
              <w:rPr>
                <w:rFonts w:ascii="Arial" w:cs="Arial" w:eastAsia="Arial" w:hAnsi="Arial"/>
                <w:sz w:val="11"/>
                <w:szCs w:val="11"/>
                <w:b w:val="1"/>
                <w:bCs w:val="1"/>
                <w:color w:val="009FE3"/>
                <w:w w:val="97"/>
              </w:rPr>
              <w:t>3</w:t>
            </w:r>
          </w:p>
        </w:tc>
        <w:tc>
          <w:tcPr>
            <w:tcW w:w="1980" w:type="dxa"/>
            <w:vAlign w:val="bottom"/>
            <w:vMerge w:val="restart"/>
          </w:tcPr>
          <w:p>
            <w:pPr>
              <w:ind w:left="760"/>
              <w:spacing w:after="0"/>
              <w:rPr>
                <w:sz w:val="20"/>
                <w:szCs w:val="20"/>
                <w:color w:val="auto"/>
              </w:rPr>
            </w:pPr>
            <w:r>
              <w:rPr>
                <w:rFonts w:ascii="Arial" w:cs="Arial" w:eastAsia="Arial" w:hAnsi="Arial"/>
                <w:sz w:val="16"/>
                <w:szCs w:val="16"/>
                <w:b w:val="1"/>
                <w:bCs w:val="1"/>
                <w:color w:val="009FE3"/>
              </w:rPr>
              <w:t>subscribers</w:t>
            </w:r>
          </w:p>
        </w:tc>
        <w:tc>
          <w:tcPr>
            <w:tcW w:w="0" w:type="dxa"/>
            <w:vAlign w:val="bottom"/>
          </w:tcPr>
          <w:p>
            <w:pPr>
              <w:spacing w:after="0"/>
              <w:rPr>
                <w:sz w:val="1"/>
                <w:szCs w:val="1"/>
                <w:color w:val="auto"/>
              </w:rPr>
            </w:pPr>
          </w:p>
        </w:tc>
      </w:tr>
      <w:tr>
        <w:trPr>
          <w:trHeight w:val="126"/>
        </w:trPr>
        <w:tc>
          <w:tcPr>
            <w:tcW w:w="900" w:type="dxa"/>
            <w:vAlign w:val="bottom"/>
            <w:vMerge w:val="continue"/>
          </w:tcPr>
          <w:p>
            <w:pPr>
              <w:spacing w:after="0"/>
              <w:rPr>
                <w:sz w:val="10"/>
                <w:szCs w:val="10"/>
                <w:color w:val="auto"/>
              </w:rPr>
            </w:pPr>
          </w:p>
        </w:tc>
        <w:tc>
          <w:tcPr>
            <w:tcW w:w="1760" w:type="dxa"/>
            <w:vAlign w:val="bottom"/>
          </w:tcPr>
          <w:p>
            <w:pPr>
              <w:ind w:left="880"/>
              <w:spacing w:after="0" w:line="127" w:lineRule="exact"/>
              <w:rPr>
                <w:sz w:val="20"/>
                <w:szCs w:val="20"/>
                <w:color w:val="auto"/>
              </w:rPr>
            </w:pPr>
            <w:r>
              <w:rPr>
                <w:rFonts w:ascii="Arial" w:cs="Arial" w:eastAsia="Arial" w:hAnsi="Arial"/>
                <w:sz w:val="14"/>
                <w:szCs w:val="14"/>
                <w:color w:val="202E39"/>
              </w:rPr>
              <w:t>$</w:t>
            </w:r>
            <w:r>
              <w:rPr>
                <w:rFonts w:ascii="Arial" w:cs="Arial" w:eastAsia="Arial" w:hAnsi="Arial"/>
                <w:sz w:val="14"/>
                <w:szCs w:val="14"/>
                <w:color w:val="000000"/>
              </w:rPr>
              <w:t>2.1</w:t>
            </w:r>
            <w:r>
              <w:rPr>
                <w:rFonts w:ascii="Arial" w:cs="Arial" w:eastAsia="Arial" w:hAnsi="Arial"/>
                <w:sz w:val="14"/>
                <w:szCs w:val="14"/>
                <w:color w:val="202E39"/>
              </w:rPr>
              <w:t xml:space="preserve"> billion</w:t>
            </w:r>
          </w:p>
        </w:tc>
        <w:tc>
          <w:tcPr>
            <w:tcW w:w="1380" w:type="dxa"/>
            <w:vAlign w:val="bottom"/>
          </w:tcPr>
          <w:p>
            <w:pPr>
              <w:ind w:left="220"/>
              <w:spacing w:after="0" w:line="127" w:lineRule="exact"/>
              <w:rPr>
                <w:sz w:val="20"/>
                <w:szCs w:val="20"/>
                <w:color w:val="auto"/>
              </w:rPr>
            </w:pPr>
            <w:r>
              <w:rPr>
                <w:rFonts w:ascii="Arial" w:cs="Arial" w:eastAsia="Arial" w:hAnsi="Arial"/>
                <w:sz w:val="14"/>
                <w:szCs w:val="14"/>
                <w:color w:val="202E39"/>
              </w:rPr>
              <w:t>$</w:t>
            </w:r>
            <w:r>
              <w:rPr>
                <w:rFonts w:ascii="Arial" w:cs="Arial" w:eastAsia="Arial" w:hAnsi="Arial"/>
                <w:sz w:val="14"/>
                <w:szCs w:val="14"/>
                <w:color w:val="000000"/>
              </w:rPr>
              <w:t>339</w:t>
            </w:r>
            <w:r>
              <w:rPr>
                <w:rFonts w:ascii="Arial" w:cs="Arial" w:eastAsia="Arial" w:hAnsi="Arial"/>
                <w:sz w:val="14"/>
                <w:szCs w:val="14"/>
                <w:color w:val="202E39"/>
              </w:rPr>
              <w:t xml:space="preserve"> million</w:t>
            </w:r>
          </w:p>
        </w:tc>
        <w:tc>
          <w:tcPr>
            <w:tcW w:w="700" w:type="dxa"/>
            <w:vAlign w:val="bottom"/>
          </w:tcPr>
          <w:p>
            <w:pPr>
              <w:ind w:left="160"/>
              <w:spacing w:after="0" w:line="127" w:lineRule="exact"/>
              <w:rPr>
                <w:sz w:val="20"/>
                <w:szCs w:val="20"/>
                <w:color w:val="auto"/>
              </w:rPr>
            </w:pPr>
            <w:r>
              <w:rPr>
                <w:rFonts w:ascii="Arial" w:cs="Arial" w:eastAsia="Arial" w:hAnsi="Arial"/>
                <w:sz w:val="14"/>
                <w:szCs w:val="14"/>
                <w:color w:val="auto"/>
              </w:rPr>
              <w:t>16</w:t>
            </w:r>
            <w:r>
              <w:rPr>
                <w:rFonts w:ascii="Arial" w:cs="Arial" w:eastAsia="Arial" w:hAnsi="Arial"/>
                <w:sz w:val="14"/>
                <w:szCs w:val="14"/>
                <w:color w:val="202E39"/>
              </w:rPr>
              <w:t>%</w:t>
            </w:r>
          </w:p>
        </w:tc>
        <w:tc>
          <w:tcPr>
            <w:tcW w:w="78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1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900" w:type="dxa"/>
            <w:vAlign w:val="bottom"/>
          </w:tcPr>
          <w:p>
            <w:pPr>
              <w:spacing w:after="0"/>
              <w:rPr>
                <w:sz w:val="11"/>
                <w:szCs w:val="11"/>
                <w:color w:val="auto"/>
              </w:rPr>
            </w:pPr>
          </w:p>
        </w:tc>
        <w:tc>
          <w:tcPr>
            <w:tcW w:w="1760" w:type="dxa"/>
            <w:vAlign w:val="bottom"/>
          </w:tcPr>
          <w:p>
            <w:pPr>
              <w:ind w:left="880"/>
              <w:spacing w:after="0"/>
              <w:rPr>
                <w:sz w:val="20"/>
                <w:szCs w:val="20"/>
                <w:color w:val="auto"/>
              </w:rPr>
            </w:pPr>
            <w:r>
              <w:rPr>
                <w:rFonts w:ascii="Arial" w:cs="Arial" w:eastAsia="Arial" w:hAnsi="Arial"/>
                <w:sz w:val="10"/>
                <w:szCs w:val="10"/>
                <w:color w:val="202E39"/>
              </w:rPr>
              <w:t>(+30% YOY)</w:t>
            </w:r>
          </w:p>
        </w:tc>
        <w:tc>
          <w:tcPr>
            <w:tcW w:w="1380" w:type="dxa"/>
            <w:vAlign w:val="bottom"/>
          </w:tcPr>
          <w:p>
            <w:pPr>
              <w:ind w:left="220"/>
              <w:spacing w:after="0"/>
              <w:rPr>
                <w:sz w:val="20"/>
                <w:szCs w:val="20"/>
                <w:color w:val="auto"/>
              </w:rPr>
            </w:pPr>
            <w:r>
              <w:rPr>
                <w:rFonts w:ascii="Arial" w:cs="Arial" w:eastAsia="Arial" w:hAnsi="Arial"/>
                <w:sz w:val="10"/>
                <w:szCs w:val="10"/>
                <w:color w:val="202E39"/>
              </w:rPr>
              <w:t>(+44% YOY)</w:t>
            </w:r>
          </w:p>
        </w:tc>
        <w:tc>
          <w:tcPr>
            <w:tcW w:w="1480" w:type="dxa"/>
            <w:vAlign w:val="bottom"/>
            <w:gridSpan w:val="2"/>
          </w:tcPr>
          <w:p>
            <w:pPr>
              <w:ind w:left="160"/>
              <w:spacing w:after="0"/>
              <w:rPr>
                <w:sz w:val="20"/>
                <w:szCs w:val="20"/>
                <w:color w:val="auto"/>
              </w:rPr>
            </w:pPr>
            <w:r>
              <w:rPr>
                <w:rFonts w:ascii="Arial" w:cs="Arial" w:eastAsia="Arial" w:hAnsi="Arial"/>
                <w:sz w:val="10"/>
                <w:szCs w:val="10"/>
                <w:color w:val="202E39"/>
              </w:rPr>
              <w:t>(+1.7% YOY)</w:t>
            </w:r>
          </w:p>
        </w:tc>
        <w:tc>
          <w:tcPr>
            <w:tcW w:w="2500" w:type="dxa"/>
            <w:vAlign w:val="bottom"/>
            <w:gridSpan w:val="2"/>
          </w:tcPr>
          <w:p>
            <w:pPr>
              <w:ind w:left="720"/>
              <w:spacing w:after="0" w:line="127" w:lineRule="exact"/>
              <w:rPr>
                <w:sz w:val="20"/>
                <w:szCs w:val="20"/>
                <w:color w:val="auto"/>
              </w:rPr>
            </w:pPr>
            <w:r>
              <w:rPr>
                <w:rFonts w:ascii="Arial" w:cs="Arial" w:eastAsia="Arial" w:hAnsi="Arial"/>
                <w:sz w:val="14"/>
                <w:szCs w:val="14"/>
                <w:color w:val="202E39"/>
              </w:rPr>
              <w:t>$2.4 billion</w:t>
            </w:r>
          </w:p>
        </w:tc>
        <w:tc>
          <w:tcPr>
            <w:tcW w:w="1980" w:type="dxa"/>
            <w:vAlign w:val="bottom"/>
          </w:tcPr>
          <w:p>
            <w:pPr>
              <w:ind w:left="760"/>
              <w:spacing w:after="0" w:line="127" w:lineRule="exact"/>
              <w:rPr>
                <w:sz w:val="20"/>
                <w:szCs w:val="20"/>
                <w:color w:val="auto"/>
              </w:rPr>
            </w:pPr>
            <w:r>
              <w:rPr>
                <w:rFonts w:ascii="Arial" w:cs="Arial" w:eastAsia="Arial" w:hAnsi="Arial"/>
                <w:sz w:val="11"/>
                <w:szCs w:val="11"/>
                <w:color w:val="202E39"/>
              </w:rPr>
              <w:t>586K</w:t>
            </w:r>
            <w:r>
              <w:rPr>
                <w:rFonts w:ascii="Arial" w:cs="Arial" w:eastAsia="Arial" w:hAnsi="Arial"/>
                <w:sz w:val="14"/>
                <w:szCs w:val="14"/>
                <w:color w:val="202E39"/>
                <w:vertAlign w:val="superscript"/>
              </w:rPr>
              <w:t>4</w:t>
            </w:r>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80" w:type="dxa"/>
            <w:vAlign w:val="bottom"/>
          </w:tcPr>
          <w:p>
            <w:pPr>
              <w:ind w:left="720"/>
              <w:spacing w:after="0"/>
              <w:rPr>
                <w:sz w:val="20"/>
                <w:szCs w:val="20"/>
                <w:color w:val="auto"/>
              </w:rPr>
            </w:pPr>
            <w:r>
              <w:rPr>
                <w:rFonts w:ascii="Arial" w:cs="Arial" w:eastAsia="Arial" w:hAnsi="Arial"/>
                <w:sz w:val="10"/>
                <w:szCs w:val="10"/>
                <w:color w:val="202E39"/>
                <w:w w:val="95"/>
              </w:rPr>
              <w:t>(+42% YOY)</w:t>
            </w:r>
          </w:p>
        </w:tc>
        <w:tc>
          <w:tcPr>
            <w:tcW w:w="1220" w:type="dxa"/>
            <w:vAlign w:val="bottom"/>
          </w:tcPr>
          <w:p>
            <w:pPr>
              <w:spacing w:after="0"/>
              <w:rPr>
                <w:sz w:val="10"/>
                <w:szCs w:val="10"/>
                <w:color w:val="auto"/>
              </w:rPr>
            </w:pPr>
          </w:p>
        </w:tc>
        <w:tc>
          <w:tcPr>
            <w:tcW w:w="1980" w:type="dxa"/>
            <w:vAlign w:val="bottom"/>
          </w:tcPr>
          <w:p>
            <w:pPr>
              <w:ind w:left="760"/>
              <w:spacing w:after="0"/>
              <w:rPr>
                <w:sz w:val="20"/>
                <w:szCs w:val="20"/>
                <w:color w:val="auto"/>
              </w:rPr>
            </w:pPr>
            <w:r>
              <w:rPr>
                <w:rFonts w:ascii="Arial" w:cs="Arial" w:eastAsia="Arial" w:hAnsi="Arial"/>
                <w:sz w:val="10"/>
                <w:szCs w:val="10"/>
                <w:color w:val="202E39"/>
              </w:rPr>
              <w:t>(+2% YOY)</w:t>
            </w:r>
          </w:p>
        </w:tc>
        <w:tc>
          <w:tcPr>
            <w:tcW w:w="0" w:type="dxa"/>
            <w:vAlign w:val="bottom"/>
          </w:tcPr>
          <w:p>
            <w:pPr>
              <w:spacing w:after="0"/>
              <w:rPr>
                <w:sz w:val="1"/>
                <w:szCs w:val="1"/>
                <w:color w:val="auto"/>
              </w:rPr>
            </w:pPr>
          </w:p>
        </w:tc>
      </w:tr>
      <w:tr>
        <w:trPr>
          <w:trHeight w:val="142"/>
        </w:trPr>
        <w:tc>
          <w:tcPr>
            <w:tcW w:w="900" w:type="dxa"/>
            <w:vAlign w:val="bottom"/>
          </w:tcPr>
          <w:p>
            <w:pPr>
              <w:jc w:val="right"/>
              <w:spacing w:after="0"/>
              <w:rPr>
                <w:sz w:val="20"/>
                <w:szCs w:val="20"/>
                <w:color w:val="auto"/>
              </w:rPr>
            </w:pPr>
            <w:r>
              <w:rPr>
                <w:rFonts w:ascii="Arial" w:cs="Arial" w:eastAsia="Arial" w:hAnsi="Arial"/>
                <w:sz w:val="10"/>
                <w:szCs w:val="10"/>
                <w:color w:val="202E39"/>
              </w:rPr>
              <w:t>(1)</w:t>
            </w:r>
          </w:p>
        </w:tc>
        <w:tc>
          <w:tcPr>
            <w:tcW w:w="3840" w:type="dxa"/>
            <w:vAlign w:val="bottom"/>
            <w:gridSpan w:val="3"/>
          </w:tcPr>
          <w:p>
            <w:pPr>
              <w:ind w:left="20"/>
              <w:spacing w:after="0"/>
              <w:rPr>
                <w:sz w:val="20"/>
                <w:szCs w:val="20"/>
                <w:color w:val="auto"/>
              </w:rPr>
            </w:pPr>
            <w:r>
              <w:rPr>
                <w:rFonts w:ascii="Arial" w:cs="Arial" w:eastAsia="Arial" w:hAnsi="Arial"/>
                <w:sz w:val="10"/>
                <w:szCs w:val="10"/>
                <w:color w:val="202E39"/>
              </w:rPr>
              <w:t>Detailed reconciliation of Net Income to Adjusted EBITDA provided in Appendix</w:t>
            </w:r>
          </w:p>
        </w:tc>
        <w:tc>
          <w:tcPr>
            <w:tcW w:w="7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900" w:type="dxa"/>
            <w:vAlign w:val="bottom"/>
          </w:tcPr>
          <w:p>
            <w:pPr>
              <w:jc w:val="right"/>
              <w:spacing w:after="0"/>
              <w:rPr>
                <w:sz w:val="20"/>
                <w:szCs w:val="20"/>
                <w:color w:val="auto"/>
              </w:rPr>
            </w:pPr>
            <w:r>
              <w:rPr>
                <w:rFonts w:ascii="Arial" w:cs="Arial" w:eastAsia="Arial" w:hAnsi="Arial"/>
                <w:sz w:val="10"/>
                <w:szCs w:val="10"/>
                <w:color w:val="202E39"/>
              </w:rPr>
              <w:t>(2)</w:t>
            </w:r>
          </w:p>
        </w:tc>
        <w:tc>
          <w:tcPr>
            <w:tcW w:w="3840" w:type="dxa"/>
            <w:vAlign w:val="bottom"/>
            <w:gridSpan w:val="3"/>
          </w:tcPr>
          <w:p>
            <w:pPr>
              <w:ind w:left="20"/>
              <w:spacing w:after="0"/>
              <w:rPr>
                <w:sz w:val="20"/>
                <w:szCs w:val="20"/>
                <w:color w:val="auto"/>
              </w:rPr>
            </w:pPr>
            <w:r>
              <w:rPr>
                <w:rFonts w:ascii="Arial" w:cs="Arial" w:eastAsia="Arial" w:hAnsi="Arial"/>
                <w:sz w:val="10"/>
                <w:szCs w:val="10"/>
                <w:color w:val="202E39"/>
              </w:rPr>
              <w:t>Adjusted EBITDA margin is calculated as Adjusted EBITDA divided by revenue</w:t>
            </w:r>
          </w:p>
        </w:tc>
        <w:tc>
          <w:tcPr>
            <w:tcW w:w="7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980" w:type="dxa"/>
            <w:vAlign w:val="bottom"/>
            <w:vMerge w:val="restart"/>
          </w:tcPr>
          <w:p>
            <w:pPr>
              <w:ind w:left="1940"/>
              <w:spacing w:after="0"/>
              <w:rPr>
                <w:sz w:val="20"/>
                <w:szCs w:val="20"/>
                <w:color w:val="auto"/>
              </w:rPr>
            </w:pPr>
            <w:r>
              <w:rPr>
                <w:rFonts w:ascii="Arial" w:cs="Arial" w:eastAsia="Arial" w:hAnsi="Arial"/>
                <w:sz w:val="5"/>
                <w:szCs w:val="5"/>
                <w:color w:val="7F7F7F"/>
                <w:w w:val="70"/>
              </w:rPr>
              <w:t>5</w:t>
            </w:r>
          </w:p>
        </w:tc>
        <w:tc>
          <w:tcPr>
            <w:tcW w:w="0" w:type="dxa"/>
            <w:vAlign w:val="bottom"/>
          </w:tcPr>
          <w:p>
            <w:pPr>
              <w:spacing w:after="0"/>
              <w:rPr>
                <w:sz w:val="1"/>
                <w:szCs w:val="1"/>
                <w:color w:val="auto"/>
              </w:rPr>
            </w:pPr>
          </w:p>
        </w:tc>
      </w:tr>
      <w:tr>
        <w:trPr>
          <w:trHeight w:val="50"/>
        </w:trPr>
        <w:tc>
          <w:tcPr>
            <w:tcW w:w="900" w:type="dxa"/>
            <w:vAlign w:val="bottom"/>
            <w:vMerge w:val="restart"/>
          </w:tcPr>
          <w:p>
            <w:pPr>
              <w:jc w:val="right"/>
              <w:spacing w:after="0" w:line="110" w:lineRule="exact"/>
              <w:rPr>
                <w:sz w:val="20"/>
                <w:szCs w:val="20"/>
                <w:color w:val="auto"/>
              </w:rPr>
            </w:pPr>
            <w:r>
              <w:rPr>
                <w:rFonts w:ascii="Arial" w:cs="Arial" w:eastAsia="Arial" w:hAnsi="Arial"/>
                <w:sz w:val="10"/>
                <w:szCs w:val="10"/>
                <w:color w:val="202E39"/>
              </w:rPr>
              <w:t>(3)</w:t>
            </w:r>
          </w:p>
        </w:tc>
        <w:tc>
          <w:tcPr>
            <w:tcW w:w="3140" w:type="dxa"/>
            <w:vAlign w:val="bottom"/>
            <w:gridSpan w:val="2"/>
            <w:vMerge w:val="restart"/>
          </w:tcPr>
          <w:p>
            <w:pPr>
              <w:ind w:left="20"/>
              <w:spacing w:after="0" w:line="110" w:lineRule="exact"/>
              <w:rPr>
                <w:sz w:val="20"/>
                <w:szCs w:val="20"/>
                <w:color w:val="auto"/>
              </w:rPr>
            </w:pPr>
            <w:r>
              <w:rPr>
                <w:rFonts w:ascii="Arial" w:cs="Arial" w:eastAsia="Arial" w:hAnsi="Arial"/>
                <w:sz w:val="10"/>
                <w:szCs w:val="10"/>
                <w:color w:val="202E39"/>
              </w:rPr>
              <w:t>Includes follow-on awards and optional renewals to existing contracts</w:t>
            </w: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900" w:type="dxa"/>
            <w:vAlign w:val="bottom"/>
            <w:vMerge w:val="continue"/>
          </w:tcPr>
          <w:p>
            <w:pPr>
              <w:spacing w:after="0"/>
              <w:rPr>
                <w:sz w:val="5"/>
                <w:szCs w:val="5"/>
                <w:color w:val="auto"/>
              </w:rPr>
            </w:pPr>
          </w:p>
        </w:tc>
        <w:tc>
          <w:tcPr>
            <w:tcW w:w="3140" w:type="dxa"/>
            <w:vAlign w:val="bottom"/>
            <w:gridSpan w:val="2"/>
            <w:vMerge w:val="continue"/>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900" w:type="dxa"/>
            <w:vAlign w:val="bottom"/>
          </w:tcPr>
          <w:p>
            <w:pPr>
              <w:jc w:val="right"/>
              <w:spacing w:after="0"/>
              <w:rPr>
                <w:sz w:val="20"/>
                <w:szCs w:val="20"/>
                <w:color w:val="auto"/>
              </w:rPr>
            </w:pPr>
            <w:r>
              <w:rPr>
                <w:rFonts w:ascii="Arial" w:cs="Arial" w:eastAsia="Arial" w:hAnsi="Arial"/>
                <w:sz w:val="10"/>
                <w:szCs w:val="10"/>
                <w:color w:val="202E39"/>
              </w:rPr>
              <w:t>(4)</w:t>
            </w:r>
          </w:p>
        </w:tc>
        <w:tc>
          <w:tcPr>
            <w:tcW w:w="1760" w:type="dxa"/>
            <w:vAlign w:val="bottom"/>
          </w:tcPr>
          <w:p>
            <w:pPr>
              <w:ind w:left="20"/>
              <w:spacing w:after="0"/>
              <w:rPr>
                <w:sz w:val="20"/>
                <w:szCs w:val="20"/>
                <w:color w:val="auto"/>
              </w:rPr>
            </w:pPr>
            <w:r>
              <w:rPr>
                <w:rFonts w:ascii="Arial" w:cs="Arial" w:eastAsia="Arial" w:hAnsi="Arial"/>
                <w:sz w:val="10"/>
                <w:szCs w:val="10"/>
                <w:color w:val="202E39"/>
              </w:rPr>
              <w:t>As of Q4 FY 2019 close</w:t>
            </w:r>
          </w:p>
        </w:tc>
        <w:tc>
          <w:tcPr>
            <w:tcW w:w="1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480" w:top="1098" w:right="559" w:bottom="1440" w:gutter="0" w:footer="0" w:header="0"/>
          <w:type w:val="continuous"/>
        </w:sectPr>
      </w:pPr>
    </w:p>
    <w:bookmarkStart w:id="6" w:name="page7"/>
    <w:bookmarkEnd w:id="6"/>
    <w:p>
      <w:pPr>
        <w:ind w:left="5"/>
        <w:spacing w:after="0"/>
        <w:rPr>
          <w:sz w:val="20"/>
          <w:szCs w:val="20"/>
          <w:color w:val="auto"/>
        </w:rPr>
      </w:pPr>
      <w:r>
        <w:rPr>
          <w:rFonts w:ascii="Arial" w:cs="Arial" w:eastAsia="Arial" w:hAnsi="Arial"/>
          <w:sz w:val="38"/>
          <w:szCs w:val="38"/>
          <w:color w:val="202E39"/>
        </w:rPr>
        <w:drawing>
          <wp:anchor simplePos="0" relativeHeight="251657728" behindDoc="1" locked="0" layoutInCell="0" allowOverlap="1">
            <wp:simplePos x="0" y="0"/>
            <wp:positionH relativeFrom="page">
              <wp:posOffset>130810</wp:posOffset>
            </wp:positionH>
            <wp:positionV relativeFrom="page">
              <wp:posOffset>88900</wp:posOffset>
            </wp:positionV>
            <wp:extent cx="7313930" cy="4107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13930" cy="4107180"/>
                    </a:xfrm>
                    <a:prstGeom prst="rect">
                      <a:avLst/>
                    </a:prstGeom>
                    <a:noFill/>
                  </pic:spPr>
                </pic:pic>
              </a:graphicData>
            </a:graphic>
          </wp:anchor>
        </w:drawing>
        <w:t>Key strategic initiatives driving performance</w:t>
      </w:r>
    </w:p>
    <w:p>
      <w:pPr>
        <w:spacing w:after="0" w:line="40" w:lineRule="exact"/>
        <w:rPr>
          <w:sz w:val="20"/>
          <w:szCs w:val="20"/>
          <w:color w:val="auto"/>
        </w:rPr>
      </w:pPr>
    </w:p>
    <w:p>
      <w:pPr>
        <w:ind w:left="205" w:right="300" w:hanging="205"/>
        <w:spacing w:after="0" w:line="241" w:lineRule="auto"/>
        <w:tabs>
          <w:tab w:leader="none" w:pos="205" w:val="left"/>
        </w:tabs>
        <w:numPr>
          <w:ilvl w:val="0"/>
          <w:numId w:val="15"/>
        </w:numPr>
        <w:rPr>
          <w:rFonts w:ascii="Arial" w:cs="Arial" w:eastAsia="Arial" w:hAnsi="Arial"/>
          <w:sz w:val="21"/>
          <w:szCs w:val="21"/>
          <w:color w:val="009FE3"/>
        </w:rPr>
      </w:pPr>
      <w:r>
        <w:rPr>
          <w:rFonts w:ascii="Arial" w:cs="Arial" w:eastAsia="Arial" w:hAnsi="Arial"/>
          <w:sz w:val="17"/>
          <w:szCs w:val="17"/>
          <w:b w:val="1"/>
          <w:bCs w:val="1"/>
          <w:color w:val="202E39"/>
        </w:rPr>
        <w:t xml:space="preserve">Focus on driving improved economics </w:t>
      </w:r>
      <w:r>
        <w:rPr>
          <w:rFonts w:ascii="Arial" w:cs="Arial" w:eastAsia="Arial" w:hAnsi="Arial"/>
          <w:sz w:val="17"/>
          <w:szCs w:val="17"/>
          <w:color w:val="202E39"/>
        </w:rPr>
        <w:t>by leveraging deep technological expertise to serve specialized markets (e.g., government,</w:t>
      </w:r>
      <w:r>
        <w:rPr>
          <w:rFonts w:ascii="Arial" w:cs="Arial" w:eastAsia="Arial" w:hAnsi="Arial"/>
          <w:sz w:val="17"/>
          <w:szCs w:val="17"/>
          <w:b w:val="1"/>
          <w:bCs w:val="1"/>
          <w:color w:val="202E39"/>
        </w:rPr>
        <w:t xml:space="preserve"> </w:t>
      </w:r>
      <w:r>
        <w:rPr>
          <w:rFonts w:ascii="Arial" w:cs="Arial" w:eastAsia="Arial" w:hAnsi="Arial"/>
          <w:sz w:val="17"/>
          <w:szCs w:val="17"/>
          <w:color w:val="202E39"/>
        </w:rPr>
        <w:t>aeronautical)</w:t>
      </w:r>
    </w:p>
    <w:p>
      <w:pPr>
        <w:spacing w:after="0" w:line="33" w:lineRule="exact"/>
        <w:rPr>
          <w:rFonts w:ascii="Arial" w:cs="Arial" w:eastAsia="Arial" w:hAnsi="Arial"/>
          <w:sz w:val="21"/>
          <w:szCs w:val="21"/>
          <w:color w:val="009FE3"/>
        </w:rPr>
      </w:pPr>
    </w:p>
    <w:p>
      <w:pPr>
        <w:ind w:left="205" w:right="280" w:hanging="205"/>
        <w:spacing w:after="0" w:line="241" w:lineRule="auto"/>
        <w:tabs>
          <w:tab w:leader="none" w:pos="205" w:val="left"/>
        </w:tabs>
        <w:numPr>
          <w:ilvl w:val="0"/>
          <w:numId w:val="15"/>
        </w:numPr>
        <w:rPr>
          <w:rFonts w:ascii="Arial" w:cs="Arial" w:eastAsia="Arial" w:hAnsi="Arial"/>
          <w:sz w:val="21"/>
          <w:szCs w:val="21"/>
          <w:color w:val="009FE3"/>
        </w:rPr>
      </w:pPr>
      <w:r>
        <w:rPr>
          <w:rFonts w:ascii="Arial" w:cs="Arial" w:eastAsia="Arial" w:hAnsi="Arial"/>
          <w:sz w:val="17"/>
          <w:szCs w:val="17"/>
          <w:b w:val="1"/>
          <w:bCs w:val="1"/>
          <w:color w:val="202E39"/>
        </w:rPr>
        <w:t>30% year-over-year FY19 revenue growth</w:t>
      </w:r>
      <w:r>
        <w:rPr>
          <w:rFonts w:ascii="Arial" w:cs="Arial" w:eastAsia="Arial" w:hAnsi="Arial"/>
          <w:sz w:val="17"/>
          <w:szCs w:val="17"/>
          <w:color w:val="202E39"/>
        </w:rPr>
        <w:t>,</w:t>
      </w:r>
      <w:r>
        <w:rPr>
          <w:rFonts w:ascii="Arial" w:cs="Arial" w:eastAsia="Arial" w:hAnsi="Arial"/>
          <w:sz w:val="17"/>
          <w:szCs w:val="17"/>
          <w:b w:val="1"/>
          <w:bCs w:val="1"/>
          <w:color w:val="202E39"/>
        </w:rPr>
        <w:t xml:space="preserve"> </w:t>
      </w:r>
      <w:r>
        <w:rPr>
          <w:rFonts w:ascii="Arial" w:cs="Arial" w:eastAsia="Arial" w:hAnsi="Arial"/>
          <w:sz w:val="17"/>
          <w:szCs w:val="17"/>
          <w:color w:val="000000"/>
        </w:rPr>
        <w:t>driven by strong execution across diversified business lines; performance demonstrates</w:t>
      </w:r>
      <w:r>
        <w:rPr>
          <w:rFonts w:ascii="Arial" w:cs="Arial" w:eastAsia="Arial" w:hAnsi="Arial"/>
          <w:sz w:val="17"/>
          <w:szCs w:val="17"/>
          <w:b w:val="1"/>
          <w:bCs w:val="1"/>
          <w:color w:val="202E39"/>
        </w:rPr>
        <w:t xml:space="preserve"> </w:t>
      </w:r>
      <w:r>
        <w:rPr>
          <w:rFonts w:ascii="Arial" w:cs="Arial" w:eastAsia="Arial" w:hAnsi="Arial"/>
          <w:sz w:val="17"/>
          <w:szCs w:val="17"/>
          <w:color w:val="000000"/>
        </w:rPr>
        <w:t>the strength of our model as offerings on the newly in-service ViaSat-2 satellite generated growth</w:t>
      </w:r>
    </w:p>
    <w:p>
      <w:pPr>
        <w:spacing w:after="0" w:line="17" w:lineRule="exact"/>
        <w:rPr>
          <w:rFonts w:ascii="Arial" w:cs="Arial" w:eastAsia="Arial" w:hAnsi="Arial"/>
          <w:sz w:val="21"/>
          <w:szCs w:val="21"/>
          <w:color w:val="009FE3"/>
        </w:rPr>
      </w:pPr>
    </w:p>
    <w:p>
      <w:pPr>
        <w:ind w:left="205" w:hanging="205"/>
        <w:spacing w:after="0"/>
        <w:tabs>
          <w:tab w:leader="none" w:pos="205" w:val="left"/>
        </w:tabs>
        <w:numPr>
          <w:ilvl w:val="0"/>
          <w:numId w:val="15"/>
        </w:numPr>
        <w:rPr>
          <w:rFonts w:ascii="Arial" w:cs="Arial" w:eastAsia="Arial" w:hAnsi="Arial"/>
          <w:sz w:val="21"/>
          <w:szCs w:val="21"/>
          <w:color w:val="009FE3"/>
        </w:rPr>
      </w:pPr>
      <w:r>
        <w:rPr>
          <w:rFonts w:ascii="Arial" w:cs="Arial" w:eastAsia="Arial" w:hAnsi="Arial"/>
          <w:sz w:val="17"/>
          <w:szCs w:val="17"/>
          <w:b w:val="1"/>
          <w:bCs w:val="1"/>
          <w:color w:val="202E39"/>
        </w:rPr>
        <w:t>Record new contract awards of $2.4B for FY19</w:t>
      </w:r>
      <w:r>
        <w:rPr>
          <w:rFonts w:ascii="Arial" w:cs="Arial" w:eastAsia="Arial" w:hAnsi="Arial"/>
          <w:sz w:val="17"/>
          <w:szCs w:val="17"/>
          <w:color w:val="202E39"/>
        </w:rPr>
        <w:t>, up 42% year-over-year, including $1.2B in government systems segment</w:t>
      </w:r>
    </w:p>
    <w:p>
      <w:pPr>
        <w:sectPr>
          <w:pgSz w:w="11900" w:h="16838" w:orient="portrait"/>
          <w:cols w:equalWidth="0" w:num="1">
            <w:col w:w="10605"/>
          </w:cols>
          <w:pgMar w:left="655" w:top="1053" w:right="639" w:bottom="1440" w:gutter="0" w:footer="0" w:header="0"/>
        </w:sectPr>
      </w:pPr>
    </w:p>
    <w:p>
      <w:pPr>
        <w:spacing w:after="0" w:line="103" w:lineRule="exact"/>
        <w:rPr>
          <w:sz w:val="20"/>
          <w:szCs w:val="20"/>
          <w:color w:val="auto"/>
        </w:rPr>
      </w:pPr>
    </w:p>
    <w:tbl>
      <w:tblPr>
        <w:tblLayout w:type="fixed"/>
        <w:tblInd w:w="285" w:type="dxa"/>
        <w:tblCellMar>
          <w:top w:w="0" w:type="dxa"/>
          <w:left w:w="0" w:type="dxa"/>
          <w:bottom w:w="0" w:type="dxa"/>
          <w:right w:w="0" w:type="dxa"/>
        </w:tblCellMar>
      </w:tblPr>
      <w:tr>
        <w:trPr>
          <w:trHeight w:val="310"/>
        </w:trPr>
        <w:tc>
          <w:tcPr>
            <w:tcW w:w="4240" w:type="dxa"/>
            <w:vAlign w:val="bottom"/>
            <w:gridSpan w:val="2"/>
          </w:tcPr>
          <w:p>
            <w:pPr>
              <w:ind w:left="640"/>
              <w:spacing w:after="0"/>
              <w:rPr>
                <w:sz w:val="20"/>
                <w:szCs w:val="20"/>
                <w:color w:val="auto"/>
              </w:rPr>
            </w:pPr>
            <w:r>
              <w:rPr>
                <w:rFonts w:ascii="Arial" w:cs="Arial" w:eastAsia="Arial" w:hAnsi="Arial"/>
                <w:sz w:val="20"/>
                <w:szCs w:val="20"/>
                <w:color w:val="009FE3"/>
              </w:rPr>
              <w:t>Continued disruption of the IFC market</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4"/>
                <w:szCs w:val="24"/>
                <w:b w:val="1"/>
                <w:bCs w:val="1"/>
                <w:color w:val="013064"/>
              </w:rPr>
              <w:t>+40%</w:t>
            </w:r>
          </w:p>
        </w:tc>
        <w:tc>
          <w:tcPr>
            <w:tcW w:w="0" w:type="dxa"/>
            <w:vAlign w:val="bottom"/>
          </w:tcPr>
          <w:p>
            <w:pPr>
              <w:spacing w:after="0"/>
              <w:rPr>
                <w:sz w:val="1"/>
                <w:szCs w:val="1"/>
                <w:color w:val="auto"/>
              </w:rPr>
            </w:pPr>
          </w:p>
        </w:tc>
      </w:tr>
      <w:tr>
        <w:trPr>
          <w:trHeight w:val="168"/>
        </w:trPr>
        <w:tc>
          <w:tcPr>
            <w:tcW w:w="4460" w:type="dxa"/>
            <w:vAlign w:val="bottom"/>
            <w:gridSpan w:val="3"/>
            <w:vMerge w:val="restart"/>
          </w:tcPr>
          <w:p>
            <w:pPr>
              <w:ind w:left="640"/>
              <w:spacing w:after="0"/>
              <w:rPr>
                <w:sz w:val="20"/>
                <w:szCs w:val="20"/>
                <w:color w:val="auto"/>
              </w:rPr>
            </w:pPr>
            <w:r>
              <w:rPr>
                <w:rFonts w:ascii="Arial" w:cs="Arial" w:eastAsia="Arial" w:hAnsi="Arial"/>
                <w:sz w:val="20"/>
                <w:szCs w:val="20"/>
                <w:color w:val="009FE3"/>
              </w:rPr>
              <w:t>Successful expansion in key geographies</w:t>
            </w:r>
          </w:p>
        </w:tc>
        <w:tc>
          <w:tcPr>
            <w:tcW w:w="1100" w:type="dxa"/>
            <w:vAlign w:val="bottom"/>
          </w:tcPr>
          <w:p>
            <w:pPr>
              <w:jc w:val="right"/>
              <w:spacing w:after="0"/>
              <w:rPr>
                <w:sz w:val="20"/>
                <w:szCs w:val="20"/>
                <w:color w:val="auto"/>
              </w:rPr>
            </w:pPr>
            <w:r>
              <w:rPr>
                <w:rFonts w:ascii="Arial" w:cs="Arial" w:eastAsia="Arial" w:hAnsi="Arial"/>
                <w:sz w:val="14"/>
                <w:szCs w:val="14"/>
                <w:color w:val="auto"/>
              </w:rPr>
              <w:t>YTD TSR</w:t>
            </w:r>
          </w:p>
        </w:tc>
        <w:tc>
          <w:tcPr>
            <w:tcW w:w="0" w:type="dxa"/>
            <w:vAlign w:val="bottom"/>
          </w:tcPr>
          <w:p>
            <w:pPr>
              <w:spacing w:after="0"/>
              <w:rPr>
                <w:sz w:val="1"/>
                <w:szCs w:val="1"/>
                <w:color w:val="auto"/>
              </w:rPr>
            </w:pPr>
          </w:p>
        </w:tc>
      </w:tr>
      <w:tr>
        <w:trPr>
          <w:trHeight w:val="115"/>
        </w:trPr>
        <w:tc>
          <w:tcPr>
            <w:tcW w:w="446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1"/>
        </w:trPr>
        <w:tc>
          <w:tcPr>
            <w:tcW w:w="4240" w:type="dxa"/>
            <w:vAlign w:val="bottom"/>
            <w:gridSpan w:val="2"/>
          </w:tcPr>
          <w:p>
            <w:pPr>
              <w:ind w:left="640"/>
              <w:spacing w:after="0"/>
              <w:rPr>
                <w:sz w:val="20"/>
                <w:szCs w:val="20"/>
                <w:color w:val="auto"/>
              </w:rPr>
            </w:pPr>
            <w:r>
              <w:rPr>
                <w:rFonts w:ascii="Arial" w:cs="Arial" w:eastAsia="Arial" w:hAnsi="Arial"/>
                <w:sz w:val="20"/>
                <w:szCs w:val="20"/>
                <w:color w:val="009FE3"/>
              </w:rPr>
              <w:t>Significant progress in ViaSat-3 satellite</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940" w:type="dxa"/>
            <w:vAlign w:val="bottom"/>
          </w:tcPr>
          <w:p>
            <w:pPr>
              <w:ind w:left="640"/>
              <w:spacing w:after="0"/>
              <w:rPr>
                <w:sz w:val="20"/>
                <w:szCs w:val="20"/>
                <w:color w:val="auto"/>
              </w:rPr>
            </w:pPr>
            <w:r>
              <w:rPr>
                <w:rFonts w:ascii="Arial" w:cs="Arial" w:eastAsia="Arial" w:hAnsi="Arial"/>
                <w:sz w:val="20"/>
                <w:szCs w:val="20"/>
                <w:color w:val="009FE3"/>
              </w:rPr>
              <w:t>construction</w:t>
            </w: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87"/>
        </w:trPr>
        <w:tc>
          <w:tcPr>
            <w:tcW w:w="2940" w:type="dxa"/>
            <w:vAlign w:val="bottom"/>
          </w:tcPr>
          <w:p>
            <w:pPr>
              <w:spacing w:after="0"/>
              <w:rPr>
                <w:sz w:val="20"/>
                <w:szCs w:val="20"/>
                <w:color w:val="auto"/>
              </w:rPr>
            </w:pPr>
            <w:r>
              <w:rPr>
                <w:rFonts w:ascii="Arial" w:cs="Arial" w:eastAsia="Arial" w:hAnsi="Arial"/>
                <w:sz w:val="14"/>
                <w:szCs w:val="14"/>
                <w:b w:val="1"/>
                <w:bCs w:val="1"/>
                <w:color w:val="202E39"/>
              </w:rPr>
              <w:t>Jul-2018</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ind w:right="361"/>
              <w:spacing w:after="0"/>
              <w:rPr>
                <w:sz w:val="20"/>
                <w:szCs w:val="20"/>
                <w:color w:val="auto"/>
              </w:rPr>
            </w:pPr>
            <w:r>
              <w:rPr>
                <w:rFonts w:ascii="Arial" w:cs="Arial" w:eastAsia="Arial" w:hAnsi="Arial"/>
                <w:sz w:val="14"/>
                <w:szCs w:val="14"/>
                <w:b w:val="1"/>
                <w:bCs w:val="1"/>
                <w:color w:val="202E39"/>
              </w:rPr>
              <w:t>Jun-2019</w:t>
            </w:r>
          </w:p>
        </w:tc>
        <w:tc>
          <w:tcPr>
            <w:tcW w:w="0" w:type="dxa"/>
            <w:vAlign w:val="bottom"/>
          </w:tcPr>
          <w:p>
            <w:pPr>
              <w:spacing w:after="0"/>
              <w:rPr>
                <w:sz w:val="1"/>
                <w:szCs w:val="1"/>
                <w:color w:val="auto"/>
              </w:rPr>
            </w:pPr>
          </w:p>
        </w:tc>
      </w:tr>
      <w:tr>
        <w:trPr>
          <w:trHeight w:val="925"/>
        </w:trPr>
        <w:tc>
          <w:tcPr>
            <w:tcW w:w="2940" w:type="dxa"/>
            <w:vAlign w:val="bottom"/>
          </w:tcPr>
          <w:p>
            <w:pPr>
              <w:ind w:left="1380"/>
              <w:spacing w:after="0"/>
              <w:rPr>
                <w:sz w:val="20"/>
                <w:szCs w:val="20"/>
                <w:color w:val="auto"/>
              </w:rPr>
            </w:pPr>
            <w:r>
              <w:rPr>
                <w:rFonts w:ascii="Arial" w:cs="Arial" w:eastAsia="Arial" w:hAnsi="Arial"/>
                <w:sz w:val="12"/>
                <w:szCs w:val="12"/>
                <w:b w:val="1"/>
                <w:bCs w:val="1"/>
                <w:color w:val="FFFFFF"/>
              </w:rPr>
              <w:t>August – October</w:t>
            </w:r>
          </w:p>
        </w:tc>
        <w:tc>
          <w:tcPr>
            <w:tcW w:w="1300" w:type="dxa"/>
            <w:vAlign w:val="bottom"/>
          </w:tcPr>
          <w:p>
            <w:pPr>
              <w:ind w:left="420"/>
              <w:spacing w:after="0"/>
              <w:rPr>
                <w:sz w:val="20"/>
                <w:szCs w:val="20"/>
                <w:color w:val="auto"/>
              </w:rPr>
            </w:pPr>
            <w:r>
              <w:rPr>
                <w:rFonts w:ascii="Arial" w:cs="Arial" w:eastAsia="Arial" w:hAnsi="Arial"/>
                <w:sz w:val="12"/>
                <w:szCs w:val="12"/>
                <w:b w:val="1"/>
                <w:bCs w:val="1"/>
                <w:color w:val="FFFFFF"/>
              </w:rPr>
              <w:t>Oct – Nov</w:t>
            </w:r>
          </w:p>
        </w:tc>
        <w:tc>
          <w:tcPr>
            <w:tcW w:w="220" w:type="dxa"/>
            <w:vAlign w:val="bottom"/>
          </w:tcPr>
          <w:p>
            <w:pPr>
              <w:spacing w:after="0"/>
              <w:rPr>
                <w:sz w:val="24"/>
                <w:szCs w:val="24"/>
                <w:color w:val="auto"/>
              </w:rPr>
            </w:pPr>
          </w:p>
        </w:tc>
        <w:tc>
          <w:tcPr>
            <w:tcW w:w="1100" w:type="dxa"/>
            <w:vAlign w:val="bottom"/>
          </w:tcPr>
          <w:p>
            <w:pPr>
              <w:jc w:val="right"/>
              <w:ind w:right="361"/>
              <w:spacing w:after="0"/>
              <w:rPr>
                <w:sz w:val="20"/>
                <w:szCs w:val="20"/>
                <w:color w:val="auto"/>
              </w:rPr>
            </w:pPr>
            <w:r>
              <w:rPr>
                <w:rFonts w:ascii="Arial" w:cs="Arial" w:eastAsia="Arial" w:hAnsi="Arial"/>
                <w:sz w:val="12"/>
                <w:szCs w:val="12"/>
                <w:b w:val="1"/>
                <w:bCs w:val="1"/>
                <w:color w:val="FFFFFF"/>
              </w:rPr>
              <w:t>Dec – Feb</w:t>
            </w:r>
          </w:p>
        </w:tc>
        <w:tc>
          <w:tcPr>
            <w:tcW w:w="0" w:type="dxa"/>
            <w:vAlign w:val="bottom"/>
          </w:tcPr>
          <w:p>
            <w:pPr>
              <w:spacing w:after="0"/>
              <w:rPr>
                <w:sz w:val="1"/>
                <w:szCs w:val="1"/>
                <w:color w:val="auto"/>
              </w:rPr>
            </w:pPr>
          </w:p>
        </w:tc>
      </w:tr>
      <w:tr>
        <w:trPr>
          <w:trHeight w:val="159"/>
        </w:trPr>
        <w:tc>
          <w:tcPr>
            <w:tcW w:w="2940" w:type="dxa"/>
            <w:vAlign w:val="bottom"/>
          </w:tcPr>
          <w:p>
            <w:pPr>
              <w:ind w:left="960"/>
              <w:spacing w:after="0"/>
              <w:rPr>
                <w:sz w:val="20"/>
                <w:szCs w:val="20"/>
                <w:color w:val="auto"/>
              </w:rPr>
            </w:pPr>
            <w:r>
              <w:rPr>
                <w:rFonts w:ascii="Arial" w:cs="Arial" w:eastAsia="Arial" w:hAnsi="Arial"/>
                <w:sz w:val="11"/>
                <w:szCs w:val="11"/>
                <w:b w:val="1"/>
                <w:bCs w:val="1"/>
                <w:color w:val="FFFFFF"/>
              </w:rPr>
              <w:t>Large planned expenditures to fund</w:t>
            </w:r>
          </w:p>
        </w:tc>
        <w:tc>
          <w:tcPr>
            <w:tcW w:w="1300" w:type="dxa"/>
            <w:vAlign w:val="bottom"/>
          </w:tcPr>
          <w:p>
            <w:pPr>
              <w:ind w:left="180"/>
              <w:spacing w:after="0"/>
              <w:rPr>
                <w:sz w:val="20"/>
                <w:szCs w:val="20"/>
                <w:color w:val="auto"/>
              </w:rPr>
            </w:pPr>
            <w:r>
              <w:rPr>
                <w:rFonts w:ascii="Arial" w:cs="Arial" w:eastAsia="Arial" w:hAnsi="Arial"/>
                <w:sz w:val="11"/>
                <w:szCs w:val="11"/>
                <w:b w:val="1"/>
                <w:bCs w:val="1"/>
                <w:color w:val="FFFFFF"/>
              </w:rPr>
              <w:t>Record contract</w:t>
            </w:r>
          </w:p>
        </w:tc>
        <w:tc>
          <w:tcPr>
            <w:tcW w:w="1320" w:type="dxa"/>
            <w:vAlign w:val="bottom"/>
            <w:gridSpan w:val="2"/>
          </w:tcPr>
          <w:p>
            <w:pPr>
              <w:ind w:left="20"/>
              <w:spacing w:after="0"/>
              <w:rPr>
                <w:sz w:val="20"/>
                <w:szCs w:val="20"/>
                <w:color w:val="auto"/>
              </w:rPr>
            </w:pPr>
            <w:r>
              <w:rPr>
                <w:rFonts w:ascii="Arial" w:cs="Arial" w:eastAsia="Arial" w:hAnsi="Arial"/>
                <w:sz w:val="11"/>
                <w:szCs w:val="11"/>
                <w:b w:val="1"/>
                <w:bCs w:val="1"/>
                <w:color w:val="FFFFFF"/>
              </w:rPr>
              <w:t>Overall market selloff</w:t>
            </w:r>
          </w:p>
        </w:tc>
        <w:tc>
          <w:tcPr>
            <w:tcW w:w="0" w:type="dxa"/>
            <w:vAlign w:val="bottom"/>
          </w:tcPr>
          <w:p>
            <w:pPr>
              <w:spacing w:after="0"/>
              <w:rPr>
                <w:sz w:val="1"/>
                <w:szCs w:val="1"/>
                <w:color w:val="auto"/>
              </w:rPr>
            </w:pPr>
          </w:p>
        </w:tc>
      </w:tr>
      <w:tr>
        <w:trPr>
          <w:trHeight w:val="129"/>
        </w:trPr>
        <w:tc>
          <w:tcPr>
            <w:tcW w:w="2940" w:type="dxa"/>
            <w:vAlign w:val="bottom"/>
          </w:tcPr>
          <w:p>
            <w:pPr>
              <w:ind w:left="960"/>
              <w:spacing w:after="0"/>
              <w:rPr>
                <w:sz w:val="20"/>
                <w:szCs w:val="20"/>
                <w:color w:val="auto"/>
              </w:rPr>
            </w:pPr>
            <w:r>
              <w:rPr>
                <w:rFonts w:ascii="Arial" w:cs="Arial" w:eastAsia="Arial" w:hAnsi="Arial"/>
                <w:sz w:val="11"/>
                <w:szCs w:val="11"/>
                <w:b w:val="1"/>
                <w:bCs w:val="1"/>
                <w:color w:val="FFFFFF"/>
              </w:rPr>
              <w:t>new satellite builds, enabling long-</w:t>
            </w:r>
          </w:p>
        </w:tc>
        <w:tc>
          <w:tcPr>
            <w:tcW w:w="1300" w:type="dxa"/>
            <w:vAlign w:val="bottom"/>
          </w:tcPr>
          <w:p>
            <w:pPr>
              <w:ind w:left="180"/>
              <w:spacing w:after="0"/>
              <w:rPr>
                <w:sz w:val="20"/>
                <w:szCs w:val="20"/>
                <w:color w:val="auto"/>
              </w:rPr>
            </w:pPr>
            <w:r>
              <w:rPr>
                <w:rFonts w:ascii="Arial" w:cs="Arial" w:eastAsia="Arial" w:hAnsi="Arial"/>
                <w:sz w:val="11"/>
                <w:szCs w:val="11"/>
                <w:b w:val="1"/>
                <w:bCs w:val="1"/>
                <w:color w:val="FFFFFF"/>
              </w:rPr>
              <w:t>awards drive</w:t>
            </w:r>
          </w:p>
        </w:tc>
        <w:tc>
          <w:tcPr>
            <w:tcW w:w="1320" w:type="dxa"/>
            <w:vAlign w:val="bottom"/>
            <w:gridSpan w:val="2"/>
          </w:tcPr>
          <w:p>
            <w:pPr>
              <w:ind w:left="20"/>
              <w:spacing w:after="0"/>
              <w:rPr>
                <w:sz w:val="20"/>
                <w:szCs w:val="20"/>
                <w:color w:val="auto"/>
              </w:rPr>
            </w:pPr>
            <w:r>
              <w:rPr>
                <w:rFonts w:ascii="Arial" w:cs="Arial" w:eastAsia="Arial" w:hAnsi="Arial"/>
                <w:sz w:val="11"/>
                <w:szCs w:val="11"/>
                <w:b w:val="1"/>
                <w:bCs w:val="1"/>
                <w:color w:val="FFFFFF"/>
              </w:rPr>
              <w:t>sparked by trade</w:t>
            </w:r>
          </w:p>
        </w:tc>
        <w:tc>
          <w:tcPr>
            <w:tcW w:w="0" w:type="dxa"/>
            <w:vAlign w:val="bottom"/>
          </w:tcPr>
          <w:p>
            <w:pPr>
              <w:spacing w:after="0"/>
              <w:rPr>
                <w:sz w:val="1"/>
                <w:szCs w:val="1"/>
                <w:color w:val="auto"/>
              </w:rPr>
            </w:pPr>
          </w:p>
        </w:tc>
      </w:tr>
      <w:tr>
        <w:trPr>
          <w:trHeight w:val="129"/>
        </w:trPr>
        <w:tc>
          <w:tcPr>
            <w:tcW w:w="2940" w:type="dxa"/>
            <w:vAlign w:val="bottom"/>
          </w:tcPr>
          <w:p>
            <w:pPr>
              <w:ind w:left="960"/>
              <w:spacing w:after="0"/>
              <w:rPr>
                <w:sz w:val="20"/>
                <w:szCs w:val="20"/>
                <w:color w:val="auto"/>
              </w:rPr>
            </w:pPr>
            <w:r>
              <w:rPr>
                <w:rFonts w:ascii="Arial" w:cs="Arial" w:eastAsia="Arial" w:hAnsi="Arial"/>
                <w:sz w:val="11"/>
                <w:szCs w:val="11"/>
                <w:b w:val="1"/>
                <w:bCs w:val="1"/>
                <w:color w:val="FFFFFF"/>
              </w:rPr>
              <w:t>term growth</w:t>
            </w:r>
          </w:p>
        </w:tc>
        <w:tc>
          <w:tcPr>
            <w:tcW w:w="1300" w:type="dxa"/>
            <w:vAlign w:val="bottom"/>
          </w:tcPr>
          <w:p>
            <w:pPr>
              <w:ind w:left="180"/>
              <w:spacing w:after="0"/>
              <w:rPr>
                <w:sz w:val="20"/>
                <w:szCs w:val="20"/>
                <w:color w:val="auto"/>
              </w:rPr>
            </w:pPr>
            <w:r>
              <w:rPr>
                <w:rFonts w:ascii="Arial" w:cs="Arial" w:eastAsia="Arial" w:hAnsi="Arial"/>
                <w:sz w:val="11"/>
                <w:szCs w:val="11"/>
                <w:b w:val="1"/>
                <w:bCs w:val="1"/>
                <w:color w:val="FFFFFF"/>
              </w:rPr>
              <w:t>strong Q2 2019</w:t>
            </w:r>
          </w:p>
        </w:tc>
        <w:tc>
          <w:tcPr>
            <w:tcW w:w="1320" w:type="dxa"/>
            <w:vAlign w:val="bottom"/>
            <w:gridSpan w:val="2"/>
          </w:tcPr>
          <w:p>
            <w:pPr>
              <w:ind w:left="20"/>
              <w:spacing w:after="0"/>
              <w:rPr>
                <w:sz w:val="20"/>
                <w:szCs w:val="20"/>
                <w:color w:val="auto"/>
              </w:rPr>
            </w:pPr>
            <w:r>
              <w:rPr>
                <w:rFonts w:ascii="Arial" w:cs="Arial" w:eastAsia="Arial" w:hAnsi="Arial"/>
                <w:sz w:val="11"/>
                <w:szCs w:val="11"/>
                <w:b w:val="1"/>
                <w:bCs w:val="1"/>
                <w:color w:val="FFFFFF"/>
              </w:rPr>
              <w:t>tensions with China</w:t>
            </w:r>
          </w:p>
        </w:tc>
        <w:tc>
          <w:tcPr>
            <w:tcW w:w="0" w:type="dxa"/>
            <w:vAlign w:val="bottom"/>
          </w:tcPr>
          <w:p>
            <w:pPr>
              <w:spacing w:after="0"/>
              <w:rPr>
                <w:sz w:val="1"/>
                <w:szCs w:val="1"/>
                <w:color w:val="auto"/>
              </w:rPr>
            </w:pPr>
          </w:p>
        </w:tc>
      </w:tr>
      <w:tr>
        <w:trPr>
          <w:trHeight w:val="129"/>
        </w:trPr>
        <w:tc>
          <w:tcPr>
            <w:tcW w:w="2940" w:type="dxa"/>
            <w:vAlign w:val="bottom"/>
          </w:tcPr>
          <w:p>
            <w:pPr>
              <w:spacing w:after="0"/>
              <w:rPr>
                <w:sz w:val="11"/>
                <w:szCs w:val="11"/>
                <w:color w:val="auto"/>
              </w:rPr>
            </w:pPr>
          </w:p>
        </w:tc>
        <w:tc>
          <w:tcPr>
            <w:tcW w:w="1300" w:type="dxa"/>
            <w:vAlign w:val="bottom"/>
          </w:tcPr>
          <w:p>
            <w:pPr>
              <w:ind w:left="180"/>
              <w:spacing w:after="0"/>
              <w:rPr>
                <w:sz w:val="20"/>
                <w:szCs w:val="20"/>
                <w:color w:val="auto"/>
              </w:rPr>
            </w:pPr>
            <w:r>
              <w:rPr>
                <w:rFonts w:ascii="Arial" w:cs="Arial" w:eastAsia="Arial" w:hAnsi="Arial"/>
                <w:sz w:val="11"/>
                <w:szCs w:val="11"/>
                <w:b w:val="1"/>
                <w:bCs w:val="1"/>
                <w:color w:val="FFFFFF"/>
              </w:rPr>
              <w:t>earnings beat</w:t>
            </w:r>
          </w:p>
        </w:tc>
        <w:tc>
          <w:tcPr>
            <w:tcW w:w="1320" w:type="dxa"/>
            <w:vAlign w:val="bottom"/>
            <w:gridSpan w:val="2"/>
          </w:tcPr>
          <w:p>
            <w:pPr>
              <w:ind w:left="20"/>
              <w:spacing w:after="0"/>
              <w:rPr>
                <w:sz w:val="20"/>
                <w:szCs w:val="20"/>
                <w:color w:val="auto"/>
              </w:rPr>
            </w:pPr>
            <w:r>
              <w:rPr>
                <w:rFonts w:ascii="Arial" w:cs="Arial" w:eastAsia="Arial" w:hAnsi="Arial"/>
                <w:sz w:val="11"/>
                <w:szCs w:val="11"/>
                <w:b w:val="1"/>
                <w:bCs w:val="1"/>
                <w:color w:val="FFFFFF"/>
              </w:rPr>
              <w:t>and weakening</w:t>
            </w:r>
          </w:p>
        </w:tc>
        <w:tc>
          <w:tcPr>
            <w:tcW w:w="0" w:type="dxa"/>
            <w:vAlign w:val="bottom"/>
          </w:tcPr>
          <w:p>
            <w:pPr>
              <w:spacing w:after="0"/>
              <w:rPr>
                <w:sz w:val="1"/>
                <w:szCs w:val="1"/>
                <w:color w:val="auto"/>
              </w:rPr>
            </w:pPr>
          </w:p>
        </w:tc>
      </w:tr>
      <w:tr>
        <w:trPr>
          <w:trHeight w:val="141"/>
        </w:trPr>
        <w:tc>
          <w:tcPr>
            <w:tcW w:w="29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20" w:type="dxa"/>
            <w:vAlign w:val="bottom"/>
            <w:gridSpan w:val="2"/>
          </w:tcPr>
          <w:p>
            <w:pPr>
              <w:ind w:left="20"/>
              <w:spacing w:after="0"/>
              <w:rPr>
                <w:sz w:val="20"/>
                <w:szCs w:val="20"/>
                <w:color w:val="auto"/>
              </w:rPr>
            </w:pPr>
            <w:r>
              <w:rPr>
                <w:rFonts w:ascii="Arial" w:cs="Arial" w:eastAsia="Arial" w:hAnsi="Arial"/>
                <w:sz w:val="11"/>
                <w:szCs w:val="11"/>
                <w:b w:val="1"/>
                <w:bCs w:val="1"/>
                <w:color w:val="FFFFFF"/>
              </w:rPr>
              <w:t>investor sentiment</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1185"/>
        <w:spacing w:after="0"/>
        <w:rPr>
          <w:sz w:val="20"/>
          <w:szCs w:val="20"/>
          <w:color w:val="auto"/>
        </w:rPr>
      </w:pPr>
      <w:r>
        <w:rPr>
          <w:rFonts w:ascii="Arial" w:cs="Arial" w:eastAsia="Arial" w:hAnsi="Arial"/>
          <w:sz w:val="10"/>
          <w:szCs w:val="10"/>
          <w:color w:val="202E39"/>
        </w:rPr>
        <w:t>Source: Capital IQ as of 8-Jul-2019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ind w:left="3620"/>
        <w:spacing w:after="0"/>
        <w:rPr>
          <w:sz w:val="20"/>
          <w:szCs w:val="20"/>
          <w:color w:val="auto"/>
        </w:rPr>
      </w:pPr>
      <w:r>
        <w:rPr>
          <w:rFonts w:ascii="Arial" w:cs="Arial" w:eastAsia="Arial" w:hAnsi="Arial"/>
          <w:sz w:val="16"/>
          <w:szCs w:val="16"/>
          <w:b w:val="1"/>
          <w:bCs w:val="1"/>
          <w:color w:val="013064"/>
        </w:rPr>
        <w:t>VSAT</w:t>
      </w:r>
    </w:p>
    <w:p>
      <w:pPr>
        <w:spacing w:after="0" w:line="63" w:lineRule="exact"/>
        <w:rPr>
          <w:sz w:val="20"/>
          <w:szCs w:val="20"/>
          <w:color w:val="auto"/>
        </w:rPr>
      </w:pPr>
    </w:p>
    <w:p>
      <w:pPr>
        <w:ind w:left="3600"/>
        <w:spacing w:after="0"/>
        <w:rPr>
          <w:sz w:val="20"/>
          <w:szCs w:val="20"/>
          <w:color w:val="auto"/>
        </w:rPr>
      </w:pPr>
      <w:r>
        <w:rPr>
          <w:rFonts w:ascii="Arial" w:cs="Arial" w:eastAsia="Arial" w:hAnsi="Arial"/>
          <w:sz w:val="16"/>
          <w:szCs w:val="16"/>
          <w:b w:val="1"/>
          <w:bCs w:val="1"/>
          <w:color w:val="FFFFFF"/>
        </w:rPr>
        <w:t>23.6%</w:t>
      </w:r>
    </w:p>
    <w:p>
      <w:pPr>
        <w:spacing w:after="0" w:line="33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BFD733"/>
        </w:rPr>
        <w:t>S&amp;P Mid-</w:t>
      </w:r>
    </w:p>
    <w:p>
      <w:pPr>
        <w:spacing w:after="0" w:line="29"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BFD733"/>
        </w:rPr>
        <w:t>Cap 400</w:t>
      </w:r>
    </w:p>
    <w:p>
      <w:pPr>
        <w:spacing w:after="0" w:line="48" w:lineRule="exact"/>
        <w:rPr>
          <w:sz w:val="20"/>
          <w:szCs w:val="20"/>
          <w:color w:val="auto"/>
        </w:rPr>
      </w:pPr>
    </w:p>
    <w:p>
      <w:pPr>
        <w:ind w:left="3600"/>
        <w:spacing w:after="0"/>
        <w:rPr>
          <w:sz w:val="20"/>
          <w:szCs w:val="20"/>
          <w:color w:val="auto"/>
        </w:rPr>
      </w:pPr>
      <w:r>
        <w:rPr>
          <w:rFonts w:ascii="Arial" w:cs="Arial" w:eastAsia="Arial" w:hAnsi="Arial"/>
          <w:sz w:val="16"/>
          <w:szCs w:val="16"/>
          <w:b w:val="1"/>
          <w:bCs w:val="1"/>
          <w:color w:val="auto"/>
        </w:rPr>
        <w:t>(0.4)%</w:t>
      </w:r>
    </w:p>
    <w:p>
      <w:pPr>
        <w:ind w:left="3020"/>
        <w:spacing w:after="0"/>
        <w:rPr>
          <w:sz w:val="20"/>
          <w:szCs w:val="20"/>
          <w:color w:val="auto"/>
        </w:rPr>
      </w:pPr>
      <w:r>
        <w:rPr>
          <w:rFonts w:ascii="Arial" w:cs="Arial" w:eastAsia="Arial" w:hAnsi="Arial"/>
          <w:sz w:val="14"/>
          <w:szCs w:val="14"/>
          <w:b w:val="1"/>
          <w:bCs w:val="1"/>
          <w:color w:val="202E39"/>
        </w:rPr>
        <w:t>Jul-2019</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960"/>
        <w:spacing w:after="0"/>
        <w:rPr>
          <w:sz w:val="20"/>
          <w:szCs w:val="20"/>
          <w:color w:val="auto"/>
        </w:rPr>
      </w:pPr>
      <w:r>
        <w:rPr>
          <w:rFonts w:ascii="Arial" w:cs="Arial" w:eastAsia="Arial" w:hAnsi="Arial"/>
          <w:sz w:val="12"/>
          <w:szCs w:val="12"/>
          <w:b w:val="1"/>
          <w:bCs w:val="1"/>
          <w:color w:val="auto"/>
        </w:rPr>
        <w:t>Feb – Today</w:t>
      </w:r>
    </w:p>
    <w:p>
      <w:pPr>
        <w:spacing w:after="0" w:line="67" w:lineRule="exact"/>
        <w:rPr>
          <w:sz w:val="20"/>
          <w:szCs w:val="20"/>
          <w:color w:val="auto"/>
        </w:rPr>
      </w:pPr>
    </w:p>
    <w:p>
      <w:pPr>
        <w:ind w:right="1640"/>
        <w:spacing w:after="0" w:line="253" w:lineRule="auto"/>
        <w:rPr>
          <w:sz w:val="20"/>
          <w:szCs w:val="20"/>
          <w:color w:val="auto"/>
        </w:rPr>
      </w:pPr>
      <w:r>
        <w:rPr>
          <w:rFonts w:ascii="Arial" w:cs="Arial" w:eastAsia="Arial" w:hAnsi="Arial"/>
          <w:sz w:val="11"/>
          <w:szCs w:val="11"/>
          <w:b w:val="1"/>
          <w:bCs w:val="1"/>
          <w:color w:val="auto"/>
        </w:rPr>
        <w:t>Following a selloff in the broader market, record revenues and new contract awards prove Viasat’s business strategy is working, positioning the Company for continued success</w:t>
      </w:r>
    </w:p>
    <w:p>
      <w:pPr>
        <w:spacing w:after="0" w:line="215" w:lineRule="exact"/>
        <w:rPr>
          <w:sz w:val="20"/>
          <w:szCs w:val="20"/>
          <w:color w:val="auto"/>
        </w:rPr>
      </w:pPr>
    </w:p>
    <w:p>
      <w:pPr>
        <w:ind w:left="3940"/>
        <w:spacing w:after="0"/>
        <w:rPr>
          <w:sz w:val="20"/>
          <w:szCs w:val="20"/>
          <w:color w:val="auto"/>
        </w:rPr>
      </w:pPr>
      <w:r>
        <w:rPr>
          <w:rFonts w:ascii="Arial" w:cs="Arial" w:eastAsia="Arial" w:hAnsi="Arial"/>
          <w:sz w:val="9"/>
          <w:szCs w:val="9"/>
          <w:color w:val="7F7F7F"/>
        </w:rPr>
        <w:t>6</w:t>
      </w:r>
    </w:p>
    <w:p>
      <w:pPr>
        <w:sectPr>
          <w:pgSz w:w="11900" w:h="16838" w:orient="portrait"/>
          <w:cols w:equalWidth="0" w:num="2">
            <w:col w:w="5845" w:space="580"/>
            <w:col w:w="4180"/>
          </w:cols>
          <w:pgMar w:left="655" w:top="1053" w:right="639" w:bottom="1440" w:gutter="0" w:footer="0" w:header="0"/>
          <w:type w:val="continuous"/>
        </w:sectPr>
      </w:pPr>
    </w:p>
    <w:bookmarkStart w:id="7" w:name="page8"/>
    <w:bookmarkEnd w:id="7"/>
    <w:p>
      <w:pPr>
        <w:ind w:left="40"/>
        <w:spacing w:after="0"/>
        <w:rPr>
          <w:sz w:val="20"/>
          <w:szCs w:val="20"/>
          <w:color w:val="auto"/>
        </w:rPr>
      </w:pPr>
      <w:r>
        <w:rPr>
          <w:rFonts w:ascii="Arial" w:cs="Arial" w:eastAsia="Arial" w:hAnsi="Arial"/>
          <w:sz w:val="37"/>
          <w:szCs w:val="37"/>
          <w:color w:val="202E39"/>
        </w:rPr>
        <w:drawing>
          <wp:anchor simplePos="0" relativeHeight="251657728" behindDoc="1" locked="0" layoutInCell="0" allowOverlap="1">
            <wp:simplePos x="0" y="0"/>
            <wp:positionH relativeFrom="page">
              <wp:posOffset>130810</wp:posOffset>
            </wp:positionH>
            <wp:positionV relativeFrom="page">
              <wp:posOffset>88900</wp:posOffset>
            </wp:positionV>
            <wp:extent cx="7313930" cy="40665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13930" cy="4066540"/>
                    </a:xfrm>
                    <a:prstGeom prst="rect">
                      <a:avLst/>
                    </a:prstGeom>
                    <a:noFill/>
                  </pic:spPr>
                </pic:pic>
              </a:graphicData>
            </a:graphic>
          </wp:anchor>
        </w:drawing>
        <w:t>Experienced and diverse board</w:t>
      </w:r>
    </w:p>
    <w:p>
      <w:pPr>
        <w:sectPr>
          <w:pgSz w:w="11900" w:h="16838" w:orient="portrait"/>
          <w:cols w:equalWidth="0" w:num="1">
            <w:col w:w="10840"/>
          </w:cols>
          <w:pgMar w:left="600" w:top="1098" w:right="459" w:bottom="1440" w:gutter="0" w:footer="0" w:header="0"/>
        </w:sectPr>
      </w:pPr>
    </w:p>
    <w:p>
      <w:pPr>
        <w:spacing w:after="0" w:line="190" w:lineRule="exact"/>
        <w:rPr>
          <w:sz w:val="20"/>
          <w:szCs w:val="20"/>
          <w:color w:val="auto"/>
        </w:rPr>
      </w:pPr>
    </w:p>
    <w:p>
      <w:pPr>
        <w:ind w:left="140" w:right="659"/>
        <w:spacing w:after="0" w:line="271" w:lineRule="auto"/>
        <w:rPr>
          <w:sz w:val="20"/>
          <w:szCs w:val="20"/>
          <w:color w:val="auto"/>
        </w:rPr>
      </w:pPr>
      <w:r>
        <w:rPr>
          <w:rFonts w:ascii="Arial" w:cs="Arial" w:eastAsia="Arial" w:hAnsi="Arial"/>
          <w:sz w:val="12"/>
          <w:szCs w:val="12"/>
          <w:color w:val="013064"/>
        </w:rPr>
        <w:t xml:space="preserve">In 2019, we added the </w:t>
      </w:r>
      <w:r>
        <w:rPr>
          <w:rFonts w:ascii="Arial" w:cs="Arial" w:eastAsia="Arial" w:hAnsi="Arial"/>
          <w:sz w:val="12"/>
          <w:szCs w:val="12"/>
          <w:b w:val="1"/>
          <w:bCs w:val="1"/>
          <w:color w:val="013064"/>
        </w:rPr>
        <w:t>Lead Independent Director</w:t>
      </w:r>
      <w:r>
        <w:rPr>
          <w:rFonts w:ascii="Arial" w:cs="Arial" w:eastAsia="Arial" w:hAnsi="Arial"/>
          <w:sz w:val="12"/>
          <w:szCs w:val="12"/>
          <w:color w:val="013064"/>
        </w:rPr>
        <w:t xml:space="preserve"> role to provide independent oversight and leadership through:</w:t>
      </w:r>
    </w:p>
    <w:p>
      <w:pPr>
        <w:spacing w:after="0" w:line="121" w:lineRule="exact"/>
        <w:rPr>
          <w:sz w:val="20"/>
          <w:szCs w:val="20"/>
          <w:color w:val="auto"/>
        </w:rPr>
      </w:pPr>
    </w:p>
    <w:p>
      <w:pPr>
        <w:ind w:left="400" w:right="779"/>
        <w:spacing w:after="0" w:line="247" w:lineRule="auto"/>
        <w:rPr>
          <w:sz w:val="20"/>
          <w:szCs w:val="20"/>
          <w:color w:val="auto"/>
        </w:rPr>
      </w:pPr>
      <w:r>
        <w:rPr>
          <w:rFonts w:ascii="Arial" w:cs="Arial" w:eastAsia="Arial" w:hAnsi="Arial"/>
          <w:sz w:val="12"/>
          <w:szCs w:val="12"/>
          <w:color w:val="013064"/>
        </w:rPr>
        <w:t>Serving as liaison between Chairman and rest of the Board Calling meetings of the independent directors</w:t>
      </w:r>
    </w:p>
    <w:p>
      <w:pPr>
        <w:spacing w:after="0" w:line="6" w:lineRule="exact"/>
        <w:rPr>
          <w:sz w:val="20"/>
          <w:szCs w:val="20"/>
          <w:color w:val="auto"/>
        </w:rPr>
      </w:pPr>
    </w:p>
    <w:p>
      <w:pPr>
        <w:ind w:left="400"/>
        <w:spacing w:after="0"/>
        <w:rPr>
          <w:sz w:val="20"/>
          <w:szCs w:val="20"/>
          <w:color w:val="auto"/>
        </w:rPr>
      </w:pPr>
      <w:r>
        <w:rPr>
          <w:rFonts w:ascii="Arial" w:cs="Arial" w:eastAsia="Arial" w:hAnsi="Arial"/>
          <w:sz w:val="11"/>
          <w:szCs w:val="11"/>
          <w:color w:val="013064"/>
        </w:rPr>
        <w:t>Presiding over all meeting where the Chairman is not present</w:t>
      </w:r>
    </w:p>
    <w:p>
      <w:pPr>
        <w:spacing w:after="0" w:line="277" w:lineRule="exact"/>
        <w:rPr>
          <w:sz w:val="20"/>
          <w:szCs w:val="20"/>
          <w:color w:val="auto"/>
        </w:rPr>
      </w:pPr>
    </w:p>
    <w:p>
      <w:pPr>
        <w:ind w:left="1380"/>
        <w:spacing w:after="0"/>
        <w:rPr>
          <w:sz w:val="20"/>
          <w:szCs w:val="20"/>
          <w:color w:val="auto"/>
        </w:rPr>
      </w:pPr>
      <w:r>
        <w:rPr>
          <w:rFonts w:ascii="Arial" w:cs="Arial" w:eastAsia="Arial" w:hAnsi="Arial"/>
          <w:sz w:val="13"/>
          <w:szCs w:val="13"/>
          <w:b w:val="1"/>
          <w:bCs w:val="1"/>
          <w:i w:val="1"/>
          <w:iCs w:val="1"/>
          <w:color w:val="auto"/>
        </w:rPr>
        <w:t>Risk Oversight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jc w:val="right"/>
              <w:ind w:right="218"/>
              <w:spacing w:after="0"/>
              <w:rPr>
                <w:sz w:val="20"/>
                <w:szCs w:val="20"/>
                <w:color w:val="auto"/>
              </w:rPr>
            </w:pPr>
            <w:r>
              <w:rPr>
                <w:rFonts w:ascii="Arial" w:cs="Arial" w:eastAsia="Arial" w:hAnsi="Arial"/>
                <w:sz w:val="14"/>
                <w:szCs w:val="14"/>
                <w:color w:val="009FE3"/>
              </w:rPr>
              <w:t xml:space="preserve">› </w:t>
            </w:r>
            <w:r>
              <w:rPr>
                <w:rFonts w:ascii="Arial" w:cs="Arial" w:eastAsia="Arial" w:hAnsi="Arial"/>
                <w:sz w:val="11"/>
                <w:szCs w:val="11"/>
                <w:color w:val="202E39"/>
              </w:rPr>
              <w:t>Comprehensive approach to risk</w:t>
            </w:r>
          </w:p>
        </w:tc>
        <w:tc>
          <w:tcPr>
            <w:tcW w:w="1040" w:type="dxa"/>
            <w:vAlign w:val="bottom"/>
          </w:tcPr>
          <w:p>
            <w:pPr>
              <w:jc w:val="center"/>
              <w:ind w:left="216"/>
              <w:spacing w:after="0"/>
              <w:rPr>
                <w:sz w:val="20"/>
                <w:szCs w:val="20"/>
                <w:color w:val="auto"/>
              </w:rPr>
            </w:pPr>
            <w:r>
              <w:rPr>
                <w:rFonts w:ascii="Arial" w:cs="Arial" w:eastAsia="Arial" w:hAnsi="Arial"/>
                <w:sz w:val="13"/>
                <w:szCs w:val="13"/>
                <w:b w:val="1"/>
                <w:bCs w:val="1"/>
                <w:color w:val="FFFFFF"/>
                <w:w w:val="99"/>
              </w:rPr>
              <w:t>The Board</w:t>
            </w:r>
          </w:p>
        </w:tc>
        <w:tc>
          <w:tcPr>
            <w:tcW w:w="0" w:type="dxa"/>
            <w:vAlign w:val="bottom"/>
          </w:tcPr>
          <w:p>
            <w:pPr>
              <w:spacing w:after="0"/>
              <w:rPr>
                <w:sz w:val="1"/>
                <w:szCs w:val="1"/>
                <w:color w:val="auto"/>
              </w:rPr>
            </w:pPr>
          </w:p>
        </w:tc>
      </w:tr>
      <w:tr>
        <w:trPr>
          <w:trHeight w:val="139"/>
        </w:trPr>
        <w:tc>
          <w:tcPr>
            <w:tcW w:w="2200" w:type="dxa"/>
            <w:vAlign w:val="bottom"/>
          </w:tcPr>
          <w:p>
            <w:pPr>
              <w:jc w:val="right"/>
              <w:ind w:right="238"/>
              <w:spacing w:after="0"/>
              <w:rPr>
                <w:sz w:val="20"/>
                <w:szCs w:val="20"/>
                <w:color w:val="auto"/>
              </w:rPr>
            </w:pPr>
            <w:r>
              <w:rPr>
                <w:rFonts w:ascii="Arial" w:cs="Arial" w:eastAsia="Arial" w:hAnsi="Arial"/>
                <w:sz w:val="12"/>
                <w:szCs w:val="12"/>
                <w:color w:val="202E39"/>
              </w:rPr>
              <w:t>management assessed and</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200" w:type="dxa"/>
            <w:vAlign w:val="bottom"/>
          </w:tcPr>
          <w:p>
            <w:pPr>
              <w:jc w:val="right"/>
              <w:ind w:right="238"/>
              <w:spacing w:after="0"/>
              <w:rPr>
                <w:sz w:val="20"/>
                <w:szCs w:val="20"/>
                <w:color w:val="auto"/>
              </w:rPr>
            </w:pPr>
            <w:r>
              <w:rPr>
                <w:rFonts w:ascii="Arial" w:cs="Arial" w:eastAsia="Arial" w:hAnsi="Arial"/>
                <w:sz w:val="12"/>
                <w:szCs w:val="12"/>
                <w:color w:val="202E39"/>
              </w:rPr>
              <w:t>overseen by the Board</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200" w:type="dxa"/>
            <w:vAlign w:val="bottom"/>
          </w:tcPr>
          <w:p>
            <w:pPr>
              <w:jc w:val="right"/>
              <w:ind w:right="218"/>
              <w:spacing w:after="0"/>
              <w:rPr>
                <w:sz w:val="20"/>
                <w:szCs w:val="20"/>
                <w:color w:val="auto"/>
              </w:rPr>
            </w:pPr>
            <w:r>
              <w:rPr>
                <w:rFonts w:ascii="Arial" w:cs="Arial" w:eastAsia="Arial" w:hAnsi="Arial"/>
                <w:sz w:val="14"/>
                <w:szCs w:val="14"/>
                <w:color w:val="009FE3"/>
              </w:rPr>
              <w:t xml:space="preserve">› </w:t>
            </w:r>
            <w:r>
              <w:rPr>
                <w:rFonts w:ascii="Arial" w:cs="Arial" w:eastAsia="Arial" w:hAnsi="Arial"/>
                <w:sz w:val="11"/>
                <w:szCs w:val="11"/>
                <w:color w:val="202E39"/>
              </w:rPr>
              <w:t>Management provides timely,</w:t>
            </w:r>
          </w:p>
        </w:tc>
        <w:tc>
          <w:tcPr>
            <w:tcW w:w="1040" w:type="dxa"/>
            <w:vAlign w:val="bottom"/>
            <w:vMerge w:val="restart"/>
          </w:tcPr>
          <w:p>
            <w:pPr>
              <w:jc w:val="center"/>
              <w:ind w:left="196"/>
              <w:spacing w:after="0"/>
              <w:rPr>
                <w:sz w:val="20"/>
                <w:szCs w:val="20"/>
                <w:color w:val="auto"/>
              </w:rPr>
            </w:pPr>
            <w:r>
              <w:rPr>
                <w:rFonts w:ascii="Arial" w:cs="Arial" w:eastAsia="Arial" w:hAnsi="Arial"/>
                <w:sz w:val="13"/>
                <w:szCs w:val="13"/>
                <w:b w:val="1"/>
                <w:bCs w:val="1"/>
                <w:color w:val="FFFFFF"/>
                <w:w w:val="99"/>
              </w:rPr>
              <w:t>Committees</w:t>
            </w:r>
          </w:p>
        </w:tc>
        <w:tc>
          <w:tcPr>
            <w:tcW w:w="0" w:type="dxa"/>
            <w:vAlign w:val="bottom"/>
          </w:tcPr>
          <w:p>
            <w:pPr>
              <w:spacing w:after="0"/>
              <w:rPr>
                <w:sz w:val="1"/>
                <w:szCs w:val="1"/>
                <w:color w:val="auto"/>
              </w:rPr>
            </w:pPr>
          </w:p>
        </w:tc>
      </w:tr>
      <w:tr>
        <w:trPr>
          <w:trHeight w:val="71"/>
        </w:trPr>
        <w:tc>
          <w:tcPr>
            <w:tcW w:w="2200" w:type="dxa"/>
            <w:vAlign w:val="bottom"/>
            <w:vMerge w:val="restart"/>
          </w:tcPr>
          <w:p>
            <w:pPr>
              <w:jc w:val="right"/>
              <w:ind w:right="218"/>
              <w:spacing w:after="0"/>
              <w:rPr>
                <w:sz w:val="20"/>
                <w:szCs w:val="20"/>
                <w:color w:val="auto"/>
              </w:rPr>
            </w:pPr>
            <w:r>
              <w:rPr>
                <w:rFonts w:ascii="Arial" w:cs="Arial" w:eastAsia="Arial" w:hAnsi="Arial"/>
                <w:sz w:val="12"/>
                <w:szCs w:val="12"/>
                <w:color w:val="202E39"/>
              </w:rPr>
              <w:t>comprehensive information to the</w:t>
            </w: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20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200" w:type="dxa"/>
            <w:vAlign w:val="bottom"/>
          </w:tcPr>
          <w:p>
            <w:pPr>
              <w:jc w:val="right"/>
              <w:ind w:right="218"/>
              <w:spacing w:after="0"/>
              <w:rPr>
                <w:sz w:val="20"/>
                <w:szCs w:val="20"/>
                <w:color w:val="auto"/>
              </w:rPr>
            </w:pPr>
            <w:r>
              <w:rPr>
                <w:rFonts w:ascii="Arial" w:cs="Arial" w:eastAsia="Arial" w:hAnsi="Arial"/>
                <w:sz w:val="12"/>
                <w:szCs w:val="12"/>
                <w:color w:val="202E39"/>
                <w:w w:val="97"/>
              </w:rPr>
              <w:t>Board to support its role in oversight,</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200" w:type="dxa"/>
            <w:vAlign w:val="bottom"/>
          </w:tcPr>
          <w:p>
            <w:pPr>
              <w:jc w:val="right"/>
              <w:ind w:right="198"/>
              <w:spacing w:after="0"/>
              <w:rPr>
                <w:sz w:val="20"/>
                <w:szCs w:val="20"/>
                <w:color w:val="auto"/>
              </w:rPr>
            </w:pPr>
            <w:r>
              <w:rPr>
                <w:rFonts w:ascii="Arial" w:cs="Arial" w:eastAsia="Arial" w:hAnsi="Arial"/>
                <w:sz w:val="12"/>
                <w:szCs w:val="12"/>
                <w:color w:val="202E39"/>
              </w:rPr>
              <w:t>approval and decision-making</w:t>
            </w:r>
          </w:p>
        </w:tc>
        <w:tc>
          <w:tcPr>
            <w:tcW w:w="1040" w:type="dxa"/>
            <w:vAlign w:val="bottom"/>
            <w:vMerge w:val="restart"/>
          </w:tcPr>
          <w:p>
            <w:pPr>
              <w:jc w:val="center"/>
              <w:ind w:left="196"/>
              <w:spacing w:after="0"/>
              <w:rPr>
                <w:sz w:val="20"/>
                <w:szCs w:val="20"/>
                <w:color w:val="auto"/>
              </w:rPr>
            </w:pPr>
            <w:r>
              <w:rPr>
                <w:rFonts w:ascii="Arial" w:cs="Arial" w:eastAsia="Arial" w:hAnsi="Arial"/>
                <w:sz w:val="13"/>
                <w:szCs w:val="13"/>
                <w:b w:val="1"/>
                <w:bCs w:val="1"/>
                <w:color w:val="FFFFFF"/>
                <w:w w:val="98"/>
              </w:rPr>
              <w:t>Management</w:t>
            </w:r>
          </w:p>
        </w:tc>
        <w:tc>
          <w:tcPr>
            <w:tcW w:w="0" w:type="dxa"/>
            <w:vAlign w:val="bottom"/>
          </w:tcPr>
          <w:p>
            <w:pPr>
              <w:spacing w:after="0"/>
              <w:rPr>
                <w:sz w:val="1"/>
                <w:szCs w:val="1"/>
                <w:color w:val="auto"/>
              </w:rPr>
            </w:pPr>
          </w:p>
        </w:tc>
      </w:tr>
      <w:tr>
        <w:trPr>
          <w:trHeight w:val="143"/>
        </w:trPr>
        <w:tc>
          <w:tcPr>
            <w:tcW w:w="22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820"/>
        <w:spacing w:after="0"/>
        <w:rPr>
          <w:sz w:val="20"/>
          <w:szCs w:val="20"/>
          <w:color w:val="auto"/>
        </w:rPr>
      </w:pPr>
      <w:r>
        <w:rPr>
          <w:rFonts w:ascii="Arial" w:cs="Arial" w:eastAsia="Arial" w:hAnsi="Arial"/>
          <w:sz w:val="13"/>
          <w:szCs w:val="13"/>
          <w:b w:val="1"/>
          <w:bCs w:val="1"/>
          <w:i w:val="1"/>
          <w:iCs w:val="1"/>
          <w:color w:val="auto"/>
        </w:rPr>
        <w:t>Board Evaluation and Refreshment</w:t>
      </w:r>
    </w:p>
    <w:p>
      <w:pPr>
        <w:spacing w:after="0" w:line="91" w:lineRule="exact"/>
        <w:rPr>
          <w:sz w:val="20"/>
          <w:szCs w:val="20"/>
          <w:color w:val="auto"/>
        </w:rPr>
      </w:pPr>
    </w:p>
    <w:p>
      <w:pPr>
        <w:ind w:left="1540" w:hanging="112"/>
        <w:spacing w:after="0"/>
        <w:tabs>
          <w:tab w:leader="none" w:pos="1540" w:val="left"/>
        </w:tabs>
        <w:numPr>
          <w:ilvl w:val="0"/>
          <w:numId w:val="16"/>
        </w:numPr>
        <w:rPr>
          <w:rFonts w:ascii="Arial" w:cs="Arial" w:eastAsia="Arial" w:hAnsi="Arial"/>
          <w:sz w:val="14"/>
          <w:szCs w:val="14"/>
          <w:color w:val="009FE3"/>
        </w:rPr>
      </w:pPr>
      <w:r>
        <w:rPr>
          <w:rFonts w:ascii="Arial" w:cs="Arial" w:eastAsia="Arial" w:hAnsi="Arial"/>
          <w:sz w:val="12"/>
          <w:szCs w:val="12"/>
          <w:color w:val="202E39"/>
        </w:rPr>
        <w:t>The Nomination, Evaluation and</w:t>
      </w:r>
    </w:p>
    <w:p>
      <w:pPr>
        <w:jc w:val="both"/>
        <w:ind w:left="1540" w:right="919" w:hanging="863"/>
        <w:spacing w:after="0" w:line="187" w:lineRule="auto"/>
        <w:tabs>
          <w:tab w:leader="none" w:pos="1540" w:val="left"/>
        </w:tabs>
        <w:numPr>
          <w:ilvl w:val="0"/>
          <w:numId w:val="17"/>
        </w:numPr>
        <w:rPr>
          <w:rFonts w:ascii="Arial" w:cs="Arial" w:eastAsia="Arial" w:hAnsi="Arial"/>
          <w:sz w:val="20"/>
          <w:szCs w:val="20"/>
          <w:b w:val="1"/>
          <w:bCs w:val="1"/>
          <w:color w:val="FFFFFF"/>
          <w:vertAlign w:val="subscript"/>
        </w:rPr>
      </w:pPr>
      <w:r>
        <w:rPr>
          <w:rFonts w:ascii="Arial" w:cs="Arial" w:eastAsia="Arial" w:hAnsi="Arial"/>
          <w:sz w:val="11"/>
          <w:szCs w:val="11"/>
          <w:color w:val="202E39"/>
        </w:rPr>
        <w:t>Corporate Governance Committee assesses the skills required of our</w:t>
      </w:r>
    </w:p>
    <w:tbl>
      <w:tblPr>
        <w:tblLayout w:type="fixed"/>
        <w:tblInd w:w="400" w:type="dxa"/>
        <w:tblCellMar>
          <w:top w:w="0" w:type="dxa"/>
          <w:left w:w="0" w:type="dxa"/>
          <w:bottom w:w="0" w:type="dxa"/>
          <w:right w:w="0" w:type="dxa"/>
        </w:tblCellMar>
      </w:tblPr>
      <w:tr>
        <w:trPr>
          <w:trHeight w:val="138"/>
        </w:trPr>
        <w:tc>
          <w:tcPr>
            <w:tcW w:w="780" w:type="dxa"/>
            <w:vAlign w:val="bottom"/>
          </w:tcPr>
          <w:p>
            <w:pPr>
              <w:jc w:val="center"/>
              <w:ind w:right="166"/>
              <w:spacing w:after="0"/>
              <w:rPr>
                <w:sz w:val="20"/>
                <w:szCs w:val="20"/>
                <w:color w:val="auto"/>
              </w:rPr>
            </w:pPr>
            <w:r>
              <w:rPr>
                <w:rFonts w:ascii="Arial" w:cs="Arial" w:eastAsia="Arial" w:hAnsi="Arial"/>
                <w:sz w:val="11"/>
                <w:szCs w:val="11"/>
                <w:b w:val="1"/>
                <w:bCs w:val="1"/>
                <w:color w:val="404040"/>
                <w:w w:val="98"/>
              </w:rPr>
              <w:t>Four new</w:t>
            </w:r>
          </w:p>
        </w:tc>
        <w:tc>
          <w:tcPr>
            <w:tcW w:w="320" w:type="dxa"/>
            <w:vAlign w:val="bottom"/>
          </w:tcPr>
          <w:p>
            <w:pPr>
              <w:spacing w:after="0"/>
              <w:rPr>
                <w:sz w:val="12"/>
                <w:szCs w:val="12"/>
                <w:color w:val="auto"/>
              </w:rPr>
            </w:pPr>
          </w:p>
        </w:tc>
        <w:tc>
          <w:tcPr>
            <w:tcW w:w="1960" w:type="dxa"/>
            <w:vAlign w:val="bottom"/>
          </w:tcPr>
          <w:p>
            <w:pPr>
              <w:ind w:left="40"/>
              <w:spacing w:after="0"/>
              <w:rPr>
                <w:sz w:val="20"/>
                <w:szCs w:val="20"/>
                <w:color w:val="auto"/>
              </w:rPr>
            </w:pPr>
            <w:r>
              <w:rPr>
                <w:rFonts w:ascii="Arial" w:cs="Arial" w:eastAsia="Arial" w:hAnsi="Arial"/>
                <w:sz w:val="12"/>
                <w:szCs w:val="12"/>
                <w:color w:val="202E39"/>
              </w:rPr>
              <w:t>directors to align with our current</w:t>
            </w:r>
          </w:p>
        </w:tc>
        <w:tc>
          <w:tcPr>
            <w:tcW w:w="0" w:type="dxa"/>
            <w:vAlign w:val="bottom"/>
          </w:tcPr>
          <w:p>
            <w:pPr>
              <w:spacing w:after="0"/>
              <w:rPr>
                <w:sz w:val="1"/>
                <w:szCs w:val="1"/>
                <w:color w:val="auto"/>
              </w:rPr>
            </w:pPr>
          </w:p>
        </w:tc>
      </w:tr>
      <w:tr>
        <w:trPr>
          <w:trHeight w:val="129"/>
        </w:trPr>
        <w:tc>
          <w:tcPr>
            <w:tcW w:w="780" w:type="dxa"/>
            <w:vAlign w:val="bottom"/>
          </w:tcPr>
          <w:p>
            <w:pPr>
              <w:jc w:val="center"/>
              <w:ind w:right="146"/>
              <w:spacing w:after="0"/>
              <w:rPr>
                <w:sz w:val="20"/>
                <w:szCs w:val="20"/>
                <w:color w:val="auto"/>
              </w:rPr>
            </w:pPr>
            <w:r>
              <w:rPr>
                <w:rFonts w:ascii="Arial" w:cs="Arial" w:eastAsia="Arial" w:hAnsi="Arial"/>
                <w:sz w:val="11"/>
                <w:szCs w:val="11"/>
                <w:b w:val="1"/>
                <w:bCs w:val="1"/>
                <w:color w:val="404040"/>
                <w:w w:val="97"/>
              </w:rPr>
              <w:t>directors</w:t>
            </w:r>
          </w:p>
        </w:tc>
        <w:tc>
          <w:tcPr>
            <w:tcW w:w="320" w:type="dxa"/>
            <w:vAlign w:val="bottom"/>
          </w:tcPr>
          <w:p>
            <w:pPr>
              <w:spacing w:after="0"/>
              <w:rPr>
                <w:sz w:val="11"/>
                <w:szCs w:val="11"/>
                <w:color w:val="auto"/>
              </w:rPr>
            </w:pPr>
          </w:p>
        </w:tc>
        <w:tc>
          <w:tcPr>
            <w:tcW w:w="1960" w:type="dxa"/>
            <w:vAlign w:val="bottom"/>
          </w:tcPr>
          <w:p>
            <w:pPr>
              <w:ind w:left="40"/>
              <w:spacing w:after="0" w:line="129" w:lineRule="exact"/>
              <w:rPr>
                <w:sz w:val="20"/>
                <w:szCs w:val="20"/>
                <w:color w:val="auto"/>
              </w:rPr>
            </w:pPr>
            <w:r>
              <w:rPr>
                <w:rFonts w:ascii="Arial" w:cs="Arial" w:eastAsia="Arial" w:hAnsi="Arial"/>
                <w:sz w:val="12"/>
                <w:szCs w:val="12"/>
                <w:color w:val="202E39"/>
              </w:rPr>
              <w:t>needs, which informs refreshment</w:t>
            </w:r>
          </w:p>
        </w:tc>
        <w:tc>
          <w:tcPr>
            <w:tcW w:w="0" w:type="dxa"/>
            <w:vAlign w:val="bottom"/>
          </w:tcPr>
          <w:p>
            <w:pPr>
              <w:spacing w:after="0"/>
              <w:rPr>
                <w:sz w:val="1"/>
                <w:szCs w:val="1"/>
                <w:color w:val="auto"/>
              </w:rPr>
            </w:pPr>
          </w:p>
        </w:tc>
      </w:tr>
      <w:tr>
        <w:trPr>
          <w:trHeight w:val="129"/>
        </w:trPr>
        <w:tc>
          <w:tcPr>
            <w:tcW w:w="780" w:type="dxa"/>
            <w:vAlign w:val="bottom"/>
          </w:tcPr>
          <w:p>
            <w:pPr>
              <w:jc w:val="center"/>
              <w:ind w:right="186"/>
              <w:spacing w:after="0"/>
              <w:rPr>
                <w:sz w:val="20"/>
                <w:szCs w:val="20"/>
                <w:color w:val="auto"/>
              </w:rPr>
            </w:pPr>
            <w:r>
              <w:rPr>
                <w:rFonts w:ascii="Arial" w:cs="Arial" w:eastAsia="Arial" w:hAnsi="Arial"/>
                <w:sz w:val="11"/>
                <w:szCs w:val="11"/>
                <w:b w:val="1"/>
                <w:bCs w:val="1"/>
                <w:color w:val="404040"/>
              </w:rPr>
              <w:t>in last five</w:t>
            </w:r>
          </w:p>
        </w:tc>
        <w:tc>
          <w:tcPr>
            <w:tcW w:w="320" w:type="dxa"/>
            <w:vAlign w:val="bottom"/>
            <w:vMerge w:val="restart"/>
          </w:tcPr>
          <w:p>
            <w:pPr>
              <w:ind w:left="240"/>
              <w:spacing w:after="0"/>
              <w:rPr>
                <w:sz w:val="20"/>
                <w:szCs w:val="20"/>
                <w:color w:val="auto"/>
              </w:rPr>
            </w:pPr>
            <w:r>
              <w:rPr>
                <w:rFonts w:ascii="Arial" w:cs="Arial" w:eastAsia="Arial" w:hAnsi="Arial"/>
                <w:sz w:val="14"/>
                <w:szCs w:val="14"/>
                <w:color w:val="009FE3"/>
              </w:rPr>
              <w:t>›</w:t>
            </w:r>
          </w:p>
        </w:tc>
        <w:tc>
          <w:tcPr>
            <w:tcW w:w="1960" w:type="dxa"/>
            <w:vAlign w:val="bottom"/>
            <w:vMerge w:val="restart"/>
          </w:tcPr>
          <w:p>
            <w:pPr>
              <w:ind w:left="40"/>
              <w:spacing w:after="0"/>
              <w:rPr>
                <w:sz w:val="20"/>
                <w:szCs w:val="20"/>
                <w:color w:val="auto"/>
              </w:rPr>
            </w:pPr>
            <w:r>
              <w:rPr>
                <w:rFonts w:ascii="Arial" w:cs="Arial" w:eastAsia="Arial" w:hAnsi="Arial"/>
                <w:sz w:val="12"/>
                <w:szCs w:val="12"/>
                <w:color w:val="202E39"/>
                <w:w w:val="96"/>
              </w:rPr>
              <w:t>The Board completes an annual self-</w:t>
            </w:r>
          </w:p>
        </w:tc>
        <w:tc>
          <w:tcPr>
            <w:tcW w:w="0" w:type="dxa"/>
            <w:vAlign w:val="bottom"/>
          </w:tcPr>
          <w:p>
            <w:pPr>
              <w:spacing w:after="0"/>
              <w:rPr>
                <w:sz w:val="1"/>
                <w:szCs w:val="1"/>
                <w:color w:val="auto"/>
              </w:rPr>
            </w:pPr>
          </w:p>
        </w:tc>
      </w:tr>
      <w:tr>
        <w:trPr>
          <w:trHeight w:val="67"/>
        </w:trPr>
        <w:tc>
          <w:tcPr>
            <w:tcW w:w="780" w:type="dxa"/>
            <w:vAlign w:val="bottom"/>
            <w:vMerge w:val="restart"/>
          </w:tcPr>
          <w:p>
            <w:pPr>
              <w:jc w:val="center"/>
              <w:ind w:right="166"/>
              <w:spacing w:after="0"/>
              <w:rPr>
                <w:sz w:val="20"/>
                <w:szCs w:val="20"/>
                <w:color w:val="auto"/>
              </w:rPr>
            </w:pPr>
            <w:r>
              <w:rPr>
                <w:rFonts w:ascii="Arial" w:cs="Arial" w:eastAsia="Arial" w:hAnsi="Arial"/>
                <w:sz w:val="11"/>
                <w:szCs w:val="11"/>
                <w:b w:val="1"/>
                <w:bCs w:val="1"/>
                <w:color w:val="404040"/>
                <w:w w:val="97"/>
              </w:rPr>
              <w:t>years</w:t>
            </w:r>
          </w:p>
        </w:tc>
        <w:tc>
          <w:tcPr>
            <w:tcW w:w="320" w:type="dxa"/>
            <w:vAlign w:val="bottom"/>
            <w:vMerge w:val="continue"/>
          </w:tcPr>
          <w:p>
            <w:pPr>
              <w:spacing w:after="0"/>
              <w:rPr>
                <w:sz w:val="5"/>
                <w:szCs w:val="5"/>
                <w:color w:val="auto"/>
              </w:rPr>
            </w:pPr>
          </w:p>
        </w:tc>
        <w:tc>
          <w:tcPr>
            <w:tcW w:w="1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7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960" w:type="dxa"/>
            <w:vAlign w:val="bottom"/>
            <w:vMerge w:val="restart"/>
          </w:tcPr>
          <w:p>
            <w:pPr>
              <w:ind w:left="40"/>
              <w:spacing w:after="0"/>
              <w:rPr>
                <w:sz w:val="20"/>
                <w:szCs w:val="20"/>
                <w:color w:val="auto"/>
              </w:rPr>
            </w:pPr>
            <w:r>
              <w:rPr>
                <w:rFonts w:ascii="Arial" w:cs="Arial" w:eastAsia="Arial" w:hAnsi="Arial"/>
                <w:sz w:val="12"/>
                <w:szCs w:val="12"/>
                <w:color w:val="202E39"/>
              </w:rPr>
              <w:t>evaluation, results of which inform</w:t>
            </w:r>
          </w:p>
        </w:tc>
        <w:tc>
          <w:tcPr>
            <w:tcW w:w="0" w:type="dxa"/>
            <w:vAlign w:val="bottom"/>
          </w:tcPr>
          <w:p>
            <w:pPr>
              <w:spacing w:after="0"/>
              <w:rPr>
                <w:sz w:val="1"/>
                <w:szCs w:val="1"/>
                <w:color w:val="auto"/>
              </w:rPr>
            </w:pPr>
          </w:p>
        </w:tc>
      </w:tr>
      <w:tr>
        <w:trPr>
          <w:trHeight w:val="65"/>
        </w:trPr>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jc w:val="both"/>
        <w:ind w:left="1540" w:right="999" w:hanging="863"/>
        <w:spacing w:after="0" w:line="194" w:lineRule="auto"/>
        <w:tabs>
          <w:tab w:leader="none" w:pos="1540" w:val="left"/>
        </w:tabs>
        <w:numPr>
          <w:ilvl w:val="0"/>
          <w:numId w:val="18"/>
        </w:numPr>
        <w:rPr>
          <w:rFonts w:ascii="Arial" w:cs="Arial" w:eastAsia="Arial" w:hAnsi="Arial"/>
          <w:sz w:val="21"/>
          <w:szCs w:val="21"/>
          <w:b w:val="1"/>
          <w:bCs w:val="1"/>
          <w:color w:val="646464"/>
          <w:vertAlign w:val="subscript"/>
        </w:rPr>
      </w:pPr>
      <w:r>
        <w:rPr>
          <w:rFonts w:ascii="Arial" w:cs="Arial" w:eastAsia="Arial" w:hAnsi="Arial"/>
          <w:sz w:val="12"/>
          <w:szCs w:val="12"/>
          <w:color w:val="202E39"/>
        </w:rPr>
        <w:t>whether the Board is equipped to provide comprehensive, effective oversight</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ind w:left="1"/>
        <w:spacing w:after="0"/>
        <w:rPr>
          <w:sz w:val="20"/>
          <w:szCs w:val="20"/>
          <w:color w:val="auto"/>
        </w:rPr>
      </w:pPr>
      <w:r>
        <w:rPr>
          <w:rFonts w:ascii="Arial" w:cs="Arial" w:eastAsia="Arial" w:hAnsi="Arial"/>
          <w:sz w:val="11"/>
          <w:szCs w:val="11"/>
          <w:b w:val="1"/>
          <w:bCs w:val="1"/>
          <w:color w:val="009FE3"/>
        </w:rPr>
        <w:t>Sean Pak</w:t>
      </w:r>
    </w:p>
    <w:p>
      <w:pPr>
        <w:spacing w:after="0" w:line="46" w:lineRule="exact"/>
        <w:rPr>
          <w:sz w:val="20"/>
          <w:szCs w:val="20"/>
          <w:color w:val="auto"/>
        </w:rPr>
      </w:pPr>
    </w:p>
    <w:p>
      <w:pPr>
        <w:ind w:left="1"/>
        <w:spacing w:after="0"/>
        <w:rPr>
          <w:sz w:val="20"/>
          <w:szCs w:val="20"/>
          <w:color w:val="auto"/>
        </w:rPr>
      </w:pPr>
      <w:r>
        <w:rPr>
          <w:rFonts w:ascii="Arial" w:cs="Arial" w:eastAsia="Arial" w:hAnsi="Arial"/>
          <w:sz w:val="11"/>
          <w:szCs w:val="11"/>
          <w:color w:val="009FE3"/>
        </w:rPr>
        <w:t>Lead Independent Director</w:t>
      </w:r>
    </w:p>
    <w:p>
      <w:pPr>
        <w:spacing w:after="0" w:line="26" w:lineRule="exact"/>
        <w:rPr>
          <w:sz w:val="20"/>
          <w:szCs w:val="20"/>
          <w:color w:val="auto"/>
        </w:rPr>
      </w:pPr>
    </w:p>
    <w:p>
      <w:pPr>
        <w:ind w:left="121" w:hanging="111"/>
        <w:spacing w:after="0"/>
        <w:tabs>
          <w:tab w:leader="none" w:pos="121" w:val="left"/>
        </w:tabs>
        <w:numPr>
          <w:ilvl w:val="0"/>
          <w:numId w:val="19"/>
        </w:numPr>
        <w:rPr>
          <w:rFonts w:ascii="Arial" w:cs="Arial" w:eastAsia="Arial" w:hAnsi="Arial"/>
          <w:sz w:val="12"/>
          <w:szCs w:val="12"/>
          <w:color w:val="009FE3"/>
        </w:rPr>
      </w:pPr>
      <w:r>
        <w:rPr>
          <w:rFonts w:ascii="Arial" w:cs="Arial" w:eastAsia="Arial" w:hAnsi="Arial"/>
          <w:sz w:val="10"/>
          <w:szCs w:val="10"/>
          <w:color w:val="202E39"/>
        </w:rPr>
        <w:t>Partner at Quinn Emanuel Urquhart &amp; Sullivan</w:t>
      </w:r>
    </w:p>
    <w:p>
      <w:pPr>
        <w:spacing w:after="0" w:line="31" w:lineRule="exact"/>
        <w:rPr>
          <w:rFonts w:ascii="Arial" w:cs="Arial" w:eastAsia="Arial" w:hAnsi="Arial"/>
          <w:sz w:val="12"/>
          <w:szCs w:val="12"/>
          <w:color w:val="009FE3"/>
        </w:rPr>
      </w:pPr>
    </w:p>
    <w:p>
      <w:pPr>
        <w:ind w:left="121" w:right="491" w:hanging="111"/>
        <w:spacing w:after="0" w:line="257" w:lineRule="auto"/>
        <w:tabs>
          <w:tab w:leader="none" w:pos="121" w:val="left"/>
        </w:tabs>
        <w:numPr>
          <w:ilvl w:val="0"/>
          <w:numId w:val="19"/>
        </w:numPr>
        <w:rPr>
          <w:rFonts w:ascii="Arial" w:cs="Arial" w:eastAsia="Arial" w:hAnsi="Arial"/>
          <w:sz w:val="12"/>
          <w:szCs w:val="12"/>
          <w:color w:val="009FE3"/>
        </w:rPr>
      </w:pPr>
      <w:r>
        <w:rPr>
          <w:rFonts w:ascii="Arial" w:cs="Arial" w:eastAsia="Arial" w:hAnsi="Arial"/>
          <w:sz w:val="10"/>
          <w:szCs w:val="10"/>
          <w:color w:val="202E39"/>
        </w:rPr>
        <w:t>Provides intellectual property development, strategy and enforcement, and technological and engineering expertise</w:t>
      </w:r>
    </w:p>
    <w:p>
      <w:pPr>
        <w:spacing w:after="0" w:line="313" w:lineRule="exact"/>
        <w:rPr>
          <w:sz w:val="20"/>
          <w:szCs w:val="20"/>
          <w:color w:val="auto"/>
        </w:rPr>
      </w:pPr>
    </w:p>
    <w:p>
      <w:pPr>
        <w:ind w:left="1"/>
        <w:spacing w:after="0"/>
        <w:rPr>
          <w:sz w:val="20"/>
          <w:szCs w:val="20"/>
          <w:color w:val="auto"/>
        </w:rPr>
      </w:pPr>
      <w:r>
        <w:rPr>
          <w:rFonts w:ascii="Arial" w:cs="Arial" w:eastAsia="Arial" w:hAnsi="Arial"/>
          <w:sz w:val="11"/>
          <w:szCs w:val="11"/>
          <w:b w:val="1"/>
          <w:bCs w:val="1"/>
          <w:color w:val="009FE3"/>
        </w:rPr>
        <w:t>Richard A. Baldridge</w:t>
      </w:r>
    </w:p>
    <w:p>
      <w:pPr>
        <w:spacing w:after="0" w:line="46" w:lineRule="exact"/>
        <w:rPr>
          <w:sz w:val="20"/>
          <w:szCs w:val="20"/>
          <w:color w:val="auto"/>
        </w:rPr>
      </w:pPr>
    </w:p>
    <w:p>
      <w:pPr>
        <w:ind w:left="1"/>
        <w:spacing w:after="0"/>
        <w:rPr>
          <w:sz w:val="20"/>
          <w:szCs w:val="20"/>
          <w:color w:val="auto"/>
        </w:rPr>
      </w:pPr>
      <w:r>
        <w:rPr>
          <w:rFonts w:ascii="Arial" w:cs="Arial" w:eastAsia="Arial" w:hAnsi="Arial"/>
          <w:sz w:val="11"/>
          <w:szCs w:val="11"/>
          <w:color w:val="009FE3"/>
        </w:rPr>
        <w:t>Director, President, Chief Operating Officer</w:t>
      </w:r>
    </w:p>
    <w:p>
      <w:pPr>
        <w:spacing w:after="0" w:line="34" w:lineRule="exact"/>
        <w:rPr>
          <w:sz w:val="20"/>
          <w:szCs w:val="20"/>
          <w:color w:val="auto"/>
        </w:rPr>
      </w:pPr>
    </w:p>
    <w:p>
      <w:pPr>
        <w:ind w:left="121" w:right="591" w:hanging="111"/>
        <w:spacing w:after="0" w:line="250" w:lineRule="auto"/>
        <w:tabs>
          <w:tab w:leader="none" w:pos="121" w:val="left"/>
        </w:tabs>
        <w:numPr>
          <w:ilvl w:val="0"/>
          <w:numId w:val="20"/>
        </w:numPr>
        <w:rPr>
          <w:rFonts w:ascii="Arial" w:cs="Arial" w:eastAsia="Arial" w:hAnsi="Arial"/>
          <w:sz w:val="12"/>
          <w:szCs w:val="12"/>
          <w:color w:val="009FE3"/>
        </w:rPr>
      </w:pPr>
      <w:r>
        <w:rPr>
          <w:rFonts w:ascii="Arial" w:cs="Arial" w:eastAsia="Arial" w:hAnsi="Arial"/>
          <w:sz w:val="10"/>
          <w:szCs w:val="10"/>
          <w:color w:val="202E39"/>
        </w:rPr>
        <w:t>Joined Viasat in 1999; prior to Viasat, held roles at Raytheon and General Dynamics</w:t>
      </w:r>
    </w:p>
    <w:p>
      <w:pPr>
        <w:spacing w:after="0" w:line="5" w:lineRule="exact"/>
        <w:rPr>
          <w:rFonts w:ascii="Arial" w:cs="Arial" w:eastAsia="Arial" w:hAnsi="Arial"/>
          <w:sz w:val="12"/>
          <w:szCs w:val="12"/>
          <w:color w:val="009FE3"/>
        </w:rPr>
      </w:pPr>
    </w:p>
    <w:p>
      <w:pPr>
        <w:ind w:left="121" w:hanging="111"/>
        <w:spacing w:after="0"/>
        <w:tabs>
          <w:tab w:leader="none" w:pos="121" w:val="left"/>
        </w:tabs>
        <w:numPr>
          <w:ilvl w:val="0"/>
          <w:numId w:val="20"/>
        </w:numPr>
        <w:rPr>
          <w:rFonts w:ascii="Arial" w:cs="Arial" w:eastAsia="Arial" w:hAnsi="Arial"/>
          <w:sz w:val="13"/>
          <w:szCs w:val="13"/>
          <w:color w:val="009FE3"/>
        </w:rPr>
      </w:pPr>
      <w:r>
        <w:rPr>
          <w:rFonts w:ascii="Arial" w:cs="Arial" w:eastAsia="Arial" w:hAnsi="Arial"/>
          <w:sz w:val="11"/>
          <w:szCs w:val="11"/>
          <w:color w:val="202E39"/>
        </w:rPr>
        <w:t>Provides operational and financial expertise</w:t>
      </w:r>
    </w:p>
    <w:p>
      <w:pPr>
        <w:spacing w:after="0" w:line="200" w:lineRule="exact"/>
        <w:rPr>
          <w:sz w:val="20"/>
          <w:szCs w:val="20"/>
          <w:color w:val="auto"/>
        </w:rPr>
      </w:pPr>
    </w:p>
    <w:p>
      <w:pPr>
        <w:spacing w:after="0" w:line="206" w:lineRule="exact"/>
        <w:rPr>
          <w:sz w:val="20"/>
          <w:szCs w:val="20"/>
          <w:color w:val="auto"/>
        </w:rPr>
      </w:pPr>
    </w:p>
    <w:p>
      <w:pPr>
        <w:ind w:left="1"/>
        <w:spacing w:after="0"/>
        <w:rPr>
          <w:sz w:val="20"/>
          <w:szCs w:val="20"/>
          <w:color w:val="auto"/>
        </w:rPr>
      </w:pPr>
      <w:r>
        <w:rPr>
          <w:rFonts w:ascii="Arial" w:cs="Arial" w:eastAsia="Arial" w:hAnsi="Arial"/>
          <w:sz w:val="11"/>
          <w:szCs w:val="11"/>
          <w:b w:val="1"/>
          <w:bCs w:val="1"/>
          <w:color w:val="009FE3"/>
        </w:rPr>
        <w:t>Robert Johnson</w:t>
      </w:r>
    </w:p>
    <w:p>
      <w:pPr>
        <w:spacing w:after="0" w:line="46" w:lineRule="exact"/>
        <w:rPr>
          <w:sz w:val="20"/>
          <w:szCs w:val="20"/>
          <w:color w:val="auto"/>
        </w:rPr>
      </w:pPr>
    </w:p>
    <w:p>
      <w:pPr>
        <w:ind w:left="1"/>
        <w:spacing w:after="0"/>
        <w:rPr>
          <w:sz w:val="20"/>
          <w:szCs w:val="20"/>
          <w:color w:val="auto"/>
        </w:rPr>
      </w:pPr>
      <w:r>
        <w:rPr>
          <w:rFonts w:ascii="Arial" w:cs="Arial" w:eastAsia="Arial" w:hAnsi="Arial"/>
          <w:sz w:val="11"/>
          <w:szCs w:val="11"/>
          <w:color w:val="009FE3"/>
        </w:rPr>
        <w:t>Independent Director</w:t>
      </w:r>
    </w:p>
    <w:p>
      <w:pPr>
        <w:spacing w:after="0" w:line="34" w:lineRule="exact"/>
        <w:rPr>
          <w:sz w:val="20"/>
          <w:szCs w:val="20"/>
          <w:color w:val="auto"/>
        </w:rPr>
      </w:pPr>
    </w:p>
    <w:p>
      <w:pPr>
        <w:ind w:left="101" w:right="651" w:hanging="101"/>
        <w:spacing w:after="0" w:line="224" w:lineRule="auto"/>
        <w:tabs>
          <w:tab w:leader="none" w:pos="101" w:val="left"/>
        </w:tabs>
        <w:numPr>
          <w:ilvl w:val="0"/>
          <w:numId w:val="21"/>
        </w:numPr>
        <w:rPr>
          <w:rFonts w:ascii="Arial" w:cs="Arial" w:eastAsia="Arial" w:hAnsi="Arial"/>
          <w:sz w:val="13"/>
          <w:szCs w:val="13"/>
          <w:color w:val="009FE3"/>
        </w:rPr>
      </w:pPr>
      <w:r>
        <w:rPr>
          <w:rFonts w:ascii="Arial" w:cs="Arial" w:eastAsia="Arial" w:hAnsi="Arial"/>
          <w:sz w:val="11"/>
          <w:szCs w:val="11"/>
          <w:color w:val="202E39"/>
        </w:rPr>
        <w:t>Venture capital experience dating back to 1980</w:t>
      </w:r>
    </w:p>
    <w:p>
      <w:pPr>
        <w:spacing w:after="0" w:line="32" w:lineRule="exact"/>
        <w:rPr>
          <w:rFonts w:ascii="Arial" w:cs="Arial" w:eastAsia="Arial" w:hAnsi="Arial"/>
          <w:sz w:val="13"/>
          <w:szCs w:val="13"/>
          <w:color w:val="009FE3"/>
        </w:rPr>
      </w:pPr>
    </w:p>
    <w:p>
      <w:pPr>
        <w:ind w:left="101" w:right="671" w:hanging="101"/>
        <w:spacing w:after="0" w:line="224" w:lineRule="auto"/>
        <w:tabs>
          <w:tab w:leader="none" w:pos="101" w:val="left"/>
        </w:tabs>
        <w:numPr>
          <w:ilvl w:val="0"/>
          <w:numId w:val="21"/>
        </w:numPr>
        <w:rPr>
          <w:rFonts w:ascii="Arial" w:cs="Arial" w:eastAsia="Arial" w:hAnsi="Arial"/>
          <w:sz w:val="13"/>
          <w:szCs w:val="13"/>
          <w:color w:val="009FE3"/>
        </w:rPr>
      </w:pPr>
      <w:r>
        <w:rPr>
          <w:rFonts w:ascii="Arial" w:cs="Arial" w:eastAsia="Arial" w:hAnsi="Arial"/>
          <w:sz w:val="11"/>
          <w:szCs w:val="11"/>
          <w:color w:val="202E39"/>
        </w:rPr>
        <w:t>Provides business and corporate finance expertise</w:t>
      </w:r>
    </w:p>
    <w:p>
      <w:pPr>
        <w:spacing w:after="0" w:line="235" w:lineRule="exact"/>
        <w:rPr>
          <w:sz w:val="20"/>
          <w:szCs w:val="20"/>
          <w:color w:val="auto"/>
        </w:rPr>
      </w:pPr>
    </w:p>
    <w:p>
      <w:pPr>
        <w:ind w:left="1"/>
        <w:spacing w:after="0"/>
        <w:rPr>
          <w:sz w:val="20"/>
          <w:szCs w:val="20"/>
          <w:color w:val="auto"/>
        </w:rPr>
      </w:pPr>
      <w:r>
        <w:rPr>
          <w:rFonts w:ascii="Arial" w:cs="Arial" w:eastAsia="Arial" w:hAnsi="Arial"/>
          <w:sz w:val="11"/>
          <w:szCs w:val="11"/>
          <w:b w:val="1"/>
          <w:bCs w:val="1"/>
          <w:color w:val="009FE3"/>
        </w:rPr>
        <w:t>John Stenbit</w:t>
      </w:r>
    </w:p>
    <w:p>
      <w:pPr>
        <w:spacing w:after="0" w:line="46" w:lineRule="exact"/>
        <w:rPr>
          <w:sz w:val="20"/>
          <w:szCs w:val="20"/>
          <w:color w:val="auto"/>
        </w:rPr>
      </w:pPr>
    </w:p>
    <w:p>
      <w:pPr>
        <w:ind w:left="1"/>
        <w:spacing w:after="0"/>
        <w:rPr>
          <w:sz w:val="20"/>
          <w:szCs w:val="20"/>
          <w:color w:val="auto"/>
        </w:rPr>
      </w:pPr>
      <w:r>
        <w:rPr>
          <w:rFonts w:ascii="Arial" w:cs="Arial" w:eastAsia="Arial" w:hAnsi="Arial"/>
          <w:sz w:val="11"/>
          <w:szCs w:val="11"/>
          <w:color w:val="009FE3"/>
        </w:rPr>
        <w:t>Independent Director</w:t>
      </w:r>
    </w:p>
    <w:p>
      <w:pPr>
        <w:spacing w:after="0" w:line="34" w:lineRule="exact"/>
        <w:rPr>
          <w:sz w:val="20"/>
          <w:szCs w:val="20"/>
          <w:color w:val="auto"/>
        </w:rPr>
      </w:pPr>
    </w:p>
    <w:p>
      <w:pPr>
        <w:jc w:val="both"/>
        <w:ind w:left="121" w:right="591" w:hanging="111"/>
        <w:spacing w:after="0" w:line="230" w:lineRule="auto"/>
        <w:tabs>
          <w:tab w:leader="none" w:pos="121" w:val="left"/>
        </w:tabs>
        <w:numPr>
          <w:ilvl w:val="0"/>
          <w:numId w:val="22"/>
        </w:numPr>
        <w:rPr>
          <w:rFonts w:ascii="Arial" w:cs="Arial" w:eastAsia="Arial" w:hAnsi="Arial"/>
          <w:sz w:val="13"/>
          <w:szCs w:val="13"/>
          <w:color w:val="009FE3"/>
        </w:rPr>
      </w:pPr>
      <w:r>
        <w:rPr>
          <w:rFonts w:ascii="Arial" w:cs="Arial" w:eastAsia="Arial" w:hAnsi="Arial"/>
          <w:sz w:val="11"/>
          <w:szCs w:val="11"/>
          <w:color w:val="202E39"/>
        </w:rPr>
        <w:t>Former Assistant Secretary of Defense at Command, Control, Communications, and Intelligence</w:t>
      </w:r>
    </w:p>
    <w:p>
      <w:pPr>
        <w:spacing w:after="0" w:line="32" w:lineRule="exact"/>
        <w:rPr>
          <w:rFonts w:ascii="Arial" w:cs="Arial" w:eastAsia="Arial" w:hAnsi="Arial"/>
          <w:sz w:val="13"/>
          <w:szCs w:val="13"/>
          <w:color w:val="009FE3"/>
        </w:rPr>
      </w:pPr>
    </w:p>
    <w:p>
      <w:pPr>
        <w:ind w:left="121" w:right="471" w:hanging="111"/>
        <w:spacing w:after="0" w:line="224" w:lineRule="auto"/>
        <w:tabs>
          <w:tab w:leader="none" w:pos="121" w:val="left"/>
        </w:tabs>
        <w:numPr>
          <w:ilvl w:val="0"/>
          <w:numId w:val="22"/>
        </w:numPr>
        <w:rPr>
          <w:rFonts w:ascii="Arial" w:cs="Arial" w:eastAsia="Arial" w:hAnsi="Arial"/>
          <w:sz w:val="13"/>
          <w:szCs w:val="13"/>
          <w:color w:val="009FE3"/>
        </w:rPr>
      </w:pPr>
      <w:r>
        <w:rPr>
          <w:rFonts w:ascii="Arial" w:cs="Arial" w:eastAsia="Arial" w:hAnsi="Arial"/>
          <w:sz w:val="11"/>
          <w:szCs w:val="11"/>
          <w:color w:val="202E39"/>
        </w:rPr>
        <w:t>Provides technological, defense and national security expertise</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left="9"/>
        <w:spacing w:after="0"/>
        <w:rPr>
          <w:sz w:val="20"/>
          <w:szCs w:val="20"/>
          <w:color w:val="auto"/>
        </w:rPr>
      </w:pPr>
      <w:r>
        <w:rPr>
          <w:rFonts w:ascii="Arial" w:cs="Arial" w:eastAsia="Arial" w:hAnsi="Arial"/>
          <w:sz w:val="11"/>
          <w:szCs w:val="11"/>
          <w:b w:val="1"/>
          <w:bCs w:val="1"/>
          <w:color w:val="009FE3"/>
        </w:rPr>
        <w:t>Mark Dankberg</w:t>
      </w:r>
    </w:p>
    <w:p>
      <w:pPr>
        <w:spacing w:after="0" w:line="46" w:lineRule="exact"/>
        <w:rPr>
          <w:sz w:val="20"/>
          <w:szCs w:val="20"/>
          <w:color w:val="auto"/>
        </w:rPr>
      </w:pPr>
    </w:p>
    <w:p>
      <w:pPr>
        <w:ind w:left="9" w:right="640"/>
        <w:spacing w:after="0" w:line="249" w:lineRule="auto"/>
        <w:rPr>
          <w:sz w:val="20"/>
          <w:szCs w:val="20"/>
          <w:color w:val="auto"/>
        </w:rPr>
      </w:pPr>
      <w:r>
        <w:rPr>
          <w:rFonts w:ascii="Arial" w:cs="Arial" w:eastAsia="Arial" w:hAnsi="Arial"/>
          <w:sz w:val="11"/>
          <w:szCs w:val="11"/>
          <w:color w:val="009FE3"/>
        </w:rPr>
        <w:t>Chief Executive Officer and Chairman of the Board</w:t>
      </w:r>
    </w:p>
    <w:p>
      <w:pPr>
        <w:spacing w:after="0" w:line="7" w:lineRule="exact"/>
        <w:rPr>
          <w:sz w:val="20"/>
          <w:szCs w:val="20"/>
          <w:color w:val="auto"/>
        </w:rPr>
      </w:pPr>
    </w:p>
    <w:p>
      <w:pPr>
        <w:ind w:left="109" w:hanging="109"/>
        <w:spacing w:after="0"/>
        <w:tabs>
          <w:tab w:leader="none" w:pos="109" w:val="left"/>
        </w:tabs>
        <w:numPr>
          <w:ilvl w:val="0"/>
          <w:numId w:val="23"/>
        </w:numPr>
        <w:rPr>
          <w:rFonts w:ascii="Arial" w:cs="Arial" w:eastAsia="Arial" w:hAnsi="Arial"/>
          <w:sz w:val="13"/>
          <w:szCs w:val="13"/>
          <w:color w:val="009FE3"/>
        </w:rPr>
      </w:pPr>
      <w:r>
        <w:rPr>
          <w:rFonts w:ascii="Arial" w:cs="Arial" w:eastAsia="Arial" w:hAnsi="Arial"/>
          <w:sz w:val="11"/>
          <w:szCs w:val="11"/>
          <w:color w:val="202E39"/>
        </w:rPr>
        <w:t>Co-founded Viasat Inc. in 1986</w:t>
      </w:r>
    </w:p>
    <w:p>
      <w:pPr>
        <w:spacing w:after="0" w:line="31" w:lineRule="exact"/>
        <w:rPr>
          <w:rFonts w:ascii="Arial" w:cs="Arial" w:eastAsia="Arial" w:hAnsi="Arial"/>
          <w:sz w:val="13"/>
          <w:szCs w:val="13"/>
          <w:color w:val="009FE3"/>
        </w:rPr>
      </w:pPr>
    </w:p>
    <w:p>
      <w:pPr>
        <w:ind w:left="109" w:right="160" w:hanging="109"/>
        <w:spacing w:after="0" w:line="230" w:lineRule="auto"/>
        <w:tabs>
          <w:tab w:leader="none" w:pos="109" w:val="left"/>
        </w:tabs>
        <w:numPr>
          <w:ilvl w:val="0"/>
          <w:numId w:val="23"/>
        </w:numPr>
        <w:rPr>
          <w:rFonts w:ascii="Arial" w:cs="Arial" w:eastAsia="Arial" w:hAnsi="Arial"/>
          <w:sz w:val="13"/>
          <w:szCs w:val="13"/>
          <w:color w:val="009FE3"/>
        </w:rPr>
      </w:pPr>
      <w:r>
        <w:rPr>
          <w:rFonts w:ascii="Arial" w:cs="Arial" w:eastAsia="Arial" w:hAnsi="Arial"/>
          <w:sz w:val="11"/>
          <w:szCs w:val="11"/>
          <w:color w:val="202E39"/>
        </w:rPr>
        <w:t>Recognized as a leading expert and visionary in the aerospace, defense and satellite communications space</w:t>
      </w:r>
    </w:p>
    <w:p>
      <w:pPr>
        <w:spacing w:after="0" w:line="192" w:lineRule="exact"/>
        <w:rPr>
          <w:sz w:val="20"/>
          <w:szCs w:val="20"/>
          <w:color w:val="auto"/>
        </w:rPr>
      </w:pPr>
    </w:p>
    <w:p>
      <w:pPr>
        <w:ind w:left="29"/>
        <w:spacing w:after="0"/>
        <w:rPr>
          <w:sz w:val="20"/>
          <w:szCs w:val="20"/>
          <w:color w:val="auto"/>
        </w:rPr>
      </w:pPr>
      <w:r>
        <w:rPr>
          <w:rFonts w:ascii="Arial" w:cs="Arial" w:eastAsia="Arial" w:hAnsi="Arial"/>
          <w:sz w:val="11"/>
          <w:szCs w:val="11"/>
          <w:b w:val="1"/>
          <w:bCs w:val="1"/>
          <w:color w:val="009FE3"/>
        </w:rPr>
        <w:t>Frank Biondi, Jr.</w:t>
      </w:r>
    </w:p>
    <w:p>
      <w:pPr>
        <w:spacing w:after="0" w:line="46" w:lineRule="exact"/>
        <w:rPr>
          <w:sz w:val="20"/>
          <w:szCs w:val="20"/>
          <w:color w:val="auto"/>
        </w:rPr>
      </w:pPr>
    </w:p>
    <w:p>
      <w:pPr>
        <w:ind w:left="29"/>
        <w:spacing w:after="0"/>
        <w:rPr>
          <w:sz w:val="20"/>
          <w:szCs w:val="20"/>
          <w:color w:val="auto"/>
        </w:rPr>
      </w:pPr>
      <w:r>
        <w:rPr>
          <w:rFonts w:ascii="Arial" w:cs="Arial" w:eastAsia="Arial" w:hAnsi="Arial"/>
          <w:sz w:val="11"/>
          <w:szCs w:val="11"/>
          <w:color w:val="009FE3"/>
        </w:rPr>
        <w:t>Independent Director</w:t>
      </w:r>
    </w:p>
    <w:p>
      <w:pPr>
        <w:spacing w:after="0" w:line="26" w:lineRule="exact"/>
        <w:rPr>
          <w:sz w:val="20"/>
          <w:szCs w:val="20"/>
          <w:color w:val="auto"/>
        </w:rPr>
      </w:pPr>
    </w:p>
    <w:p>
      <w:pPr>
        <w:ind w:left="129" w:hanging="107"/>
        <w:spacing w:after="0"/>
        <w:tabs>
          <w:tab w:leader="none" w:pos="129" w:val="left"/>
        </w:tabs>
        <w:numPr>
          <w:ilvl w:val="0"/>
          <w:numId w:val="24"/>
        </w:numPr>
        <w:rPr>
          <w:rFonts w:ascii="Arial" w:cs="Arial" w:eastAsia="Arial" w:hAnsi="Arial"/>
          <w:sz w:val="12"/>
          <w:szCs w:val="12"/>
          <w:color w:val="009FE3"/>
        </w:rPr>
      </w:pPr>
      <w:r>
        <w:rPr>
          <w:rFonts w:ascii="Arial" w:cs="Arial" w:eastAsia="Arial" w:hAnsi="Arial"/>
          <w:sz w:val="10"/>
          <w:szCs w:val="10"/>
          <w:color w:val="202E39"/>
        </w:rPr>
        <w:t>Senior managing director at WaterView Advisors</w:t>
      </w:r>
    </w:p>
    <w:p>
      <w:pPr>
        <w:spacing w:after="0" w:line="11" w:lineRule="exact"/>
        <w:rPr>
          <w:rFonts w:ascii="Arial" w:cs="Arial" w:eastAsia="Arial" w:hAnsi="Arial"/>
          <w:sz w:val="12"/>
          <w:szCs w:val="12"/>
          <w:color w:val="009FE3"/>
        </w:rPr>
      </w:pPr>
    </w:p>
    <w:p>
      <w:pPr>
        <w:ind w:left="129" w:hanging="107"/>
        <w:spacing w:after="0"/>
        <w:tabs>
          <w:tab w:leader="none" w:pos="129" w:val="left"/>
        </w:tabs>
        <w:numPr>
          <w:ilvl w:val="0"/>
          <w:numId w:val="24"/>
        </w:numPr>
        <w:rPr>
          <w:rFonts w:ascii="Arial" w:cs="Arial" w:eastAsia="Arial" w:hAnsi="Arial"/>
          <w:sz w:val="13"/>
          <w:szCs w:val="13"/>
          <w:color w:val="009FE3"/>
        </w:rPr>
      </w:pPr>
      <w:r>
        <w:rPr>
          <w:rFonts w:ascii="Arial" w:cs="Arial" w:eastAsia="Arial" w:hAnsi="Arial"/>
          <w:sz w:val="11"/>
          <w:szCs w:val="11"/>
          <w:color w:val="202E39"/>
        </w:rPr>
        <w:t>Former Chairman/CEO at Universal Studios</w:t>
      </w:r>
    </w:p>
    <w:p>
      <w:pPr>
        <w:spacing w:after="0" w:line="11" w:lineRule="exact"/>
        <w:rPr>
          <w:rFonts w:ascii="Arial" w:cs="Arial" w:eastAsia="Arial" w:hAnsi="Arial"/>
          <w:sz w:val="13"/>
          <w:szCs w:val="13"/>
          <w:color w:val="009FE3"/>
        </w:rPr>
      </w:pPr>
    </w:p>
    <w:p>
      <w:pPr>
        <w:ind w:left="129" w:hanging="107"/>
        <w:spacing w:after="0"/>
        <w:tabs>
          <w:tab w:leader="none" w:pos="129" w:val="left"/>
        </w:tabs>
        <w:numPr>
          <w:ilvl w:val="0"/>
          <w:numId w:val="24"/>
        </w:numPr>
        <w:rPr>
          <w:rFonts w:ascii="Arial" w:cs="Arial" w:eastAsia="Arial" w:hAnsi="Arial"/>
          <w:sz w:val="13"/>
          <w:szCs w:val="13"/>
          <w:color w:val="009FE3"/>
        </w:rPr>
      </w:pPr>
      <w:r>
        <w:rPr>
          <w:rFonts w:ascii="Arial" w:cs="Arial" w:eastAsia="Arial" w:hAnsi="Arial"/>
          <w:sz w:val="11"/>
          <w:szCs w:val="11"/>
          <w:color w:val="202E39"/>
        </w:rPr>
        <w:t>Former CEO at Viacom</w:t>
      </w:r>
    </w:p>
    <w:p>
      <w:pPr>
        <w:spacing w:after="0" w:line="11" w:lineRule="exact"/>
        <w:rPr>
          <w:rFonts w:ascii="Arial" w:cs="Arial" w:eastAsia="Arial" w:hAnsi="Arial"/>
          <w:sz w:val="13"/>
          <w:szCs w:val="13"/>
          <w:color w:val="009FE3"/>
        </w:rPr>
      </w:pPr>
    </w:p>
    <w:p>
      <w:pPr>
        <w:ind w:left="129" w:hanging="107"/>
        <w:spacing w:after="0"/>
        <w:tabs>
          <w:tab w:leader="none" w:pos="129" w:val="left"/>
        </w:tabs>
        <w:numPr>
          <w:ilvl w:val="0"/>
          <w:numId w:val="24"/>
        </w:numPr>
        <w:rPr>
          <w:rFonts w:ascii="Arial" w:cs="Arial" w:eastAsia="Arial" w:hAnsi="Arial"/>
          <w:sz w:val="13"/>
          <w:szCs w:val="13"/>
          <w:color w:val="009FE3"/>
        </w:rPr>
      </w:pPr>
      <w:r>
        <w:rPr>
          <w:rFonts w:ascii="Arial" w:cs="Arial" w:eastAsia="Arial" w:hAnsi="Arial"/>
          <w:sz w:val="11"/>
          <w:szCs w:val="11"/>
          <w:color w:val="202E39"/>
        </w:rPr>
        <w:t>Provides leadership and Board experience</w:t>
      </w:r>
    </w:p>
    <w:p>
      <w:pPr>
        <w:spacing w:after="0" w:line="256" w:lineRule="exact"/>
        <w:rPr>
          <w:sz w:val="20"/>
          <w:szCs w:val="20"/>
          <w:color w:val="auto"/>
        </w:rPr>
      </w:pPr>
    </w:p>
    <w:p>
      <w:pPr>
        <w:ind w:left="29"/>
        <w:spacing w:after="0"/>
        <w:rPr>
          <w:sz w:val="20"/>
          <w:szCs w:val="20"/>
          <w:color w:val="auto"/>
        </w:rPr>
      </w:pPr>
      <w:r>
        <w:rPr>
          <w:rFonts w:ascii="Arial" w:cs="Arial" w:eastAsia="Arial" w:hAnsi="Arial"/>
          <w:sz w:val="11"/>
          <w:szCs w:val="11"/>
          <w:b w:val="1"/>
          <w:bCs w:val="1"/>
          <w:color w:val="009FE3"/>
        </w:rPr>
        <w:t>Varsha Rao</w:t>
      </w:r>
    </w:p>
    <w:p>
      <w:pPr>
        <w:spacing w:after="0" w:line="46" w:lineRule="exact"/>
        <w:rPr>
          <w:sz w:val="20"/>
          <w:szCs w:val="20"/>
          <w:color w:val="auto"/>
        </w:rPr>
      </w:pPr>
    </w:p>
    <w:p>
      <w:pPr>
        <w:ind w:left="29"/>
        <w:spacing w:after="0"/>
        <w:rPr>
          <w:sz w:val="20"/>
          <w:szCs w:val="20"/>
          <w:color w:val="auto"/>
        </w:rPr>
      </w:pPr>
      <w:r>
        <w:rPr>
          <w:rFonts w:ascii="Arial" w:cs="Arial" w:eastAsia="Arial" w:hAnsi="Arial"/>
          <w:sz w:val="11"/>
          <w:szCs w:val="11"/>
          <w:color w:val="009FE3"/>
        </w:rPr>
        <w:t>Independent Director</w:t>
      </w:r>
    </w:p>
    <w:p>
      <w:pPr>
        <w:spacing w:after="0" w:line="14" w:lineRule="exact"/>
        <w:rPr>
          <w:sz w:val="20"/>
          <w:szCs w:val="20"/>
          <w:color w:val="auto"/>
        </w:rPr>
      </w:pPr>
    </w:p>
    <w:p>
      <w:pPr>
        <w:ind w:left="129" w:hanging="107"/>
        <w:spacing w:after="0"/>
        <w:tabs>
          <w:tab w:leader="none" w:pos="129" w:val="left"/>
        </w:tabs>
        <w:numPr>
          <w:ilvl w:val="0"/>
          <w:numId w:val="25"/>
        </w:numPr>
        <w:rPr>
          <w:rFonts w:ascii="Arial" w:cs="Arial" w:eastAsia="Arial" w:hAnsi="Arial"/>
          <w:sz w:val="13"/>
          <w:szCs w:val="13"/>
          <w:color w:val="009FE3"/>
        </w:rPr>
      </w:pPr>
      <w:r>
        <w:rPr>
          <w:rFonts w:ascii="Arial" w:cs="Arial" w:eastAsia="Arial" w:hAnsi="Arial"/>
          <w:sz w:val="11"/>
          <w:szCs w:val="11"/>
          <w:color w:val="202E39"/>
        </w:rPr>
        <w:t>Director, CEO at Nurx</w:t>
      </w:r>
    </w:p>
    <w:p>
      <w:pPr>
        <w:spacing w:after="0" w:line="11" w:lineRule="exact"/>
        <w:rPr>
          <w:rFonts w:ascii="Arial" w:cs="Arial" w:eastAsia="Arial" w:hAnsi="Arial"/>
          <w:sz w:val="13"/>
          <w:szCs w:val="13"/>
          <w:color w:val="009FE3"/>
        </w:rPr>
      </w:pPr>
    </w:p>
    <w:p>
      <w:pPr>
        <w:ind w:left="129" w:hanging="107"/>
        <w:spacing w:after="0"/>
        <w:tabs>
          <w:tab w:leader="none" w:pos="129" w:val="left"/>
        </w:tabs>
        <w:numPr>
          <w:ilvl w:val="0"/>
          <w:numId w:val="25"/>
        </w:numPr>
        <w:rPr>
          <w:rFonts w:ascii="Arial" w:cs="Arial" w:eastAsia="Arial" w:hAnsi="Arial"/>
          <w:sz w:val="13"/>
          <w:szCs w:val="13"/>
          <w:color w:val="009FE3"/>
        </w:rPr>
      </w:pPr>
      <w:r>
        <w:rPr>
          <w:rFonts w:ascii="Arial" w:cs="Arial" w:eastAsia="Arial" w:hAnsi="Arial"/>
          <w:sz w:val="11"/>
          <w:szCs w:val="11"/>
          <w:color w:val="202E39"/>
        </w:rPr>
        <w:t>Former COO at Clover Health</w:t>
      </w:r>
    </w:p>
    <w:p>
      <w:pPr>
        <w:spacing w:after="0" w:line="31" w:lineRule="exact"/>
        <w:rPr>
          <w:rFonts w:ascii="Arial" w:cs="Arial" w:eastAsia="Arial" w:hAnsi="Arial"/>
          <w:sz w:val="13"/>
          <w:szCs w:val="13"/>
          <w:color w:val="009FE3"/>
        </w:rPr>
      </w:pPr>
    </w:p>
    <w:p>
      <w:pPr>
        <w:ind w:left="129" w:right="160" w:hanging="107"/>
        <w:spacing w:after="0" w:line="224" w:lineRule="auto"/>
        <w:tabs>
          <w:tab w:leader="none" w:pos="129" w:val="left"/>
        </w:tabs>
        <w:numPr>
          <w:ilvl w:val="0"/>
          <w:numId w:val="25"/>
        </w:numPr>
        <w:rPr>
          <w:rFonts w:ascii="Arial" w:cs="Arial" w:eastAsia="Arial" w:hAnsi="Arial"/>
          <w:sz w:val="13"/>
          <w:szCs w:val="13"/>
          <w:color w:val="009FE3"/>
        </w:rPr>
      </w:pPr>
      <w:r>
        <w:rPr>
          <w:rFonts w:ascii="Arial" w:cs="Arial" w:eastAsia="Arial" w:hAnsi="Arial"/>
          <w:sz w:val="11"/>
          <w:szCs w:val="11"/>
          <w:color w:val="202E39"/>
        </w:rPr>
        <w:t>Brings international e-commerce, media, and telecommunications expertise</w:t>
      </w:r>
    </w:p>
    <w:p>
      <w:pPr>
        <w:spacing w:after="0" w:line="170" w:lineRule="exact"/>
        <w:rPr>
          <w:sz w:val="20"/>
          <w:szCs w:val="20"/>
          <w:color w:val="auto"/>
        </w:rPr>
      </w:pPr>
    </w:p>
    <w:p>
      <w:pPr>
        <w:ind w:left="9"/>
        <w:spacing w:after="0"/>
        <w:rPr>
          <w:sz w:val="20"/>
          <w:szCs w:val="20"/>
          <w:color w:val="auto"/>
        </w:rPr>
      </w:pPr>
      <w:r>
        <w:rPr>
          <w:rFonts w:ascii="Arial" w:cs="Arial" w:eastAsia="Arial" w:hAnsi="Arial"/>
          <w:sz w:val="11"/>
          <w:szCs w:val="11"/>
          <w:b w:val="1"/>
          <w:bCs w:val="1"/>
          <w:color w:val="009FE3"/>
        </w:rPr>
        <w:t>Harvey White</w:t>
      </w:r>
    </w:p>
    <w:p>
      <w:pPr>
        <w:spacing w:after="0" w:line="46" w:lineRule="exact"/>
        <w:rPr>
          <w:sz w:val="20"/>
          <w:szCs w:val="20"/>
          <w:color w:val="auto"/>
        </w:rPr>
      </w:pPr>
    </w:p>
    <w:p>
      <w:pPr>
        <w:ind w:left="9"/>
        <w:spacing w:after="0"/>
        <w:rPr>
          <w:sz w:val="20"/>
          <w:szCs w:val="20"/>
          <w:color w:val="auto"/>
        </w:rPr>
      </w:pPr>
      <w:r>
        <w:rPr>
          <w:rFonts w:ascii="Arial" w:cs="Arial" w:eastAsia="Arial" w:hAnsi="Arial"/>
          <w:sz w:val="11"/>
          <w:szCs w:val="11"/>
          <w:color w:val="009FE3"/>
        </w:rPr>
        <w:t>Independent Director</w:t>
      </w:r>
    </w:p>
    <w:p>
      <w:pPr>
        <w:spacing w:after="0" w:line="34" w:lineRule="exact"/>
        <w:rPr>
          <w:sz w:val="20"/>
          <w:szCs w:val="20"/>
          <w:color w:val="auto"/>
        </w:rPr>
      </w:pPr>
    </w:p>
    <w:p>
      <w:pPr>
        <w:ind w:left="109" w:right="160" w:hanging="109"/>
        <w:spacing w:after="0" w:line="224" w:lineRule="auto"/>
        <w:tabs>
          <w:tab w:leader="none" w:pos="109" w:val="left"/>
        </w:tabs>
        <w:numPr>
          <w:ilvl w:val="0"/>
          <w:numId w:val="26"/>
        </w:numPr>
        <w:rPr>
          <w:rFonts w:ascii="Arial" w:cs="Arial" w:eastAsia="Arial" w:hAnsi="Arial"/>
          <w:sz w:val="13"/>
          <w:szCs w:val="13"/>
          <w:color w:val="009FE3"/>
        </w:rPr>
      </w:pPr>
      <w:r>
        <w:rPr>
          <w:rFonts w:ascii="Arial" w:cs="Arial" w:eastAsia="Arial" w:hAnsi="Arial"/>
          <w:sz w:val="11"/>
          <w:szCs w:val="11"/>
          <w:color w:val="202E39"/>
        </w:rPr>
        <w:t>Founder, Former Chairman and CEO at Leap Wireless</w:t>
      </w:r>
    </w:p>
    <w:p>
      <w:pPr>
        <w:spacing w:after="0" w:line="11" w:lineRule="exact"/>
        <w:rPr>
          <w:rFonts w:ascii="Arial" w:cs="Arial" w:eastAsia="Arial" w:hAnsi="Arial"/>
          <w:sz w:val="13"/>
          <w:szCs w:val="13"/>
          <w:color w:val="009FE3"/>
        </w:rPr>
      </w:pPr>
    </w:p>
    <w:p>
      <w:pPr>
        <w:ind w:left="109" w:hanging="109"/>
        <w:spacing w:after="0"/>
        <w:tabs>
          <w:tab w:leader="none" w:pos="109" w:val="left"/>
        </w:tabs>
        <w:numPr>
          <w:ilvl w:val="0"/>
          <w:numId w:val="26"/>
        </w:numPr>
        <w:rPr>
          <w:rFonts w:ascii="Arial" w:cs="Arial" w:eastAsia="Arial" w:hAnsi="Arial"/>
          <w:sz w:val="13"/>
          <w:szCs w:val="13"/>
          <w:color w:val="009FE3"/>
        </w:rPr>
      </w:pPr>
      <w:r>
        <w:rPr>
          <w:rFonts w:ascii="Arial" w:cs="Arial" w:eastAsia="Arial" w:hAnsi="Arial"/>
          <w:sz w:val="11"/>
          <w:szCs w:val="11"/>
          <w:color w:val="202E39"/>
        </w:rPr>
        <w:t>Co-founder of QUALCOMM</w:t>
      </w:r>
    </w:p>
    <w:p>
      <w:pPr>
        <w:spacing w:after="0" w:line="31" w:lineRule="exact"/>
        <w:rPr>
          <w:rFonts w:ascii="Arial" w:cs="Arial" w:eastAsia="Arial" w:hAnsi="Arial"/>
          <w:sz w:val="13"/>
          <w:szCs w:val="13"/>
          <w:color w:val="009FE3"/>
        </w:rPr>
      </w:pPr>
    </w:p>
    <w:p>
      <w:pPr>
        <w:ind w:left="109" w:right="160" w:hanging="109"/>
        <w:spacing w:after="0" w:line="224" w:lineRule="auto"/>
        <w:tabs>
          <w:tab w:leader="none" w:pos="109" w:val="left"/>
        </w:tabs>
        <w:numPr>
          <w:ilvl w:val="0"/>
          <w:numId w:val="26"/>
        </w:numPr>
        <w:rPr>
          <w:rFonts w:ascii="Arial" w:cs="Arial" w:eastAsia="Arial" w:hAnsi="Arial"/>
          <w:sz w:val="13"/>
          <w:szCs w:val="13"/>
          <w:color w:val="009FE3"/>
        </w:rPr>
      </w:pPr>
      <w:r>
        <w:rPr>
          <w:rFonts w:ascii="Arial" w:cs="Arial" w:eastAsia="Arial" w:hAnsi="Arial"/>
          <w:sz w:val="11"/>
          <w:szCs w:val="11"/>
          <w:color w:val="202E39"/>
        </w:rPr>
        <w:t>Provides first-hand operational, management, and leadership experience</w:t>
      </w:r>
    </w:p>
    <w:p>
      <w:pPr>
        <w:spacing w:after="0" w:line="243" w:lineRule="exact"/>
        <w:rPr>
          <w:sz w:val="20"/>
          <w:szCs w:val="20"/>
          <w:color w:val="auto"/>
        </w:rPr>
      </w:pPr>
    </w:p>
    <w:p>
      <w:pPr>
        <w:ind w:left="2009"/>
        <w:spacing w:after="0"/>
        <w:rPr>
          <w:sz w:val="20"/>
          <w:szCs w:val="20"/>
          <w:color w:val="auto"/>
        </w:rPr>
      </w:pPr>
      <w:r>
        <w:rPr>
          <w:rFonts w:ascii="Arial" w:cs="Arial" w:eastAsia="Arial" w:hAnsi="Arial"/>
          <w:sz w:val="9"/>
          <w:szCs w:val="9"/>
          <w:color w:val="7F7F7F"/>
        </w:rPr>
        <w:t>7</w:t>
      </w:r>
    </w:p>
    <w:p>
      <w:pPr>
        <w:sectPr>
          <w:pgSz w:w="11900" w:h="16838" w:orient="portrait"/>
          <w:cols w:equalWidth="0" w:num="3">
            <w:col w:w="4259" w:space="720"/>
            <w:col w:w="2713" w:space="720"/>
            <w:col w:w="2429"/>
          </w:cols>
          <w:pgMar w:left="600" w:top="1098" w:right="459" w:bottom="1440" w:gutter="0" w:footer="0" w:header="0"/>
          <w:type w:val="continuous"/>
        </w:sectPr>
      </w:pPr>
    </w:p>
    <w:bookmarkStart w:id="8" w:name="page9"/>
    <w:bookmarkEnd w:id="8"/>
    <w:p>
      <w:pPr>
        <w:spacing w:after="0"/>
        <w:rPr>
          <w:sz w:val="20"/>
          <w:szCs w:val="20"/>
          <w:color w:val="auto"/>
        </w:rPr>
      </w:pPr>
      <w:r>
        <w:rPr>
          <w:rFonts w:ascii="Arial" w:cs="Arial" w:eastAsia="Arial" w:hAnsi="Arial"/>
          <w:sz w:val="38"/>
          <w:szCs w:val="38"/>
          <w:color w:val="202E39"/>
        </w:rPr>
        <w:drawing>
          <wp:anchor simplePos="0" relativeHeight="251657728" behindDoc="1" locked="0" layoutInCell="0" allowOverlap="1">
            <wp:simplePos x="0" y="0"/>
            <wp:positionH relativeFrom="page">
              <wp:posOffset>130810</wp:posOffset>
            </wp:positionH>
            <wp:positionV relativeFrom="page">
              <wp:posOffset>88900</wp:posOffset>
            </wp:positionV>
            <wp:extent cx="7313930" cy="40595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13930" cy="4059555"/>
                    </a:xfrm>
                    <a:prstGeom prst="rect">
                      <a:avLst/>
                    </a:prstGeom>
                    <a:noFill/>
                  </pic:spPr>
                </pic:pic>
              </a:graphicData>
            </a:graphic>
          </wp:anchor>
        </w:drawing>
        <w:t>CEO FY2019 compensation program overview</w:t>
      </w:r>
    </w:p>
    <w:p>
      <w:pPr>
        <w:spacing w:after="0" w:line="185" w:lineRule="exact"/>
        <w:rPr>
          <w:sz w:val="20"/>
          <w:szCs w:val="20"/>
          <w:color w:val="auto"/>
        </w:rPr>
      </w:pPr>
    </w:p>
    <w:p>
      <w:pPr>
        <w:spacing w:after="0"/>
        <w:rPr>
          <w:sz w:val="20"/>
          <w:szCs w:val="20"/>
          <w:color w:val="auto"/>
        </w:rPr>
      </w:pPr>
      <w:r>
        <w:rPr>
          <w:rFonts w:ascii="Arial" w:cs="Arial" w:eastAsia="Arial" w:hAnsi="Arial"/>
          <w:sz w:val="25"/>
          <w:szCs w:val="25"/>
          <w:color w:val="009FE3"/>
        </w:rPr>
        <w:t>Compensation linked to long-term drivers and rigorous strategic goals</w:t>
      </w:r>
    </w:p>
    <w:p>
      <w:pPr>
        <w:sectPr>
          <w:pgSz w:w="11900" w:h="16838" w:orient="portrait"/>
          <w:cols w:equalWidth="0" w:num="1">
            <w:col w:w="10160"/>
          </w:cols>
          <w:pgMar w:left="940" w:top="1098" w:right="799" w:bottom="1440" w:gutter="0" w:footer="0" w:header="0"/>
        </w:sectPr>
      </w:pPr>
    </w:p>
    <w:p>
      <w:pPr>
        <w:spacing w:after="0" w:line="168" w:lineRule="exact"/>
        <w:rPr>
          <w:sz w:val="20"/>
          <w:szCs w:val="20"/>
          <w:color w:val="auto"/>
        </w:rPr>
      </w:pPr>
    </w:p>
    <w:p>
      <w:pPr>
        <w:ind w:left="40"/>
        <w:spacing w:after="0"/>
        <w:tabs>
          <w:tab w:leader="none" w:pos="1040" w:val="left"/>
        </w:tabs>
        <w:rPr>
          <w:sz w:val="20"/>
          <w:szCs w:val="20"/>
          <w:color w:val="auto"/>
        </w:rPr>
      </w:pPr>
      <w:r>
        <w:rPr>
          <w:rFonts w:ascii="Arial" w:cs="Arial" w:eastAsia="Arial" w:hAnsi="Arial"/>
          <w:sz w:val="12"/>
          <w:szCs w:val="12"/>
          <w:b w:val="1"/>
          <w:bCs w:val="1"/>
          <w:color w:val="FFFFFF"/>
        </w:rPr>
        <w:t>Element</w:t>
      </w:r>
      <w:r>
        <w:rPr>
          <w:sz w:val="20"/>
          <w:szCs w:val="20"/>
          <w:color w:val="auto"/>
        </w:rPr>
        <w:tab/>
      </w:r>
      <w:r>
        <w:rPr>
          <w:rFonts w:ascii="Arial" w:cs="Arial" w:eastAsia="Arial" w:hAnsi="Arial"/>
          <w:sz w:val="12"/>
          <w:szCs w:val="12"/>
          <w:b w:val="1"/>
          <w:bCs w:val="1"/>
          <w:color w:val="FFFFFF"/>
        </w:rPr>
        <w:t>Form</w:t>
      </w:r>
    </w:p>
    <w:p>
      <w:pPr>
        <w:spacing w:after="0" w:line="216" w:lineRule="exact"/>
        <w:rPr>
          <w:sz w:val="20"/>
          <w:szCs w:val="20"/>
          <w:color w:val="auto"/>
        </w:rPr>
      </w:pPr>
    </w:p>
    <w:p>
      <w:pPr>
        <w:ind w:left="40"/>
        <w:spacing w:after="0"/>
        <w:tabs>
          <w:tab w:leader="none" w:pos="1040" w:val="left"/>
        </w:tabs>
        <w:rPr>
          <w:sz w:val="20"/>
          <w:szCs w:val="20"/>
          <w:color w:val="auto"/>
        </w:rPr>
      </w:pPr>
      <w:r>
        <w:rPr>
          <w:rFonts w:ascii="Arial" w:cs="Arial" w:eastAsia="Arial" w:hAnsi="Arial"/>
          <w:sz w:val="12"/>
          <w:szCs w:val="12"/>
          <w:b w:val="1"/>
          <w:bCs w:val="1"/>
          <w:color w:val="auto"/>
        </w:rPr>
        <w:t>Base Salary</w:t>
      </w:r>
      <w:r>
        <w:rPr>
          <w:sz w:val="20"/>
          <w:szCs w:val="20"/>
          <w:color w:val="auto"/>
        </w:rPr>
        <w:tab/>
      </w:r>
      <w:r>
        <w:rPr>
          <w:rFonts w:ascii="Arial" w:cs="Arial" w:eastAsia="Arial" w:hAnsi="Arial"/>
          <w:sz w:val="11"/>
          <w:szCs w:val="11"/>
          <w:color w:val="auto"/>
        </w:rPr>
        <w:t>100%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0"/>
        <w:spacing w:after="0"/>
        <w:tabs>
          <w:tab w:leader="none" w:pos="1040" w:val="left"/>
        </w:tabs>
        <w:rPr>
          <w:sz w:val="20"/>
          <w:szCs w:val="20"/>
          <w:color w:val="auto"/>
        </w:rPr>
      </w:pPr>
      <w:r>
        <w:rPr>
          <w:rFonts w:ascii="Arial" w:cs="Arial" w:eastAsia="Arial" w:hAnsi="Arial"/>
          <w:sz w:val="12"/>
          <w:szCs w:val="12"/>
          <w:b w:val="1"/>
          <w:bCs w:val="1"/>
          <w:color w:val="auto"/>
        </w:rPr>
        <w:t>Annual Bonus</w:t>
      </w:r>
      <w:r>
        <w:rPr>
          <w:sz w:val="20"/>
          <w:szCs w:val="20"/>
          <w:color w:val="auto"/>
        </w:rPr>
        <w:tab/>
      </w:r>
      <w:r>
        <w:rPr>
          <w:rFonts w:ascii="Arial" w:cs="Arial" w:eastAsia="Arial" w:hAnsi="Arial"/>
          <w:sz w:val="11"/>
          <w:szCs w:val="11"/>
          <w:color w:val="auto"/>
        </w:rPr>
        <w:t>100% Cash</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FFFFFF"/>
        </w:rPr>
        <w:t>Factors / Metrics Used to Determine Pay / Vesting Period</w:t>
      </w:r>
    </w:p>
    <w:p>
      <w:pPr>
        <w:spacing w:after="0" w:line="144" w:lineRule="exact"/>
        <w:rPr>
          <w:sz w:val="20"/>
          <w:szCs w:val="20"/>
          <w:color w:val="auto"/>
        </w:rPr>
      </w:pPr>
    </w:p>
    <w:p>
      <w:pPr>
        <w:ind w:left="160"/>
        <w:spacing w:after="0"/>
        <w:rPr>
          <w:sz w:val="20"/>
          <w:szCs w:val="20"/>
          <w:color w:val="auto"/>
        </w:rPr>
      </w:pPr>
      <w:r>
        <w:rPr>
          <w:rFonts w:ascii="Arial" w:cs="Arial" w:eastAsia="Arial" w:hAnsi="Arial"/>
          <w:sz w:val="12"/>
          <w:szCs w:val="12"/>
          <w:color w:val="auto"/>
        </w:rPr>
        <w:t>External Industry and peer group data</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2"/>
          <w:szCs w:val="12"/>
          <w:color w:val="auto"/>
        </w:rPr>
        <w:t>Contributions related to performance, leadership, long-term strategy development, stockholder value creation, skills critical to VSAT success</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33.3% Company Financial Performance</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xml:space="preserve">10.0% Non-GAAP Diluted Net Income Per Share </w:t>
      </w:r>
      <w:r>
        <w:rPr>
          <w:rFonts w:ascii="Arial" w:cs="Arial" w:eastAsia="Arial" w:hAnsi="Arial"/>
          <w:sz w:val="15"/>
          <w:szCs w:val="15"/>
          <w:color w:val="auto"/>
          <w:vertAlign w:val="superscript"/>
        </w:rPr>
        <w:t>(1)</w:t>
      </w:r>
    </w:p>
    <w:p>
      <w:pPr>
        <w:ind w:left="160"/>
        <w:spacing w:after="0"/>
        <w:rPr>
          <w:sz w:val="20"/>
          <w:szCs w:val="20"/>
          <w:color w:val="auto"/>
        </w:rPr>
      </w:pPr>
      <w:r>
        <w:rPr>
          <w:rFonts w:ascii="Arial" w:cs="Arial" w:eastAsia="Arial" w:hAnsi="Arial"/>
          <w:sz w:val="12"/>
          <w:szCs w:val="12"/>
          <w:color w:val="auto"/>
        </w:rPr>
        <w:t>12.5% Adjusted EBITDA</w:t>
      </w:r>
      <w:r>
        <w:rPr>
          <w:rFonts w:ascii="Arial" w:cs="Arial" w:eastAsia="Arial" w:hAnsi="Arial"/>
          <w:sz w:val="15"/>
          <w:szCs w:val="15"/>
          <w:color w:val="auto"/>
          <w:vertAlign w:val="superscript"/>
        </w:rPr>
        <w:t>(2)</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ind w:left="160"/>
              <w:spacing w:after="0"/>
              <w:rPr>
                <w:sz w:val="20"/>
                <w:szCs w:val="20"/>
                <w:color w:val="auto"/>
              </w:rPr>
            </w:pPr>
            <w:r>
              <w:rPr>
                <w:rFonts w:ascii="Arial" w:cs="Arial" w:eastAsia="Arial" w:hAnsi="Arial"/>
                <w:sz w:val="12"/>
                <w:szCs w:val="12"/>
                <w:color w:val="auto"/>
                <w:w w:val="94"/>
              </w:rPr>
              <w:t>7.5%</w:t>
            </w:r>
          </w:p>
        </w:tc>
        <w:tc>
          <w:tcPr>
            <w:tcW w:w="1760" w:type="dxa"/>
            <w:vAlign w:val="bottom"/>
          </w:tcPr>
          <w:p>
            <w:pPr>
              <w:ind w:left="20"/>
              <w:spacing w:after="0"/>
              <w:rPr>
                <w:sz w:val="20"/>
                <w:szCs w:val="20"/>
                <w:color w:val="auto"/>
              </w:rPr>
            </w:pPr>
            <w:r>
              <w:rPr>
                <w:rFonts w:ascii="Arial" w:cs="Arial" w:eastAsia="Arial" w:hAnsi="Arial"/>
                <w:sz w:val="12"/>
                <w:szCs w:val="12"/>
                <w:color w:val="auto"/>
              </w:rPr>
              <w:t>New Contract Awards</w:t>
            </w:r>
          </w:p>
        </w:tc>
        <w:tc>
          <w:tcPr>
            <w:tcW w:w="5620" w:type="dxa"/>
            <w:vAlign w:val="bottom"/>
          </w:tcPr>
          <w:p>
            <w:pPr>
              <w:ind w:left="160"/>
              <w:spacing w:after="0"/>
              <w:rPr>
                <w:sz w:val="20"/>
                <w:szCs w:val="20"/>
                <w:color w:val="auto"/>
              </w:rPr>
            </w:pPr>
            <w:r>
              <w:rPr>
                <w:rFonts w:ascii="Arial" w:cs="Arial" w:eastAsia="Arial" w:hAnsi="Arial"/>
                <w:sz w:val="14"/>
                <w:szCs w:val="14"/>
                <w:b w:val="1"/>
                <w:bCs w:val="1"/>
                <w:i w:val="1"/>
                <w:iCs w:val="1"/>
                <w:color w:val="93A721"/>
              </w:rPr>
              <w:t>Fiscal 2019 targets set above fiscal 2018’s target and actual performance levels</w:t>
            </w:r>
          </w:p>
        </w:tc>
        <w:tc>
          <w:tcPr>
            <w:tcW w:w="0" w:type="dxa"/>
            <w:vAlign w:val="bottom"/>
          </w:tcPr>
          <w:p>
            <w:pPr>
              <w:spacing w:after="0"/>
              <w:rPr>
                <w:sz w:val="1"/>
                <w:szCs w:val="1"/>
                <w:color w:val="auto"/>
              </w:rPr>
            </w:pPr>
          </w:p>
        </w:tc>
      </w:tr>
      <w:tr>
        <w:trPr>
          <w:trHeight w:val="141"/>
        </w:trPr>
        <w:tc>
          <w:tcPr>
            <w:tcW w:w="2200" w:type="dxa"/>
            <w:vAlign w:val="bottom"/>
            <w:gridSpan w:val="2"/>
          </w:tcPr>
          <w:p>
            <w:pPr>
              <w:ind w:left="160"/>
              <w:spacing w:after="0"/>
              <w:rPr>
                <w:sz w:val="20"/>
                <w:szCs w:val="20"/>
                <w:color w:val="auto"/>
              </w:rPr>
            </w:pPr>
            <w:r>
              <w:rPr>
                <w:rFonts w:ascii="Arial" w:cs="Arial" w:eastAsia="Arial" w:hAnsi="Arial"/>
                <w:sz w:val="12"/>
                <w:szCs w:val="12"/>
                <w:color w:val="auto"/>
              </w:rPr>
              <w:t>12.5% Total Revenues</w:t>
            </w:r>
          </w:p>
        </w:tc>
        <w:tc>
          <w:tcPr>
            <w:tcW w:w="5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40" w:type="dxa"/>
            <w:vAlign w:val="bottom"/>
          </w:tcPr>
          <w:p>
            <w:pPr>
              <w:ind w:left="160"/>
              <w:spacing w:after="0"/>
              <w:rPr>
                <w:sz w:val="20"/>
                <w:szCs w:val="20"/>
                <w:color w:val="auto"/>
              </w:rPr>
            </w:pPr>
            <w:r>
              <w:rPr>
                <w:rFonts w:ascii="Arial" w:cs="Arial" w:eastAsia="Arial" w:hAnsi="Arial"/>
                <w:sz w:val="12"/>
                <w:szCs w:val="12"/>
                <w:color w:val="auto"/>
                <w:w w:val="94"/>
              </w:rPr>
              <w:t>7.5%</w:t>
            </w:r>
          </w:p>
        </w:tc>
        <w:tc>
          <w:tcPr>
            <w:tcW w:w="1760" w:type="dxa"/>
            <w:vAlign w:val="bottom"/>
          </w:tcPr>
          <w:p>
            <w:pPr>
              <w:ind w:left="20"/>
              <w:spacing w:after="0"/>
              <w:rPr>
                <w:sz w:val="20"/>
                <w:szCs w:val="20"/>
                <w:color w:val="auto"/>
              </w:rPr>
            </w:pPr>
            <w:r>
              <w:rPr>
                <w:rFonts w:ascii="Arial" w:cs="Arial" w:eastAsia="Arial" w:hAnsi="Arial"/>
                <w:sz w:val="12"/>
                <w:szCs w:val="12"/>
                <w:color w:val="auto"/>
              </w:rPr>
              <w:t>Net Operating Asset Turnover</w:t>
            </w:r>
          </w:p>
        </w:tc>
        <w:tc>
          <w:tcPr>
            <w:tcW w:w="5620" w:type="dxa"/>
            <w:vAlign w:val="bottom"/>
          </w:tcPr>
          <w:p>
            <w:pPr>
              <w:ind w:left="160"/>
              <w:spacing w:after="0"/>
              <w:rPr>
                <w:sz w:val="20"/>
                <w:szCs w:val="20"/>
                <w:color w:val="auto"/>
              </w:rPr>
            </w:pPr>
            <w:r>
              <w:rPr>
                <w:rFonts w:ascii="Arial" w:cs="Arial" w:eastAsia="Arial" w:hAnsi="Arial"/>
                <w:sz w:val="14"/>
                <w:szCs w:val="14"/>
                <w:b w:val="1"/>
                <w:bCs w:val="1"/>
                <w:i w:val="1"/>
                <w:iCs w:val="1"/>
                <w:color w:val="93A721"/>
                <w:w w:val="99"/>
              </w:rPr>
              <w:t>Fiscal 2019 Net Income and EPS were muted due to certain costs being capitalized</w:t>
            </w:r>
          </w:p>
        </w:tc>
        <w:tc>
          <w:tcPr>
            <w:tcW w:w="0" w:type="dxa"/>
            <w:vAlign w:val="bottom"/>
          </w:tcPr>
          <w:p>
            <w:pPr>
              <w:spacing w:after="0"/>
              <w:rPr>
                <w:sz w:val="1"/>
                <w:szCs w:val="1"/>
                <w:color w:val="auto"/>
              </w:rPr>
            </w:pPr>
          </w:p>
        </w:tc>
      </w:tr>
      <w:tr>
        <w:trPr>
          <w:trHeight w:val="184"/>
        </w:trPr>
        <w:tc>
          <w:tcPr>
            <w:tcW w:w="2200" w:type="dxa"/>
            <w:vAlign w:val="bottom"/>
            <w:gridSpan w:val="2"/>
            <w:vMerge w:val="restart"/>
          </w:tcPr>
          <w:p>
            <w:pPr>
              <w:spacing w:after="0"/>
              <w:rPr>
                <w:sz w:val="20"/>
                <w:szCs w:val="20"/>
                <w:color w:val="auto"/>
              </w:rPr>
            </w:pPr>
            <w:r>
              <w:rPr>
                <w:rFonts w:ascii="Arial" w:cs="Arial" w:eastAsia="Arial" w:hAnsi="Arial"/>
                <w:sz w:val="12"/>
                <w:szCs w:val="12"/>
                <w:b w:val="1"/>
                <w:bCs w:val="1"/>
                <w:i w:val="1"/>
                <w:iCs w:val="1"/>
                <w:color w:val="auto"/>
              </w:rPr>
              <w:t>33.3% Leadership</w:t>
            </w:r>
          </w:p>
        </w:tc>
        <w:tc>
          <w:tcPr>
            <w:tcW w:w="5620" w:type="dxa"/>
            <w:vAlign w:val="bottom"/>
          </w:tcPr>
          <w:p>
            <w:pPr>
              <w:ind w:left="160"/>
              <w:spacing w:after="0"/>
              <w:rPr>
                <w:sz w:val="20"/>
                <w:szCs w:val="20"/>
                <w:color w:val="auto"/>
              </w:rPr>
            </w:pPr>
            <w:r>
              <w:rPr>
                <w:rFonts w:ascii="Arial" w:cs="Arial" w:eastAsia="Arial" w:hAnsi="Arial"/>
                <w:sz w:val="14"/>
                <w:szCs w:val="14"/>
                <w:b w:val="1"/>
                <w:bCs w:val="1"/>
                <w:i w:val="1"/>
                <w:iCs w:val="1"/>
                <w:color w:val="93A721"/>
              </w:rPr>
              <w:t>in 2018 and expensed in 2019, as expected, after ViaSat-2 was put into service</w:t>
            </w:r>
          </w:p>
        </w:tc>
        <w:tc>
          <w:tcPr>
            <w:tcW w:w="0" w:type="dxa"/>
            <w:vAlign w:val="bottom"/>
          </w:tcPr>
          <w:p>
            <w:pPr>
              <w:spacing w:after="0"/>
              <w:rPr>
                <w:sz w:val="1"/>
                <w:szCs w:val="1"/>
                <w:color w:val="auto"/>
              </w:rPr>
            </w:pPr>
          </w:p>
        </w:tc>
      </w:tr>
      <w:tr>
        <w:trPr>
          <w:trHeight w:val="67"/>
        </w:trPr>
        <w:tc>
          <w:tcPr>
            <w:tcW w:w="2200" w:type="dxa"/>
            <w:vAlign w:val="bottom"/>
            <w:gridSpan w:val="2"/>
            <w:vMerge w:val="continue"/>
          </w:tcPr>
          <w:p>
            <w:pPr>
              <w:spacing w:after="0"/>
              <w:rPr>
                <w:sz w:val="5"/>
                <w:szCs w:val="5"/>
                <w:color w:val="auto"/>
              </w:rPr>
            </w:pPr>
          </w:p>
        </w:tc>
        <w:tc>
          <w:tcPr>
            <w:tcW w:w="56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160"/>
        <w:spacing w:after="0"/>
        <w:rPr>
          <w:sz w:val="20"/>
          <w:szCs w:val="20"/>
          <w:color w:val="auto"/>
        </w:rPr>
      </w:pPr>
      <w:r>
        <w:rPr>
          <w:rFonts w:ascii="Arial" w:cs="Arial" w:eastAsia="Arial" w:hAnsi="Arial"/>
          <w:sz w:val="12"/>
          <w:szCs w:val="12"/>
          <w:color w:val="auto"/>
        </w:rPr>
        <w:t>Defining, managing and attaining corporate goals, exemplifying and promoting ethics and integrity throughout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33.3% Strategic</w:t>
      </w:r>
    </w:p>
    <w:p>
      <w:pPr>
        <w:spacing w:after="0" w:line="37" w:lineRule="exact"/>
        <w:rPr>
          <w:sz w:val="20"/>
          <w:szCs w:val="20"/>
          <w:color w:val="auto"/>
        </w:rPr>
      </w:pPr>
    </w:p>
    <w:p>
      <w:pPr>
        <w:ind w:left="160"/>
        <w:spacing w:after="0"/>
        <w:rPr>
          <w:sz w:val="20"/>
          <w:szCs w:val="20"/>
          <w:color w:val="auto"/>
        </w:rPr>
      </w:pPr>
      <w:r>
        <w:rPr>
          <w:rFonts w:ascii="Arial" w:cs="Arial" w:eastAsia="Arial" w:hAnsi="Arial"/>
          <w:sz w:val="12"/>
          <w:szCs w:val="12"/>
          <w:color w:val="auto"/>
        </w:rPr>
        <w:t>Industry positioning, short-term and long-term strategies, measurable progress in key business areas and effective pursuit of growth strategies</w:t>
      </w:r>
    </w:p>
    <w:p>
      <w:pPr>
        <w:spacing w:after="0" w:line="26" w:lineRule="exact"/>
        <w:rPr>
          <w:sz w:val="20"/>
          <w:szCs w:val="20"/>
          <w:color w:val="auto"/>
        </w:rPr>
      </w:pPr>
    </w:p>
    <w:p>
      <w:pPr>
        <w:sectPr>
          <w:pgSz w:w="11900" w:h="16838" w:orient="portrait"/>
          <w:cols w:equalWidth="0" w:num="2">
            <w:col w:w="1680" w:space="660"/>
            <w:col w:w="7820"/>
          </w:cols>
          <w:pgMar w:left="940" w:top="1098" w:right="799" w:bottom="1440" w:gutter="0" w:footer="0" w:header="0"/>
          <w:type w:val="continuous"/>
        </w:sectPr>
      </w:pPr>
    </w:p>
    <w:p>
      <w:pPr>
        <w:spacing w:after="0" w:line="200" w:lineRule="exact"/>
        <w:rPr>
          <w:sz w:val="20"/>
          <w:szCs w:val="20"/>
          <w:color w:val="auto"/>
        </w:rPr>
      </w:pPr>
    </w:p>
    <w:p>
      <w:pPr>
        <w:spacing w:after="0" w:line="205" w:lineRule="exact"/>
        <w:rPr>
          <w:sz w:val="20"/>
          <w:szCs w:val="20"/>
          <w:color w:val="auto"/>
        </w:rPr>
      </w:pPr>
    </w:p>
    <w:p>
      <w:pPr>
        <w:ind w:left="1060"/>
        <w:spacing w:after="0"/>
        <w:rPr>
          <w:sz w:val="20"/>
          <w:szCs w:val="20"/>
          <w:color w:val="auto"/>
        </w:rPr>
      </w:pPr>
      <w:r>
        <w:rPr>
          <w:rFonts w:ascii="Arial" w:cs="Arial" w:eastAsia="Arial" w:hAnsi="Arial"/>
          <w:sz w:val="12"/>
          <w:szCs w:val="12"/>
          <w:color w:val="auto"/>
        </w:rPr>
        <w:t>58% Performance-</w:t>
      </w:r>
    </w:p>
    <w:p>
      <w:pPr>
        <w:ind w:left="40"/>
        <w:spacing w:after="0"/>
        <w:tabs>
          <w:tab w:leader="none" w:pos="1040" w:val="left"/>
        </w:tabs>
        <w:rPr>
          <w:sz w:val="20"/>
          <w:szCs w:val="20"/>
          <w:color w:val="auto"/>
        </w:rPr>
      </w:pPr>
      <w:r>
        <w:rPr>
          <w:rFonts w:ascii="Arial" w:cs="Arial" w:eastAsia="Arial" w:hAnsi="Arial"/>
          <w:sz w:val="20"/>
          <w:szCs w:val="20"/>
          <w:b w:val="1"/>
          <w:bCs w:val="1"/>
          <w:color w:val="auto"/>
          <w:vertAlign w:val="subscript"/>
        </w:rPr>
        <w:t>Long-Term</w:t>
      </w:r>
      <w:r>
        <w:rPr>
          <w:sz w:val="20"/>
          <w:szCs w:val="20"/>
          <w:color w:val="auto"/>
        </w:rPr>
        <w:tab/>
      </w:r>
      <w:r>
        <w:rPr>
          <w:rFonts w:ascii="Arial" w:cs="Arial" w:eastAsia="Arial" w:hAnsi="Arial"/>
          <w:sz w:val="11"/>
          <w:szCs w:val="11"/>
          <w:color w:val="auto"/>
        </w:rPr>
        <w:t>based stock options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Incentive Plan</w:t>
      </w:r>
    </w:p>
    <w:p>
      <w:pPr>
        <w:spacing w:after="0" w:line="227" w:lineRule="exact"/>
        <w:rPr>
          <w:sz w:val="20"/>
          <w:szCs w:val="20"/>
          <w:color w:val="auto"/>
        </w:rPr>
      </w:pPr>
    </w:p>
    <w:p>
      <w:pPr>
        <w:ind w:left="1060"/>
        <w:spacing w:after="0"/>
        <w:rPr>
          <w:sz w:val="20"/>
          <w:szCs w:val="20"/>
          <w:color w:val="auto"/>
        </w:rPr>
      </w:pPr>
      <w:r>
        <w:rPr>
          <w:rFonts w:ascii="Arial" w:cs="Arial" w:eastAsia="Arial" w:hAnsi="Arial"/>
          <w:sz w:val="11"/>
          <w:szCs w:val="11"/>
          <w:color w:val="auto"/>
        </w:rPr>
        <w:t>42% Restricted stock</w:t>
      </w:r>
    </w:p>
    <w:p>
      <w:pPr>
        <w:spacing w:after="0" w:line="13" w:lineRule="exact"/>
        <w:rPr>
          <w:sz w:val="20"/>
          <w:szCs w:val="20"/>
          <w:color w:val="auto"/>
        </w:rPr>
      </w:pPr>
    </w:p>
    <w:p>
      <w:pPr>
        <w:ind w:left="1060"/>
        <w:spacing w:after="0"/>
        <w:rPr>
          <w:sz w:val="20"/>
          <w:szCs w:val="20"/>
          <w:color w:val="auto"/>
        </w:rPr>
      </w:pPr>
      <w:r>
        <w:rPr>
          <w:rFonts w:ascii="Arial" w:cs="Arial" w:eastAsia="Arial" w:hAnsi="Arial"/>
          <w:sz w:val="12"/>
          <w:szCs w:val="12"/>
          <w:color w:val="auto"/>
        </w:rPr>
        <w:t>units</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Arial" w:cs="Arial" w:eastAsia="Arial" w:hAnsi="Arial"/>
          <w:sz w:val="11"/>
          <w:szCs w:val="11"/>
          <w:color w:val="auto"/>
        </w:rPr>
        <w:t>100% TSR relative to S&amp;P Midcap 400 over four-year period</w:t>
      </w:r>
    </w:p>
    <w:p>
      <w:pPr>
        <w:spacing w:after="0" w:line="223" w:lineRule="auto"/>
        <w:rPr>
          <w:sz w:val="20"/>
          <w:szCs w:val="20"/>
          <w:color w:val="auto"/>
        </w:rPr>
      </w:pPr>
      <w:r>
        <w:rPr>
          <w:rFonts w:ascii="Courier New" w:cs="Courier New" w:eastAsia="Courier New" w:hAnsi="Courier New"/>
          <w:sz w:val="12"/>
          <w:szCs w:val="12"/>
          <w:color w:val="auto"/>
        </w:rPr>
        <w:t xml:space="preserve">–  </w:t>
      </w:r>
      <w:r>
        <w:rPr>
          <w:rFonts w:ascii="Arial" w:cs="Arial" w:eastAsia="Arial" w:hAnsi="Arial"/>
          <w:sz w:val="12"/>
          <w:szCs w:val="12"/>
          <w:i w:val="1"/>
          <w:iCs w:val="1"/>
          <w:color w:val="auto"/>
        </w:rPr>
        <w:t>Target achieved at 50</w:t>
      </w:r>
      <w:r>
        <w:rPr>
          <w:rFonts w:ascii="Courier New" w:cs="Courier New" w:eastAsia="Courier New" w:hAnsi="Courier New"/>
          <w:sz w:val="12"/>
          <w:szCs w:val="12"/>
          <w:color w:val="auto"/>
        </w:rPr>
        <w:t xml:space="preserve"> </w:t>
      </w:r>
      <w:r>
        <w:rPr>
          <w:rFonts w:ascii="Arial" w:cs="Arial" w:eastAsia="Arial" w:hAnsi="Arial"/>
          <w:sz w:val="17"/>
          <w:szCs w:val="17"/>
          <w:i w:val="1"/>
          <w:iCs w:val="1"/>
          <w:color w:val="auto"/>
          <w:vertAlign w:val="superscript"/>
        </w:rPr>
        <w:t>th</w:t>
      </w:r>
      <w:r>
        <w:rPr>
          <w:rFonts w:ascii="Courier New" w:cs="Courier New" w:eastAsia="Courier New" w:hAnsi="Courier New"/>
          <w:sz w:val="12"/>
          <w:szCs w:val="12"/>
          <w:color w:val="auto"/>
        </w:rPr>
        <w:t xml:space="preserve"> </w:t>
      </w:r>
      <w:r>
        <w:rPr>
          <w:rFonts w:ascii="Arial" w:cs="Arial" w:eastAsia="Arial" w:hAnsi="Arial"/>
          <w:sz w:val="12"/>
          <w:szCs w:val="12"/>
          <w:i w:val="1"/>
          <w:iCs w:val="1"/>
          <w:color w:val="auto"/>
        </w:rPr>
        <w:t>percentile</w:t>
      </w:r>
    </w:p>
    <w:p>
      <w:pPr>
        <w:spacing w:after="0" w:line="237" w:lineRule="auto"/>
        <w:rPr>
          <w:sz w:val="20"/>
          <w:szCs w:val="20"/>
          <w:color w:val="auto"/>
        </w:rPr>
      </w:pPr>
      <w:r>
        <w:rPr>
          <w:rFonts w:ascii="Courier New" w:cs="Courier New" w:eastAsia="Courier New" w:hAnsi="Courier New"/>
          <w:sz w:val="10"/>
          <w:szCs w:val="10"/>
          <w:color w:val="auto"/>
        </w:rPr>
        <w:t xml:space="preserve">–  </w:t>
      </w:r>
      <w:r>
        <w:rPr>
          <w:rFonts w:ascii="Arial" w:cs="Arial" w:eastAsia="Arial" w:hAnsi="Arial"/>
          <w:sz w:val="10"/>
          <w:szCs w:val="10"/>
          <w:i w:val="1"/>
          <w:iCs w:val="1"/>
          <w:color w:val="auto"/>
        </w:rPr>
        <w:t>25</w:t>
      </w:r>
      <w:r>
        <w:rPr>
          <w:rFonts w:ascii="Courier New" w:cs="Courier New" w:eastAsia="Courier New" w:hAnsi="Courier New"/>
          <w:sz w:val="10"/>
          <w:szCs w:val="10"/>
          <w:color w:val="auto"/>
        </w:rPr>
        <w:t xml:space="preserve"> </w:t>
      </w:r>
      <w:r>
        <w:rPr>
          <w:rFonts w:ascii="Arial" w:cs="Arial" w:eastAsia="Arial" w:hAnsi="Arial"/>
          <w:sz w:val="14"/>
          <w:szCs w:val="14"/>
          <w:i w:val="1"/>
          <w:iCs w:val="1"/>
          <w:color w:val="auto"/>
          <w:vertAlign w:val="superscript"/>
        </w:rPr>
        <w:t>th</w:t>
      </w:r>
      <w:r>
        <w:rPr>
          <w:rFonts w:ascii="Courier New" w:cs="Courier New" w:eastAsia="Courier New" w:hAnsi="Courier New"/>
          <w:sz w:val="10"/>
          <w:szCs w:val="10"/>
          <w:color w:val="auto"/>
        </w:rPr>
        <w:t xml:space="preserve"> </w:t>
      </w:r>
      <w:r>
        <w:rPr>
          <w:rFonts w:ascii="Arial" w:cs="Arial" w:eastAsia="Arial" w:hAnsi="Arial"/>
          <w:sz w:val="10"/>
          <w:szCs w:val="10"/>
          <w:i w:val="1"/>
          <w:iCs w:val="1"/>
          <w:color w:val="auto"/>
        </w:rPr>
        <w:t>– 90</w:t>
      </w:r>
      <w:r>
        <w:rPr>
          <w:rFonts w:ascii="Courier New" w:cs="Courier New" w:eastAsia="Courier New" w:hAnsi="Courier New"/>
          <w:sz w:val="10"/>
          <w:szCs w:val="10"/>
          <w:color w:val="auto"/>
        </w:rPr>
        <w:t xml:space="preserve"> </w:t>
      </w:r>
      <w:r>
        <w:rPr>
          <w:rFonts w:ascii="Arial" w:cs="Arial" w:eastAsia="Arial" w:hAnsi="Arial"/>
          <w:sz w:val="14"/>
          <w:szCs w:val="14"/>
          <w:i w:val="1"/>
          <w:iCs w:val="1"/>
          <w:color w:val="auto"/>
          <w:vertAlign w:val="superscript"/>
        </w:rPr>
        <w:t>th</w:t>
      </w:r>
      <w:r>
        <w:rPr>
          <w:rFonts w:ascii="Courier New" w:cs="Courier New" w:eastAsia="Courier New" w:hAnsi="Courier New"/>
          <w:sz w:val="10"/>
          <w:szCs w:val="10"/>
          <w:color w:val="auto"/>
        </w:rPr>
        <w:t xml:space="preserve"> </w:t>
      </w:r>
      <w:r>
        <w:rPr>
          <w:rFonts w:ascii="Arial" w:cs="Arial" w:eastAsia="Arial" w:hAnsi="Arial"/>
          <w:sz w:val="10"/>
          <w:szCs w:val="10"/>
          <w:i w:val="1"/>
          <w:iCs w:val="1"/>
          <w:color w:val="auto"/>
        </w:rPr>
        <w:t>percentile: vest between 50% –175% of target</w:t>
      </w:r>
    </w:p>
    <w:p>
      <w:pPr>
        <w:spacing w:after="0" w:line="227" w:lineRule="auto"/>
        <w:rPr>
          <w:sz w:val="20"/>
          <w:szCs w:val="20"/>
          <w:color w:val="auto"/>
        </w:rPr>
      </w:pPr>
      <w:r>
        <w:rPr>
          <w:rFonts w:ascii="Courier New" w:cs="Courier New" w:eastAsia="Courier New" w:hAnsi="Courier New"/>
          <w:sz w:val="12"/>
          <w:szCs w:val="12"/>
          <w:color w:val="auto"/>
        </w:rPr>
        <w:t xml:space="preserve">–  </w:t>
      </w:r>
      <w:r>
        <w:rPr>
          <w:rFonts w:ascii="Arial" w:cs="Arial" w:eastAsia="Arial" w:hAnsi="Arial"/>
          <w:sz w:val="12"/>
          <w:szCs w:val="12"/>
          <w:i w:val="1"/>
          <w:iCs w:val="1"/>
          <w:color w:val="auto"/>
        </w:rPr>
        <w:t>25th percentile: options forfeited</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Vest ratably over four year period</w:t>
      </w:r>
    </w:p>
    <w:p>
      <w:pPr>
        <w:spacing w:after="0" w:line="216" w:lineRule="exact"/>
        <w:rPr>
          <w:sz w:val="20"/>
          <w:szCs w:val="20"/>
          <w:color w:val="auto"/>
        </w:rPr>
      </w:pPr>
    </w:p>
    <w:p>
      <w:pPr>
        <w:spacing w:after="0"/>
        <w:rPr>
          <w:sz w:val="20"/>
          <w:szCs w:val="20"/>
          <w:color w:val="auto"/>
        </w:rPr>
      </w:pPr>
      <w:r>
        <w:rPr>
          <w:rFonts w:ascii="Arial" w:cs="Arial" w:eastAsia="Arial" w:hAnsi="Arial"/>
          <w:sz w:val="12"/>
          <w:szCs w:val="12"/>
          <w:color w:val="auto"/>
        </w:rPr>
        <w:t>Vest ratably over four year period</w:t>
      </w:r>
    </w:p>
    <w:p>
      <w:pPr>
        <w:spacing w:after="0" w:line="20" w:lineRule="exact"/>
        <w:rPr>
          <w:sz w:val="20"/>
          <w:szCs w:val="20"/>
          <w:color w:val="auto"/>
        </w:rPr>
      </w:pPr>
      <w:r>
        <w:rPr>
          <w:sz w:val="20"/>
          <w:szCs w:val="20"/>
          <w:color w:val="auto"/>
        </w:rPr>
        <w:br w:type="column"/>
      </w:r>
    </w:p>
    <w:p>
      <w:pPr>
        <w:spacing w:after="0"/>
        <w:tabs>
          <w:tab w:leader="none" w:pos="600" w:val="left"/>
          <w:tab w:leader="none" w:pos="1300" w:val="left"/>
          <w:tab w:leader="none" w:pos="2360" w:val="left"/>
        </w:tabs>
        <w:rPr>
          <w:sz w:val="20"/>
          <w:szCs w:val="20"/>
          <w:color w:val="auto"/>
        </w:rPr>
      </w:pPr>
      <w:r>
        <w:rPr>
          <w:rFonts w:ascii="Arial" w:cs="Arial" w:eastAsia="Arial" w:hAnsi="Arial"/>
          <w:sz w:val="11"/>
          <w:szCs w:val="11"/>
          <w:i w:val="1"/>
          <w:iCs w:val="1"/>
          <w:color w:val="202E39"/>
        </w:rPr>
        <w:t>Percentile</w:t>
      </w:r>
      <w:r>
        <w:rPr>
          <w:sz w:val="20"/>
          <w:szCs w:val="20"/>
          <w:color w:val="auto"/>
        </w:rPr>
        <w:tab/>
      </w:r>
      <w:r>
        <w:rPr>
          <w:rFonts w:ascii="Arial" w:cs="Arial" w:eastAsia="Arial" w:hAnsi="Arial"/>
          <w:sz w:val="25"/>
          <w:szCs w:val="25"/>
          <w:b w:val="1"/>
          <w:bCs w:val="1"/>
          <w:color w:val="202E39"/>
          <w:vertAlign w:val="subscript"/>
        </w:rPr>
        <w:t>25</w:t>
      </w:r>
      <w:r>
        <w:rPr>
          <w:rFonts w:ascii="Arial" w:cs="Arial" w:eastAsia="Arial" w:hAnsi="Arial"/>
          <w:sz w:val="9"/>
          <w:szCs w:val="9"/>
          <w:b w:val="1"/>
          <w:bCs w:val="1"/>
          <w:color w:val="202E39"/>
        </w:rPr>
        <w:t xml:space="preserve"> th</w:t>
      </w:r>
      <w:r>
        <w:rPr>
          <w:sz w:val="20"/>
          <w:szCs w:val="20"/>
          <w:color w:val="auto"/>
        </w:rPr>
        <w:tab/>
      </w:r>
      <w:r>
        <w:rPr>
          <w:rFonts w:ascii="Arial" w:cs="Arial" w:eastAsia="Arial" w:hAnsi="Arial"/>
          <w:sz w:val="26"/>
          <w:szCs w:val="26"/>
          <w:b w:val="1"/>
          <w:bCs w:val="1"/>
          <w:color w:val="202E39"/>
          <w:vertAlign w:val="subscript"/>
        </w:rPr>
        <w:t xml:space="preserve">50 </w:t>
      </w:r>
      <w:r>
        <w:rPr>
          <w:rFonts w:ascii="Arial" w:cs="Arial" w:eastAsia="Arial" w:hAnsi="Arial"/>
          <w:sz w:val="8"/>
          <w:szCs w:val="8"/>
          <w:b w:val="1"/>
          <w:bCs w:val="1"/>
          <w:color w:val="202E39"/>
        </w:rPr>
        <w:t>th</w:t>
      </w:r>
      <w:r>
        <w:rPr>
          <w:rFonts w:ascii="Arial" w:cs="Arial" w:eastAsia="Arial" w:hAnsi="Arial"/>
          <w:sz w:val="26"/>
          <w:szCs w:val="26"/>
          <w:b w:val="1"/>
          <w:bCs w:val="1"/>
          <w:color w:val="202E39"/>
        </w:rPr>
        <w:t xml:space="preserve"> </w:t>
      </w:r>
      <w:r>
        <w:rPr>
          <w:rFonts w:ascii="Arial" w:cs="Arial" w:eastAsia="Arial" w:hAnsi="Arial"/>
          <w:sz w:val="21"/>
          <w:szCs w:val="21"/>
          <w:b w:val="1"/>
          <w:bCs w:val="1"/>
          <w:i w:val="1"/>
          <w:iCs w:val="1"/>
          <w:color w:val="202E39"/>
          <w:vertAlign w:val="subscript"/>
        </w:rPr>
        <w:t>(target)</w:t>
      </w:r>
      <w:r>
        <w:rPr>
          <w:sz w:val="20"/>
          <w:szCs w:val="20"/>
          <w:color w:val="auto"/>
        </w:rPr>
        <w:tab/>
      </w:r>
      <w:r>
        <w:rPr>
          <w:rFonts w:ascii="Arial" w:cs="Arial" w:eastAsia="Arial" w:hAnsi="Arial"/>
          <w:sz w:val="18"/>
          <w:szCs w:val="18"/>
          <w:b w:val="1"/>
          <w:bCs w:val="1"/>
          <w:color w:val="202E39"/>
          <w:vertAlign w:val="subscript"/>
        </w:rPr>
        <w:t xml:space="preserve">90 </w:t>
      </w:r>
      <w:r>
        <w:rPr>
          <w:rFonts w:ascii="Arial" w:cs="Arial" w:eastAsia="Arial" w:hAnsi="Arial"/>
          <w:sz w:val="7"/>
          <w:szCs w:val="7"/>
          <w:b w:val="1"/>
          <w:bCs w:val="1"/>
          <w:color w:val="202E39"/>
        </w:rPr>
        <w:t>th</w:t>
      </w:r>
    </w:p>
    <w:p>
      <w:pPr>
        <w:spacing w:after="0" w:line="200" w:lineRule="exact"/>
        <w:rPr>
          <w:sz w:val="20"/>
          <w:szCs w:val="20"/>
          <w:color w:val="auto"/>
        </w:rPr>
      </w:pPr>
    </w:p>
    <w:p>
      <w:pPr>
        <w:spacing w:after="0" w:line="278" w:lineRule="exact"/>
        <w:rPr>
          <w:sz w:val="20"/>
          <w:szCs w:val="20"/>
          <w:color w:val="auto"/>
        </w:rPr>
      </w:pPr>
    </w:p>
    <w:p>
      <w:pPr>
        <w:ind w:left="100"/>
        <w:spacing w:after="0"/>
        <w:tabs>
          <w:tab w:leader="none" w:pos="1200" w:val="left"/>
          <w:tab w:leader="none" w:pos="2120" w:val="left"/>
        </w:tabs>
        <w:rPr>
          <w:sz w:val="20"/>
          <w:szCs w:val="20"/>
          <w:color w:val="auto"/>
        </w:rPr>
      </w:pPr>
      <w:r>
        <w:rPr>
          <w:rFonts w:ascii="Arial" w:cs="Arial" w:eastAsia="Arial" w:hAnsi="Arial"/>
          <w:sz w:val="11"/>
          <w:szCs w:val="11"/>
          <w:b w:val="1"/>
          <w:bCs w:val="1"/>
          <w:i w:val="1"/>
          <w:iCs w:val="1"/>
          <w:color w:val="202E39"/>
        </w:rPr>
        <w:t>Awards forfeited</w:t>
      </w:r>
      <w:r>
        <w:rPr>
          <w:sz w:val="20"/>
          <w:szCs w:val="20"/>
          <w:color w:val="auto"/>
        </w:rPr>
        <w:tab/>
      </w:r>
      <w:r>
        <w:rPr>
          <w:rFonts w:ascii="Arial" w:cs="Arial" w:eastAsia="Arial" w:hAnsi="Arial"/>
          <w:sz w:val="11"/>
          <w:szCs w:val="11"/>
          <w:b w:val="1"/>
          <w:bCs w:val="1"/>
          <w:i w:val="1"/>
          <w:iCs w:val="1"/>
          <w:color w:val="202E39"/>
        </w:rPr>
        <w:t>50% - 175% vest</w:t>
      </w:r>
      <w:r>
        <w:rPr>
          <w:sz w:val="20"/>
          <w:szCs w:val="20"/>
          <w:color w:val="auto"/>
        </w:rPr>
        <w:tab/>
      </w:r>
      <w:r>
        <w:rPr>
          <w:rFonts w:ascii="Arial" w:cs="Arial" w:eastAsia="Arial" w:hAnsi="Arial"/>
          <w:sz w:val="10"/>
          <w:szCs w:val="10"/>
          <w:b w:val="1"/>
          <w:bCs w:val="1"/>
          <w:i w:val="1"/>
          <w:iCs w:val="1"/>
          <w:color w:val="202E39"/>
        </w:rPr>
        <w:t>No additional award</w:t>
      </w:r>
    </w:p>
    <w:p>
      <w:pPr>
        <w:spacing w:after="0" w:line="573" w:lineRule="exact"/>
        <w:rPr>
          <w:sz w:val="20"/>
          <w:szCs w:val="20"/>
          <w:color w:val="auto"/>
        </w:rPr>
      </w:pPr>
    </w:p>
    <w:p>
      <w:pPr>
        <w:sectPr>
          <w:pgSz w:w="11900" w:h="16838" w:orient="portrait"/>
          <w:cols w:equalWidth="0" w:num="3">
            <w:col w:w="2180" w:space="320"/>
            <w:col w:w="3200" w:space="360"/>
            <w:col w:w="4100"/>
          </w:cols>
          <w:pgMar w:left="940" w:top="1098" w:right="799" w:bottom="1440" w:gutter="0" w:footer="0" w:header="0"/>
          <w:type w:val="continuous"/>
        </w:sectPr>
      </w:pPr>
    </w:p>
    <w:tbl>
      <w:tblPr>
        <w:tblLayout w:type="fixed"/>
        <w:tblInd w:w="900" w:type="dxa"/>
        <w:tblCellMar>
          <w:top w:w="0" w:type="dxa"/>
          <w:left w:w="0" w:type="dxa"/>
          <w:bottom w:w="0" w:type="dxa"/>
          <w:right w:w="0" w:type="dxa"/>
        </w:tblCellMar>
      </w:tblPr>
      <w:tr>
        <w:trPr>
          <w:trHeight w:val="115"/>
        </w:trPr>
        <w:tc>
          <w:tcPr>
            <w:tcW w:w="80" w:type="dxa"/>
            <w:vAlign w:val="bottom"/>
          </w:tcPr>
          <w:p>
            <w:pPr>
              <w:spacing w:after="0"/>
              <w:rPr>
                <w:sz w:val="20"/>
                <w:szCs w:val="20"/>
                <w:color w:val="auto"/>
              </w:rPr>
            </w:pPr>
            <w:r>
              <w:rPr>
                <w:rFonts w:ascii="Arial" w:cs="Arial" w:eastAsia="Arial" w:hAnsi="Arial"/>
                <w:sz w:val="6"/>
                <w:szCs w:val="6"/>
                <w:color w:val="202E39"/>
                <w:w w:val="81"/>
              </w:rPr>
              <w:t>(1)</w:t>
            </w:r>
          </w:p>
        </w:tc>
        <w:tc>
          <w:tcPr>
            <w:tcW w:w="8440" w:type="dxa"/>
            <w:vAlign w:val="bottom"/>
          </w:tcPr>
          <w:p>
            <w:pPr>
              <w:ind w:left="20"/>
              <w:spacing w:after="0"/>
              <w:rPr>
                <w:sz w:val="20"/>
                <w:szCs w:val="20"/>
                <w:color w:val="auto"/>
              </w:rPr>
            </w:pPr>
            <w:r>
              <w:rPr>
                <w:rFonts w:ascii="Arial" w:cs="Arial" w:eastAsia="Arial" w:hAnsi="Arial"/>
                <w:sz w:val="10"/>
                <w:szCs w:val="10"/>
                <w:color w:val="202E39"/>
              </w:rPr>
              <w:t>Attributable to VSAT Common Stockholders</w:t>
            </w:r>
          </w:p>
        </w:tc>
        <w:tc>
          <w:tcPr>
            <w:tcW w:w="700" w:type="dxa"/>
            <w:vAlign w:val="bottom"/>
          </w:tcPr>
          <w:p>
            <w:pPr>
              <w:spacing w:after="0"/>
              <w:rPr>
                <w:sz w:val="10"/>
                <w:szCs w:val="10"/>
                <w:color w:val="auto"/>
              </w:rPr>
            </w:pPr>
          </w:p>
        </w:tc>
      </w:tr>
      <w:tr>
        <w:trPr>
          <w:trHeight w:val="115"/>
        </w:trPr>
        <w:tc>
          <w:tcPr>
            <w:tcW w:w="80" w:type="dxa"/>
            <w:vAlign w:val="bottom"/>
          </w:tcPr>
          <w:p>
            <w:pPr>
              <w:spacing w:after="0"/>
              <w:rPr>
                <w:sz w:val="20"/>
                <w:szCs w:val="20"/>
                <w:color w:val="auto"/>
              </w:rPr>
            </w:pPr>
            <w:r>
              <w:rPr>
                <w:rFonts w:ascii="Arial" w:cs="Arial" w:eastAsia="Arial" w:hAnsi="Arial"/>
                <w:sz w:val="6"/>
                <w:szCs w:val="6"/>
                <w:color w:val="202E39"/>
                <w:w w:val="81"/>
              </w:rPr>
              <w:t>(2)</w:t>
            </w:r>
          </w:p>
        </w:tc>
        <w:tc>
          <w:tcPr>
            <w:tcW w:w="8440" w:type="dxa"/>
            <w:vAlign w:val="bottom"/>
          </w:tcPr>
          <w:p>
            <w:pPr>
              <w:ind w:left="20"/>
              <w:spacing w:after="0"/>
              <w:rPr>
                <w:sz w:val="20"/>
                <w:szCs w:val="20"/>
                <w:color w:val="auto"/>
              </w:rPr>
            </w:pPr>
            <w:r>
              <w:rPr>
                <w:rFonts w:ascii="Arial" w:cs="Arial" w:eastAsia="Arial" w:hAnsi="Arial"/>
                <w:sz w:val="10"/>
                <w:szCs w:val="10"/>
                <w:color w:val="202E39"/>
              </w:rPr>
              <w:t>Adjusted EBITDA defined as net income (loss)attributable to Viasat, Inc. before interest, income taxes, depreciation and amortization, adjusted to exclude certain significantitems – See</w:t>
            </w:r>
          </w:p>
        </w:tc>
        <w:tc>
          <w:tcPr>
            <w:tcW w:w="700" w:type="dxa"/>
            <w:vAlign w:val="bottom"/>
          </w:tcPr>
          <w:p>
            <w:pPr>
              <w:jc w:val="right"/>
              <w:spacing w:after="0"/>
              <w:rPr>
                <w:sz w:val="20"/>
                <w:szCs w:val="20"/>
                <w:color w:val="auto"/>
              </w:rPr>
            </w:pPr>
            <w:r>
              <w:rPr>
                <w:rFonts w:ascii="Arial" w:cs="Arial" w:eastAsia="Arial" w:hAnsi="Arial"/>
                <w:sz w:val="9"/>
                <w:szCs w:val="9"/>
                <w:color w:val="7F7F7F"/>
              </w:rPr>
              <w:t>8</w:t>
            </w:r>
          </w:p>
        </w:tc>
      </w:tr>
      <w:tr>
        <w:trPr>
          <w:trHeight w:val="118"/>
        </w:trPr>
        <w:tc>
          <w:tcPr>
            <w:tcW w:w="8520" w:type="dxa"/>
            <w:vAlign w:val="bottom"/>
            <w:gridSpan w:val="2"/>
          </w:tcPr>
          <w:p>
            <w:pPr>
              <w:spacing w:after="0"/>
              <w:rPr>
                <w:sz w:val="20"/>
                <w:szCs w:val="20"/>
                <w:color w:val="auto"/>
              </w:rPr>
            </w:pPr>
            <w:r>
              <w:rPr>
                <w:rFonts w:ascii="Arial" w:cs="Arial" w:eastAsia="Arial" w:hAnsi="Arial"/>
                <w:sz w:val="10"/>
                <w:szCs w:val="10"/>
                <w:color w:val="202E39"/>
              </w:rPr>
              <w:t>appendix for a reconciliation to net income</w:t>
            </w:r>
          </w:p>
        </w:tc>
        <w:tc>
          <w:tcPr>
            <w:tcW w:w="700" w:type="dxa"/>
            <w:vAlign w:val="bottom"/>
          </w:tcPr>
          <w:p>
            <w:pPr>
              <w:spacing w:after="0"/>
              <w:rPr>
                <w:sz w:val="10"/>
                <w:szCs w:val="10"/>
                <w:color w:val="auto"/>
              </w:rPr>
            </w:pPr>
          </w:p>
        </w:tc>
      </w:tr>
    </w:tbl>
    <w:p>
      <w:pPr>
        <w:sectPr>
          <w:pgSz w:w="11900" w:h="16838" w:orient="portrait"/>
          <w:cols w:equalWidth="0" w:num="1">
            <w:col w:w="10160"/>
          </w:cols>
          <w:pgMar w:left="940" w:top="1098" w:right="79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38"/>
          <w:szCs w:val="38"/>
          <w:color w:val="202E39"/>
        </w:rPr>
        <w:drawing>
          <wp:anchor simplePos="0" relativeHeight="251657728" behindDoc="1" locked="0" layoutInCell="0" allowOverlap="1">
            <wp:simplePos x="0" y="0"/>
            <wp:positionH relativeFrom="page">
              <wp:posOffset>130810</wp:posOffset>
            </wp:positionH>
            <wp:positionV relativeFrom="page">
              <wp:posOffset>88900</wp:posOffset>
            </wp:positionV>
            <wp:extent cx="7313930" cy="40595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13930" cy="4059555"/>
                    </a:xfrm>
                    <a:prstGeom prst="rect">
                      <a:avLst/>
                    </a:prstGeom>
                    <a:noFill/>
                  </pic:spPr>
                </pic:pic>
              </a:graphicData>
            </a:graphic>
          </wp:anchor>
        </w:drawing>
        <w:t>CEO FY2019 compensation decisions</w:t>
      </w:r>
    </w:p>
    <w:p>
      <w:pPr>
        <w:spacing w:after="0" w:line="185" w:lineRule="exact"/>
        <w:rPr>
          <w:sz w:val="20"/>
          <w:szCs w:val="20"/>
          <w:color w:val="auto"/>
        </w:rPr>
      </w:pPr>
    </w:p>
    <w:p>
      <w:pPr>
        <w:spacing w:after="0"/>
        <w:rPr>
          <w:sz w:val="20"/>
          <w:szCs w:val="20"/>
          <w:color w:val="auto"/>
        </w:rPr>
      </w:pPr>
      <w:r>
        <w:rPr>
          <w:rFonts w:ascii="Arial" w:cs="Arial" w:eastAsia="Arial" w:hAnsi="Arial"/>
          <w:sz w:val="25"/>
          <w:szCs w:val="25"/>
          <w:color w:val="009FE3"/>
        </w:rPr>
        <w:t>Determination of base salary and annual bonus supported by measurable factors</w:t>
      </w:r>
    </w:p>
    <w:p>
      <w:pPr>
        <w:sectPr>
          <w:pgSz w:w="11900" w:h="16838" w:orient="portrait"/>
          <w:cols w:equalWidth="0" w:num="1">
            <w:col w:w="10180"/>
          </w:cols>
          <w:pgMar w:left="940" w:top="1098" w:right="779" w:bottom="1440" w:gutter="0" w:footer="0" w:header="0"/>
        </w:sectPr>
      </w:pPr>
    </w:p>
    <w:p>
      <w:pPr>
        <w:spacing w:after="0" w:line="283" w:lineRule="exact"/>
        <w:rPr>
          <w:sz w:val="20"/>
          <w:szCs w:val="20"/>
          <w:color w:val="auto"/>
        </w:rPr>
      </w:pPr>
    </w:p>
    <w:p>
      <w:pPr>
        <w:jc w:val="both"/>
        <w:ind w:left="100"/>
        <w:spacing w:after="0" w:line="277" w:lineRule="auto"/>
        <w:rPr>
          <w:sz w:val="20"/>
          <w:szCs w:val="20"/>
          <w:color w:val="auto"/>
        </w:rPr>
      </w:pPr>
      <w:r>
        <w:rPr>
          <w:rFonts w:ascii="Arial" w:cs="Arial" w:eastAsia="Arial" w:hAnsi="Arial"/>
          <w:sz w:val="21"/>
          <w:szCs w:val="21"/>
          <w:b w:val="1"/>
          <w:bCs w:val="1"/>
          <w:color w:val="EF8201"/>
        </w:rPr>
        <w:t>Factors considered for the CEO’s fiscal 2019 annual salary</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rPr>
          <w:sz w:val="20"/>
          <w:szCs w:val="20"/>
          <w:color w:val="auto"/>
        </w:rPr>
      </w:pPr>
      <w:r>
        <w:rPr>
          <w:rFonts w:ascii="Arial" w:cs="Arial" w:eastAsia="Arial" w:hAnsi="Arial"/>
          <w:sz w:val="13"/>
          <w:szCs w:val="13"/>
          <w:color w:val="auto"/>
        </w:rPr>
        <w:t>Successful launch of commercial broadband services on ViaSat-2</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Setting new records for revenue, operating profit and Adjusted EBITDA in government systems segment</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color w:val="auto"/>
        </w:rPr>
        <w:t>Continued expansion into the IFC market</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color w:val="auto"/>
        </w:rPr>
        <w:t>Progress with the ViaSat-3 satellite systems and advances in the development and execution of strategies to facilitate global expansion</w:t>
      </w:r>
    </w:p>
    <w:p>
      <w:pPr>
        <w:spacing w:after="0" w:line="200" w:lineRule="exact"/>
        <w:rPr>
          <w:sz w:val="20"/>
          <w:szCs w:val="20"/>
          <w:color w:val="auto"/>
        </w:rPr>
      </w:pPr>
    </w:p>
    <w:p>
      <w:pPr>
        <w:sectPr>
          <w:pgSz w:w="11900" w:h="16838" w:orient="portrait"/>
          <w:cols w:equalWidth="0" w:num="2">
            <w:col w:w="2060" w:space="420"/>
            <w:col w:w="7700"/>
          </w:cols>
          <w:pgMar w:left="940" w:top="1098" w:right="779" w:bottom="1440" w:gutter="0" w:footer="0" w:header="0"/>
          <w:type w:val="continuous"/>
        </w:sectPr>
      </w:pPr>
    </w:p>
    <w:p>
      <w:pPr>
        <w:spacing w:after="0" w:line="52" w:lineRule="exact"/>
        <w:rPr>
          <w:sz w:val="20"/>
          <w:szCs w:val="20"/>
          <w:color w:val="auto"/>
        </w:rPr>
      </w:pPr>
    </w:p>
    <w:p>
      <w:pPr>
        <w:jc w:val="both"/>
        <w:ind w:left="100"/>
        <w:spacing w:after="0" w:line="277" w:lineRule="auto"/>
        <w:rPr>
          <w:sz w:val="20"/>
          <w:szCs w:val="20"/>
          <w:color w:val="auto"/>
        </w:rPr>
      </w:pPr>
      <w:r>
        <w:rPr>
          <w:rFonts w:ascii="Arial" w:cs="Arial" w:eastAsia="Arial" w:hAnsi="Arial"/>
          <w:sz w:val="21"/>
          <w:szCs w:val="21"/>
          <w:b w:val="1"/>
          <w:bCs w:val="1"/>
          <w:color w:val="93A721"/>
        </w:rPr>
        <w:t>Factors considered for the CEO’s fiscal 2019 annual bonus</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Leadership Performance</w:t>
      </w:r>
    </w:p>
    <w:p>
      <w:pPr>
        <w:spacing w:after="0" w:line="188" w:lineRule="exact"/>
        <w:rPr>
          <w:sz w:val="20"/>
          <w:szCs w:val="20"/>
          <w:color w:val="auto"/>
        </w:rPr>
      </w:pPr>
    </w:p>
    <w:p>
      <w:pPr>
        <w:ind w:right="280"/>
        <w:spacing w:after="0" w:line="249" w:lineRule="auto"/>
        <w:rPr>
          <w:sz w:val="20"/>
          <w:szCs w:val="20"/>
          <w:color w:val="auto"/>
        </w:rPr>
      </w:pPr>
      <w:r>
        <w:rPr>
          <w:rFonts w:ascii="Arial" w:cs="Arial" w:eastAsia="Arial" w:hAnsi="Arial"/>
          <w:sz w:val="13"/>
          <w:szCs w:val="13"/>
          <w:color w:val="auto"/>
        </w:rPr>
        <w:t>Led significant progress toward constellation of next-gen broadband satellites (i.e., ViaSat-3)</w:t>
      </w:r>
    </w:p>
    <w:p>
      <w:pPr>
        <w:spacing w:after="0" w:line="130" w:lineRule="exact"/>
        <w:rPr>
          <w:sz w:val="20"/>
          <w:szCs w:val="20"/>
          <w:color w:val="auto"/>
        </w:rPr>
      </w:pPr>
    </w:p>
    <w:p>
      <w:pPr>
        <w:spacing w:after="0" w:line="249" w:lineRule="auto"/>
        <w:rPr>
          <w:sz w:val="20"/>
          <w:szCs w:val="20"/>
          <w:color w:val="auto"/>
        </w:rPr>
      </w:pPr>
      <w:r>
        <w:rPr>
          <w:rFonts w:ascii="Arial" w:cs="Arial" w:eastAsia="Arial" w:hAnsi="Arial"/>
          <w:sz w:val="13"/>
          <w:szCs w:val="13"/>
          <w:color w:val="auto"/>
        </w:rPr>
        <w:t>Directed commitment to creating an ethical culture; employee engagement level exceeding the industry</w:t>
      </w:r>
    </w:p>
    <w:p>
      <w:pPr>
        <w:spacing w:after="0" w:line="119" w:lineRule="exact"/>
        <w:rPr>
          <w:sz w:val="20"/>
          <w:szCs w:val="20"/>
          <w:color w:val="auto"/>
        </w:rPr>
      </w:pPr>
    </w:p>
    <w:p>
      <w:pPr>
        <w:ind w:right="220"/>
        <w:spacing w:after="0" w:line="249" w:lineRule="auto"/>
        <w:rPr>
          <w:sz w:val="20"/>
          <w:szCs w:val="20"/>
          <w:color w:val="auto"/>
        </w:rPr>
      </w:pPr>
      <w:r>
        <w:rPr>
          <w:rFonts w:ascii="Arial" w:cs="Arial" w:eastAsia="Arial" w:hAnsi="Arial"/>
          <w:sz w:val="13"/>
          <w:szCs w:val="13"/>
          <w:color w:val="auto"/>
        </w:rPr>
        <w:t>Recognized for contribution to the global communications industry as a distinguished innovator</w:t>
      </w:r>
    </w:p>
    <w:p>
      <w:pPr>
        <w:spacing w:after="0" w:line="119" w:lineRule="exact"/>
        <w:rPr>
          <w:sz w:val="20"/>
          <w:szCs w:val="20"/>
          <w:color w:val="auto"/>
        </w:rPr>
      </w:pPr>
    </w:p>
    <w:p>
      <w:pPr>
        <w:ind w:right="400"/>
        <w:spacing w:after="0" w:line="249" w:lineRule="auto"/>
        <w:rPr>
          <w:sz w:val="20"/>
          <w:szCs w:val="20"/>
          <w:color w:val="auto"/>
        </w:rPr>
      </w:pPr>
      <w:r>
        <w:rPr>
          <w:rFonts w:ascii="Arial" w:cs="Arial" w:eastAsia="Arial" w:hAnsi="Arial"/>
          <w:sz w:val="13"/>
          <w:szCs w:val="13"/>
          <w:color w:val="auto"/>
        </w:rPr>
        <w:t>Provided leadership and contributed to receipt of 2018 Platinum Cybersecurity industry award</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Strategic Performance</w:t>
      </w:r>
    </w:p>
    <w:p>
      <w:pPr>
        <w:spacing w:after="0" w:line="178" w:lineRule="exact"/>
        <w:rPr>
          <w:sz w:val="20"/>
          <w:szCs w:val="20"/>
          <w:color w:val="auto"/>
        </w:rPr>
      </w:pPr>
    </w:p>
    <w:p>
      <w:pPr>
        <w:ind w:right="240"/>
        <w:spacing w:after="0" w:line="249" w:lineRule="auto"/>
        <w:rPr>
          <w:sz w:val="20"/>
          <w:szCs w:val="20"/>
          <w:color w:val="auto"/>
        </w:rPr>
      </w:pPr>
      <w:r>
        <w:rPr>
          <w:rFonts w:ascii="Arial" w:cs="Arial" w:eastAsia="Arial" w:hAnsi="Arial"/>
          <w:sz w:val="13"/>
          <w:szCs w:val="13"/>
          <w:color w:val="auto"/>
        </w:rPr>
        <w:t>Attained record revenue and new contract awards, up 30% and 42% year-over-year, respectively</w:t>
      </w:r>
    </w:p>
    <w:p>
      <w:pPr>
        <w:spacing w:after="0" w:line="130" w:lineRule="exact"/>
        <w:rPr>
          <w:sz w:val="20"/>
          <w:szCs w:val="20"/>
          <w:color w:val="auto"/>
        </w:rPr>
      </w:pPr>
    </w:p>
    <w:p>
      <w:pPr>
        <w:ind w:right="500"/>
        <w:spacing w:after="0" w:line="249" w:lineRule="auto"/>
        <w:rPr>
          <w:sz w:val="20"/>
          <w:szCs w:val="20"/>
          <w:color w:val="auto"/>
        </w:rPr>
      </w:pPr>
      <w:r>
        <w:rPr>
          <w:rFonts w:ascii="Arial" w:cs="Arial" w:eastAsia="Arial" w:hAnsi="Arial"/>
          <w:sz w:val="13"/>
          <w:szCs w:val="13"/>
          <w:color w:val="auto"/>
        </w:rPr>
        <w:t>Improved operational efficiency; all business segments reporting improved Adjusted EBITDA</w:t>
      </w:r>
    </w:p>
    <w:p>
      <w:pPr>
        <w:spacing w:after="0" w:line="119" w:lineRule="exact"/>
        <w:rPr>
          <w:sz w:val="20"/>
          <w:szCs w:val="20"/>
          <w:color w:val="auto"/>
        </w:rPr>
      </w:pPr>
    </w:p>
    <w:p>
      <w:pPr>
        <w:ind w:right="420"/>
        <w:spacing w:after="0" w:line="249" w:lineRule="auto"/>
        <w:rPr>
          <w:sz w:val="20"/>
          <w:szCs w:val="20"/>
          <w:color w:val="auto"/>
        </w:rPr>
      </w:pPr>
      <w:r>
        <w:rPr>
          <w:rFonts w:ascii="Arial" w:cs="Arial" w:eastAsia="Arial" w:hAnsi="Arial"/>
          <w:sz w:val="13"/>
          <w:szCs w:val="13"/>
          <w:color w:val="auto"/>
        </w:rPr>
        <w:t>Continued building awareness and credibility; expanded connectivity services in Mexico and Brazil</w:t>
      </w:r>
    </w:p>
    <w:p>
      <w:pPr>
        <w:spacing w:after="0" w:line="119" w:lineRule="exact"/>
        <w:rPr>
          <w:sz w:val="20"/>
          <w:szCs w:val="20"/>
          <w:color w:val="auto"/>
        </w:rPr>
      </w:pPr>
    </w:p>
    <w:p>
      <w:pPr>
        <w:ind w:right="240"/>
        <w:spacing w:after="0" w:line="289" w:lineRule="auto"/>
        <w:rPr>
          <w:sz w:val="20"/>
          <w:szCs w:val="20"/>
          <w:color w:val="auto"/>
        </w:rPr>
      </w:pPr>
      <w:r>
        <w:rPr>
          <w:rFonts w:ascii="Arial" w:cs="Arial" w:eastAsia="Arial" w:hAnsi="Arial"/>
          <w:sz w:val="12"/>
          <w:szCs w:val="12"/>
          <w:color w:val="auto"/>
        </w:rPr>
        <w:t>Continued disruption of the IFC market; 1,300+ commercial aircraft utilizing IFC systems, up 107% year-over-year</w:t>
      </w:r>
    </w:p>
    <w:p>
      <w:pPr>
        <w:spacing w:after="0" w:line="187" w:lineRule="exact"/>
        <w:rPr>
          <w:sz w:val="20"/>
          <w:szCs w:val="20"/>
          <w:color w:val="auto"/>
        </w:rPr>
      </w:pPr>
    </w:p>
    <w:p>
      <w:pPr>
        <w:sectPr>
          <w:pgSz w:w="11900" w:h="16838" w:orient="portrait"/>
          <w:cols w:equalWidth="0" w:num="3">
            <w:col w:w="2060" w:space="440"/>
            <w:col w:w="3480" w:space="580"/>
            <w:col w:w="3620"/>
          </w:cols>
          <w:pgMar w:left="940" w:top="1098" w:right="779" w:bottom="1440" w:gutter="0" w:footer="0" w:header="0"/>
          <w:type w:val="continuous"/>
        </w:sectPr>
      </w:pPr>
    </w:p>
    <w:p>
      <w:pPr>
        <w:ind w:left="460" w:right="580" w:hanging="31"/>
        <w:spacing w:after="0" w:line="290" w:lineRule="auto"/>
        <w:rPr>
          <w:sz w:val="20"/>
          <w:szCs w:val="20"/>
          <w:color w:val="auto"/>
        </w:rPr>
      </w:pPr>
      <w:r>
        <w:rPr>
          <w:rFonts w:ascii="Arial" w:cs="Arial" w:eastAsia="Arial" w:hAnsi="Arial"/>
          <w:sz w:val="16"/>
          <w:szCs w:val="16"/>
          <w:b w:val="1"/>
          <w:bCs w:val="1"/>
          <w:i w:val="1"/>
          <w:iCs w:val="1"/>
          <w:color w:val="014656"/>
        </w:rPr>
        <w:t>Given the long-cycle nature of our business and our focus on long-term performance, in addition to quantifiable results, achievements in strengthening our strategic positioning are a significant factor in determining executive compensation</w:t>
      </w:r>
    </w:p>
    <w:p>
      <w:pPr>
        <w:spacing w:after="0" w:line="189" w:lineRule="exact"/>
        <w:rPr>
          <w:sz w:val="20"/>
          <w:szCs w:val="20"/>
          <w:color w:val="auto"/>
        </w:rPr>
      </w:pPr>
    </w:p>
    <w:p>
      <w:pPr>
        <w:jc w:val="right"/>
        <w:ind w:right="60"/>
        <w:spacing w:after="0"/>
        <w:rPr>
          <w:sz w:val="20"/>
          <w:szCs w:val="20"/>
          <w:color w:val="auto"/>
        </w:rPr>
      </w:pPr>
      <w:r>
        <w:rPr>
          <w:rFonts w:ascii="Arial" w:cs="Arial" w:eastAsia="Arial" w:hAnsi="Arial"/>
          <w:sz w:val="9"/>
          <w:szCs w:val="9"/>
          <w:color w:val="7F7F7F"/>
        </w:rPr>
        <w:t>9</w:t>
      </w:r>
    </w:p>
    <w:p>
      <w:pPr>
        <w:sectPr>
          <w:pgSz w:w="11900" w:h="16838" w:orient="portrait"/>
          <w:cols w:equalWidth="0" w:num="1">
            <w:col w:w="10180"/>
          </w:cols>
          <w:pgMar w:left="940" w:top="1098" w:right="77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38"/>
          <w:szCs w:val="38"/>
          <w:color w:val="202E39"/>
        </w:rPr>
        <w:drawing>
          <wp:anchor simplePos="0" relativeHeight="251657728" behindDoc="1" locked="0" layoutInCell="0" allowOverlap="1">
            <wp:simplePos x="0" y="0"/>
            <wp:positionH relativeFrom="page">
              <wp:posOffset>130810</wp:posOffset>
            </wp:positionH>
            <wp:positionV relativeFrom="page">
              <wp:posOffset>88900</wp:posOffset>
            </wp:positionV>
            <wp:extent cx="7313930" cy="40665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13930" cy="4066540"/>
                    </a:xfrm>
                    <a:prstGeom prst="rect">
                      <a:avLst/>
                    </a:prstGeom>
                    <a:noFill/>
                  </pic:spPr>
                </pic:pic>
              </a:graphicData>
            </a:graphic>
          </wp:anchor>
        </w:drawing>
        <w:t>CEO compensation tied to performance</w:t>
      </w:r>
    </w:p>
    <w:p>
      <w:pPr>
        <w:spacing w:after="0" w:line="185" w:lineRule="exact"/>
        <w:rPr>
          <w:sz w:val="20"/>
          <w:szCs w:val="20"/>
          <w:color w:val="auto"/>
        </w:rPr>
      </w:pPr>
    </w:p>
    <w:p>
      <w:pPr>
        <w:ind w:right="660"/>
        <w:spacing w:after="0" w:line="223" w:lineRule="auto"/>
        <w:rPr>
          <w:sz w:val="20"/>
          <w:szCs w:val="20"/>
          <w:color w:val="auto"/>
        </w:rPr>
      </w:pPr>
      <w:r>
        <w:rPr>
          <w:rFonts w:ascii="Arial" w:cs="Arial" w:eastAsia="Arial" w:hAnsi="Arial"/>
          <w:sz w:val="26"/>
          <w:szCs w:val="26"/>
          <w:color w:val="009FE3"/>
        </w:rPr>
        <w:t>Compensation remains at-risk and is increasingly comprised of performance-based equity, reflective of our pay-for-performance philosophy</w:t>
      </w:r>
    </w:p>
    <w:p>
      <w:pPr>
        <w:sectPr>
          <w:pgSz w:w="11900" w:h="16838" w:orient="portrait"/>
          <w:cols w:equalWidth="0" w:num="1">
            <w:col w:w="10120"/>
          </w:cols>
          <w:pgMar w:left="940" w:top="1098" w:right="839" w:bottom="1440" w:gutter="0" w:footer="0" w:header="0"/>
        </w:sectPr>
      </w:pPr>
    </w:p>
    <w:p>
      <w:pPr>
        <w:spacing w:after="0" w:line="6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013064"/>
        </w:rPr>
        <w:t>2017: 88% At-Risk</w:t>
      </w:r>
    </w:p>
    <w:p>
      <w:pPr>
        <w:spacing w:after="0" w:line="46" w:lineRule="exact"/>
        <w:rPr>
          <w:sz w:val="20"/>
          <w:szCs w:val="20"/>
          <w:color w:val="auto"/>
        </w:rPr>
      </w:pPr>
    </w:p>
    <w:p>
      <w:pPr>
        <w:spacing w:after="0"/>
        <w:rPr>
          <w:sz w:val="20"/>
          <w:szCs w:val="20"/>
          <w:color w:val="auto"/>
        </w:rPr>
      </w:pPr>
      <w:r>
        <w:rPr>
          <w:rFonts w:ascii="Arial" w:cs="Arial" w:eastAsia="Arial" w:hAnsi="Arial"/>
          <w:sz w:val="23"/>
          <w:szCs w:val="23"/>
          <w:b w:val="1"/>
          <w:bCs w:val="1"/>
          <w:color w:val="19AEAA"/>
        </w:rPr>
        <w:t>15% Performance-Based</w:t>
      </w:r>
    </w:p>
    <w:p>
      <w:pPr>
        <w:spacing w:after="0" w:line="200" w:lineRule="exact"/>
        <w:rPr>
          <w:sz w:val="20"/>
          <w:szCs w:val="20"/>
          <w:color w:val="auto"/>
        </w:rPr>
      </w:pPr>
    </w:p>
    <w:p>
      <w:pPr>
        <w:spacing w:after="0" w:line="31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1260" w:type="dxa"/>
            <w:vAlign w:val="bottom"/>
          </w:tcPr>
          <w:p>
            <w:pPr>
              <w:jc w:val="right"/>
              <w:ind w:right="390"/>
              <w:spacing w:after="0"/>
              <w:rPr>
                <w:sz w:val="20"/>
                <w:szCs w:val="20"/>
                <w:color w:val="auto"/>
              </w:rPr>
            </w:pPr>
            <w:r>
              <w:rPr>
                <w:rFonts w:ascii="Arial" w:cs="Arial" w:eastAsia="Arial" w:hAnsi="Arial"/>
                <w:sz w:val="14"/>
                <w:szCs w:val="14"/>
                <w:b w:val="1"/>
                <w:bCs w:val="1"/>
                <w:color w:val="FFFFFF"/>
                <w:w w:val="98"/>
              </w:rPr>
              <w:t>Base Salary</w:t>
            </w:r>
          </w:p>
        </w:tc>
        <w:tc>
          <w:tcPr>
            <w:tcW w:w="0" w:type="dxa"/>
            <w:vAlign w:val="bottom"/>
          </w:tcPr>
          <w:p>
            <w:pPr>
              <w:spacing w:after="0"/>
              <w:rPr>
                <w:sz w:val="1"/>
                <w:szCs w:val="1"/>
                <w:color w:val="auto"/>
              </w:rPr>
            </w:pPr>
          </w:p>
        </w:tc>
      </w:tr>
      <w:tr>
        <w:trPr>
          <w:trHeight w:val="184"/>
        </w:trPr>
        <w:tc>
          <w:tcPr>
            <w:tcW w:w="780" w:type="dxa"/>
            <w:vAlign w:val="bottom"/>
          </w:tcPr>
          <w:p>
            <w:pPr>
              <w:spacing w:after="0"/>
              <w:rPr>
                <w:sz w:val="16"/>
                <w:szCs w:val="16"/>
                <w:color w:val="auto"/>
              </w:rPr>
            </w:pPr>
          </w:p>
        </w:tc>
        <w:tc>
          <w:tcPr>
            <w:tcW w:w="1260" w:type="dxa"/>
            <w:vAlign w:val="bottom"/>
          </w:tcPr>
          <w:p>
            <w:pPr>
              <w:jc w:val="right"/>
              <w:ind w:right="650"/>
              <w:spacing w:after="0"/>
              <w:rPr>
                <w:sz w:val="20"/>
                <w:szCs w:val="20"/>
                <w:color w:val="auto"/>
              </w:rPr>
            </w:pPr>
            <w:r>
              <w:rPr>
                <w:rFonts w:ascii="Arial" w:cs="Arial" w:eastAsia="Arial" w:hAnsi="Arial"/>
                <w:sz w:val="14"/>
                <w:szCs w:val="14"/>
                <w:b w:val="1"/>
                <w:bCs w:val="1"/>
                <w:color w:val="FFFFFF"/>
              </w:rPr>
              <w:t>12%</w:t>
            </w:r>
          </w:p>
        </w:tc>
        <w:tc>
          <w:tcPr>
            <w:tcW w:w="0" w:type="dxa"/>
            <w:vAlign w:val="bottom"/>
          </w:tcPr>
          <w:p>
            <w:pPr>
              <w:spacing w:after="0"/>
              <w:rPr>
                <w:sz w:val="1"/>
                <w:szCs w:val="1"/>
                <w:color w:val="auto"/>
              </w:rPr>
            </w:pPr>
          </w:p>
        </w:tc>
      </w:tr>
      <w:tr>
        <w:trPr>
          <w:trHeight w:val="341"/>
        </w:trPr>
        <w:tc>
          <w:tcPr>
            <w:tcW w:w="780" w:type="dxa"/>
            <w:vAlign w:val="bottom"/>
          </w:tcPr>
          <w:p>
            <w:pPr>
              <w:ind w:left="20"/>
              <w:spacing w:after="0"/>
              <w:rPr>
                <w:sz w:val="20"/>
                <w:szCs w:val="20"/>
                <w:color w:val="auto"/>
              </w:rPr>
            </w:pPr>
            <w:r>
              <w:rPr>
                <w:rFonts w:ascii="Arial" w:cs="Arial" w:eastAsia="Arial" w:hAnsi="Arial"/>
                <w:sz w:val="14"/>
                <w:szCs w:val="14"/>
                <w:b w:val="1"/>
                <w:bCs w:val="1"/>
                <w:color w:val="FFFFFF"/>
              </w:rPr>
              <w:t>Restricted</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FFFFFF"/>
              </w:rPr>
              <w:t>Annual</w:t>
            </w:r>
          </w:p>
        </w:tc>
        <w:tc>
          <w:tcPr>
            <w:tcW w:w="0" w:type="dxa"/>
            <w:vAlign w:val="bottom"/>
          </w:tcPr>
          <w:p>
            <w:pPr>
              <w:spacing w:after="0"/>
              <w:rPr>
                <w:sz w:val="1"/>
                <w:szCs w:val="1"/>
                <w:color w:val="auto"/>
              </w:rPr>
            </w:pPr>
          </w:p>
        </w:tc>
      </w:tr>
      <w:tr>
        <w:trPr>
          <w:trHeight w:val="164"/>
        </w:trPr>
        <w:tc>
          <w:tcPr>
            <w:tcW w:w="780" w:type="dxa"/>
            <w:vAlign w:val="bottom"/>
          </w:tcPr>
          <w:p>
            <w:pPr>
              <w:spacing w:after="0"/>
              <w:rPr>
                <w:sz w:val="20"/>
                <w:szCs w:val="20"/>
                <w:color w:val="auto"/>
              </w:rPr>
            </w:pPr>
            <w:r>
              <w:rPr>
                <w:rFonts w:ascii="Arial" w:cs="Arial" w:eastAsia="Arial" w:hAnsi="Arial"/>
                <w:sz w:val="14"/>
                <w:szCs w:val="14"/>
                <w:b w:val="1"/>
                <w:bCs w:val="1"/>
                <w:color w:val="FFFFFF"/>
                <w:w w:val="98"/>
              </w:rPr>
              <w:t>Stock Units</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FFFFFF"/>
              </w:rPr>
              <w:t>Bonus</w:t>
            </w:r>
          </w:p>
        </w:tc>
        <w:tc>
          <w:tcPr>
            <w:tcW w:w="0" w:type="dxa"/>
            <w:vAlign w:val="bottom"/>
          </w:tcPr>
          <w:p>
            <w:pPr>
              <w:spacing w:after="0"/>
              <w:rPr>
                <w:sz w:val="1"/>
                <w:szCs w:val="1"/>
                <w:color w:val="auto"/>
              </w:rPr>
            </w:pPr>
          </w:p>
        </w:tc>
      </w:tr>
      <w:tr>
        <w:trPr>
          <w:trHeight w:val="182"/>
        </w:trPr>
        <w:tc>
          <w:tcPr>
            <w:tcW w:w="780" w:type="dxa"/>
            <w:vAlign w:val="bottom"/>
          </w:tcPr>
          <w:p>
            <w:pPr>
              <w:jc w:val="right"/>
              <w:ind w:right="190"/>
              <w:spacing w:after="0"/>
              <w:rPr>
                <w:sz w:val="20"/>
                <w:szCs w:val="20"/>
                <w:color w:val="auto"/>
              </w:rPr>
            </w:pPr>
            <w:r>
              <w:rPr>
                <w:rFonts w:ascii="Arial" w:cs="Arial" w:eastAsia="Arial" w:hAnsi="Arial"/>
                <w:sz w:val="14"/>
                <w:szCs w:val="14"/>
                <w:b w:val="1"/>
                <w:bCs w:val="1"/>
                <w:color w:val="FFFFFF"/>
              </w:rPr>
              <w:t>36%</w:t>
            </w: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FFFFFF"/>
              </w:rPr>
              <w:t>15%</w:t>
            </w:r>
          </w:p>
        </w:tc>
        <w:tc>
          <w:tcPr>
            <w:tcW w:w="0" w:type="dxa"/>
            <w:vAlign w:val="bottom"/>
          </w:tcPr>
          <w:p>
            <w:pPr>
              <w:spacing w:after="0"/>
              <w:rPr>
                <w:sz w:val="1"/>
                <w:szCs w:val="1"/>
                <w:color w:val="auto"/>
              </w:rPr>
            </w:pPr>
          </w:p>
        </w:tc>
      </w:tr>
      <w:tr>
        <w:trPr>
          <w:trHeight w:val="42"/>
        </w:trPr>
        <w:tc>
          <w:tcPr>
            <w:tcW w:w="780" w:type="dxa"/>
            <w:vAlign w:val="bottom"/>
          </w:tcPr>
          <w:p>
            <w:pPr>
              <w:spacing w:after="0"/>
              <w:rPr>
                <w:sz w:val="3"/>
                <w:szCs w:val="3"/>
                <w:color w:val="auto"/>
              </w:rPr>
            </w:pPr>
          </w:p>
        </w:tc>
        <w:tc>
          <w:tcPr>
            <w:tcW w:w="12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88"/>
        </w:trPr>
        <w:tc>
          <w:tcPr>
            <w:tcW w:w="780" w:type="dxa"/>
            <w:vAlign w:val="bottom"/>
          </w:tcPr>
          <w:p>
            <w:pPr>
              <w:spacing w:after="0"/>
              <w:rPr>
                <w:sz w:val="24"/>
                <w:szCs w:val="24"/>
                <w:color w:val="auto"/>
              </w:rPr>
            </w:pPr>
          </w:p>
        </w:tc>
        <w:tc>
          <w:tcPr>
            <w:tcW w:w="1260" w:type="dxa"/>
            <w:vAlign w:val="bottom"/>
          </w:tcPr>
          <w:p>
            <w:pPr>
              <w:jc w:val="center"/>
              <w:ind w:right="290"/>
              <w:spacing w:after="0"/>
              <w:rPr>
                <w:sz w:val="20"/>
                <w:szCs w:val="20"/>
                <w:color w:val="auto"/>
              </w:rPr>
            </w:pPr>
            <w:r>
              <w:rPr>
                <w:rFonts w:ascii="Arial" w:cs="Arial" w:eastAsia="Arial" w:hAnsi="Arial"/>
                <w:sz w:val="14"/>
                <w:szCs w:val="14"/>
                <w:b w:val="1"/>
                <w:bCs w:val="1"/>
                <w:color w:val="FFFFFF"/>
                <w:w w:val="99"/>
              </w:rPr>
              <w:t>Stock</w:t>
            </w:r>
          </w:p>
        </w:tc>
        <w:tc>
          <w:tcPr>
            <w:tcW w:w="0" w:type="dxa"/>
            <w:vAlign w:val="bottom"/>
          </w:tcPr>
          <w:p>
            <w:pPr>
              <w:spacing w:after="0"/>
              <w:rPr>
                <w:sz w:val="1"/>
                <w:szCs w:val="1"/>
                <w:color w:val="auto"/>
              </w:rPr>
            </w:pPr>
          </w:p>
        </w:tc>
      </w:tr>
      <w:tr>
        <w:trPr>
          <w:trHeight w:val="150"/>
        </w:trPr>
        <w:tc>
          <w:tcPr>
            <w:tcW w:w="780" w:type="dxa"/>
            <w:vAlign w:val="bottom"/>
          </w:tcPr>
          <w:p>
            <w:pPr>
              <w:spacing w:after="0"/>
              <w:rPr>
                <w:sz w:val="13"/>
                <w:szCs w:val="13"/>
                <w:color w:val="auto"/>
              </w:rPr>
            </w:pPr>
          </w:p>
        </w:tc>
        <w:tc>
          <w:tcPr>
            <w:tcW w:w="1260" w:type="dxa"/>
            <w:vAlign w:val="bottom"/>
          </w:tcPr>
          <w:p>
            <w:pPr>
              <w:jc w:val="center"/>
              <w:ind w:right="270"/>
              <w:spacing w:after="0" w:line="150" w:lineRule="exact"/>
              <w:rPr>
                <w:sz w:val="20"/>
                <w:szCs w:val="20"/>
                <w:color w:val="auto"/>
              </w:rPr>
            </w:pPr>
            <w:r>
              <w:rPr>
                <w:rFonts w:ascii="Arial" w:cs="Arial" w:eastAsia="Arial" w:hAnsi="Arial"/>
                <w:sz w:val="14"/>
                <w:szCs w:val="14"/>
                <w:b w:val="1"/>
                <w:bCs w:val="1"/>
                <w:color w:val="FFFFFF"/>
                <w:w w:val="98"/>
              </w:rPr>
              <w:t>Options</w:t>
            </w:r>
          </w:p>
        </w:tc>
        <w:tc>
          <w:tcPr>
            <w:tcW w:w="0" w:type="dxa"/>
            <w:vAlign w:val="bottom"/>
          </w:tcPr>
          <w:p>
            <w:pPr>
              <w:spacing w:after="0"/>
              <w:rPr>
                <w:sz w:val="1"/>
                <w:szCs w:val="1"/>
                <w:color w:val="auto"/>
              </w:rPr>
            </w:pPr>
          </w:p>
        </w:tc>
      </w:tr>
      <w:tr>
        <w:trPr>
          <w:trHeight w:val="184"/>
        </w:trPr>
        <w:tc>
          <w:tcPr>
            <w:tcW w:w="780" w:type="dxa"/>
            <w:vAlign w:val="bottom"/>
          </w:tcPr>
          <w:p>
            <w:pPr>
              <w:spacing w:after="0"/>
              <w:rPr>
                <w:sz w:val="16"/>
                <w:szCs w:val="16"/>
                <w:color w:val="auto"/>
              </w:rPr>
            </w:pPr>
          </w:p>
        </w:tc>
        <w:tc>
          <w:tcPr>
            <w:tcW w:w="1260" w:type="dxa"/>
            <w:vAlign w:val="bottom"/>
          </w:tcPr>
          <w:p>
            <w:pPr>
              <w:jc w:val="center"/>
              <w:ind w:right="230"/>
              <w:spacing w:after="0"/>
              <w:rPr>
                <w:sz w:val="20"/>
                <w:szCs w:val="20"/>
                <w:color w:val="auto"/>
              </w:rPr>
            </w:pPr>
            <w:r>
              <w:rPr>
                <w:rFonts w:ascii="Arial" w:cs="Arial" w:eastAsia="Arial" w:hAnsi="Arial"/>
                <w:sz w:val="14"/>
                <w:szCs w:val="14"/>
                <w:b w:val="1"/>
                <w:bCs w:val="1"/>
                <w:color w:val="FFFFFF"/>
                <w:w w:val="99"/>
              </w:rPr>
              <w:t>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013064"/>
        </w:rPr>
        <w:t>2018: 89% At-Risk</w:t>
      </w:r>
    </w:p>
    <w:p>
      <w:pPr>
        <w:spacing w:after="0" w:line="46" w:lineRule="exact"/>
        <w:rPr>
          <w:sz w:val="20"/>
          <w:szCs w:val="20"/>
          <w:color w:val="auto"/>
        </w:rPr>
      </w:pPr>
    </w:p>
    <w:p>
      <w:pPr>
        <w:jc w:val="center"/>
        <w:ind w:right="20"/>
        <w:spacing w:after="0"/>
        <w:rPr>
          <w:sz w:val="20"/>
          <w:szCs w:val="20"/>
          <w:color w:val="auto"/>
        </w:rPr>
      </w:pPr>
      <w:r>
        <w:rPr>
          <w:rFonts w:ascii="Arial" w:cs="Arial" w:eastAsia="Arial" w:hAnsi="Arial"/>
          <w:sz w:val="23"/>
          <w:szCs w:val="23"/>
          <w:b w:val="1"/>
          <w:bCs w:val="1"/>
          <w:color w:val="19AEAA"/>
        </w:rPr>
        <w:t>56% Performance-Based</w:t>
      </w:r>
    </w:p>
    <w:p>
      <w:pPr>
        <w:spacing w:after="0" w:line="200" w:lineRule="exact"/>
        <w:rPr>
          <w:sz w:val="20"/>
          <w:szCs w:val="20"/>
          <w:color w:val="auto"/>
        </w:rPr>
      </w:pPr>
    </w:p>
    <w:p>
      <w:pPr>
        <w:spacing w:after="0" w:line="322" w:lineRule="exact"/>
        <w:rPr>
          <w:sz w:val="20"/>
          <w:szCs w:val="20"/>
          <w:color w:val="auto"/>
        </w:rPr>
      </w:pPr>
    </w:p>
    <w:tbl>
      <w:tblPr>
        <w:tblLayout w:type="fixed"/>
        <w:tblInd w:w="140" w:type="dxa"/>
        <w:tblCellMar>
          <w:top w:w="0" w:type="dxa"/>
          <w:left w:w="0" w:type="dxa"/>
          <w:bottom w:w="0" w:type="dxa"/>
          <w:right w:w="0" w:type="dxa"/>
        </w:tblCellMar>
      </w:tblPr>
      <w:tr>
        <w:trPr>
          <w:trHeight w:val="150"/>
        </w:trPr>
        <w:tc>
          <w:tcPr>
            <w:tcW w:w="800" w:type="dxa"/>
            <w:vAlign w:val="bottom"/>
          </w:tcPr>
          <w:p>
            <w:pPr>
              <w:spacing w:after="0"/>
              <w:rPr>
                <w:sz w:val="13"/>
                <w:szCs w:val="13"/>
                <w:color w:val="auto"/>
              </w:rPr>
            </w:pPr>
          </w:p>
        </w:tc>
        <w:tc>
          <w:tcPr>
            <w:tcW w:w="1180" w:type="dxa"/>
            <w:vAlign w:val="bottom"/>
          </w:tcPr>
          <w:p>
            <w:pPr>
              <w:jc w:val="center"/>
              <w:ind w:right="216"/>
              <w:spacing w:after="0"/>
              <w:rPr>
                <w:sz w:val="20"/>
                <w:szCs w:val="20"/>
                <w:color w:val="auto"/>
              </w:rPr>
            </w:pPr>
            <w:r>
              <w:rPr>
                <w:rFonts w:ascii="Arial" w:cs="Arial" w:eastAsia="Arial" w:hAnsi="Arial"/>
                <w:sz w:val="13"/>
                <w:szCs w:val="13"/>
                <w:b w:val="1"/>
                <w:bCs w:val="1"/>
                <w:color w:val="FFFFFF"/>
              </w:rPr>
              <w:t>Base Salary</w:t>
            </w:r>
          </w:p>
        </w:tc>
        <w:tc>
          <w:tcPr>
            <w:tcW w:w="0" w:type="dxa"/>
            <w:vAlign w:val="bottom"/>
          </w:tcPr>
          <w:p>
            <w:pPr>
              <w:spacing w:after="0"/>
              <w:rPr>
                <w:sz w:val="1"/>
                <w:szCs w:val="1"/>
                <w:color w:val="auto"/>
              </w:rPr>
            </w:pPr>
          </w:p>
        </w:tc>
      </w:tr>
      <w:tr>
        <w:trPr>
          <w:trHeight w:val="170"/>
        </w:trPr>
        <w:tc>
          <w:tcPr>
            <w:tcW w:w="800" w:type="dxa"/>
            <w:vAlign w:val="bottom"/>
          </w:tcPr>
          <w:p>
            <w:pPr>
              <w:spacing w:after="0"/>
              <w:rPr>
                <w:sz w:val="14"/>
                <w:szCs w:val="14"/>
                <w:color w:val="auto"/>
              </w:rPr>
            </w:pPr>
          </w:p>
        </w:tc>
        <w:tc>
          <w:tcPr>
            <w:tcW w:w="1180" w:type="dxa"/>
            <w:vAlign w:val="bottom"/>
          </w:tcPr>
          <w:p>
            <w:pPr>
              <w:jc w:val="right"/>
              <w:ind w:right="536"/>
              <w:spacing w:after="0"/>
              <w:rPr>
                <w:sz w:val="20"/>
                <w:szCs w:val="20"/>
                <w:color w:val="auto"/>
              </w:rPr>
            </w:pPr>
            <w:r>
              <w:rPr>
                <w:rFonts w:ascii="Arial" w:cs="Arial" w:eastAsia="Arial" w:hAnsi="Arial"/>
                <w:sz w:val="13"/>
                <w:szCs w:val="13"/>
                <w:b w:val="1"/>
                <w:bCs w:val="1"/>
                <w:color w:val="FFFFFF"/>
              </w:rPr>
              <w:t>11%</w:t>
            </w:r>
          </w:p>
        </w:tc>
        <w:tc>
          <w:tcPr>
            <w:tcW w:w="0" w:type="dxa"/>
            <w:vAlign w:val="bottom"/>
          </w:tcPr>
          <w:p>
            <w:pPr>
              <w:spacing w:after="0"/>
              <w:rPr>
                <w:sz w:val="1"/>
                <w:szCs w:val="1"/>
                <w:color w:val="auto"/>
              </w:rPr>
            </w:pPr>
          </w:p>
        </w:tc>
      </w:tr>
      <w:tr>
        <w:trPr>
          <w:trHeight w:val="216"/>
        </w:trPr>
        <w:tc>
          <w:tcPr>
            <w:tcW w:w="800" w:type="dxa"/>
            <w:vAlign w:val="bottom"/>
            <w:vMerge w:val="restart"/>
          </w:tcPr>
          <w:p>
            <w:pPr>
              <w:jc w:val="center"/>
              <w:ind w:right="56"/>
              <w:spacing w:after="0"/>
              <w:rPr>
                <w:sz w:val="20"/>
                <w:szCs w:val="20"/>
                <w:color w:val="auto"/>
              </w:rPr>
            </w:pPr>
            <w:r>
              <w:rPr>
                <w:rFonts w:ascii="Arial" w:cs="Arial" w:eastAsia="Arial" w:hAnsi="Arial"/>
                <w:sz w:val="13"/>
                <w:szCs w:val="13"/>
                <w:b w:val="1"/>
                <w:bCs w:val="1"/>
                <w:color w:val="FFFFFF"/>
              </w:rPr>
              <w:t>Restricted</w:t>
            </w:r>
          </w:p>
        </w:tc>
        <w:tc>
          <w:tcPr>
            <w:tcW w:w="1180" w:type="dxa"/>
            <w:vAlign w:val="bottom"/>
          </w:tcPr>
          <w:p>
            <w:pPr>
              <w:jc w:val="center"/>
              <w:ind w:left="676"/>
              <w:spacing w:after="0"/>
              <w:rPr>
                <w:sz w:val="20"/>
                <w:szCs w:val="20"/>
                <w:color w:val="auto"/>
              </w:rPr>
            </w:pPr>
            <w:r>
              <w:rPr>
                <w:rFonts w:ascii="Arial" w:cs="Arial" w:eastAsia="Arial" w:hAnsi="Arial"/>
                <w:sz w:val="13"/>
                <w:szCs w:val="13"/>
                <w:b w:val="1"/>
                <w:bCs w:val="1"/>
                <w:color w:val="FFFFFF"/>
                <w:w w:val="99"/>
              </w:rPr>
              <w:t>Annual</w:t>
            </w:r>
          </w:p>
        </w:tc>
        <w:tc>
          <w:tcPr>
            <w:tcW w:w="0" w:type="dxa"/>
            <w:vAlign w:val="bottom"/>
          </w:tcPr>
          <w:p>
            <w:pPr>
              <w:spacing w:after="0"/>
              <w:rPr>
                <w:sz w:val="1"/>
                <w:szCs w:val="1"/>
                <w:color w:val="auto"/>
              </w:rPr>
            </w:pPr>
          </w:p>
        </w:tc>
      </w:tr>
      <w:tr>
        <w:trPr>
          <w:trHeight w:val="54"/>
        </w:trPr>
        <w:tc>
          <w:tcPr>
            <w:tcW w:w="800" w:type="dxa"/>
            <w:vAlign w:val="bottom"/>
            <w:vMerge w:val="continue"/>
          </w:tcPr>
          <w:p>
            <w:pPr>
              <w:spacing w:after="0"/>
              <w:rPr>
                <w:sz w:val="4"/>
                <w:szCs w:val="4"/>
                <w:color w:val="auto"/>
              </w:rPr>
            </w:pPr>
          </w:p>
        </w:tc>
        <w:tc>
          <w:tcPr>
            <w:tcW w:w="1180" w:type="dxa"/>
            <w:vAlign w:val="bottom"/>
            <w:vMerge w:val="restart"/>
          </w:tcPr>
          <w:p>
            <w:pPr>
              <w:jc w:val="center"/>
              <w:ind w:left="636"/>
              <w:spacing w:after="0"/>
              <w:rPr>
                <w:sz w:val="20"/>
                <w:szCs w:val="20"/>
                <w:color w:val="auto"/>
              </w:rPr>
            </w:pPr>
            <w:r>
              <w:rPr>
                <w:rFonts w:ascii="Arial" w:cs="Arial" w:eastAsia="Arial" w:hAnsi="Arial"/>
                <w:sz w:val="13"/>
                <w:szCs w:val="13"/>
                <w:b w:val="1"/>
                <w:bCs w:val="1"/>
                <w:color w:val="FFFFFF"/>
                <w:w w:val="98"/>
              </w:rPr>
              <w:t>Bonus</w:t>
            </w:r>
          </w:p>
        </w:tc>
        <w:tc>
          <w:tcPr>
            <w:tcW w:w="0" w:type="dxa"/>
            <w:vAlign w:val="bottom"/>
          </w:tcPr>
          <w:p>
            <w:pPr>
              <w:spacing w:after="0"/>
              <w:rPr>
                <w:sz w:val="1"/>
                <w:szCs w:val="1"/>
                <w:color w:val="auto"/>
              </w:rPr>
            </w:pPr>
          </w:p>
        </w:tc>
      </w:tr>
      <w:tr>
        <w:trPr>
          <w:trHeight w:val="117"/>
        </w:trPr>
        <w:tc>
          <w:tcPr>
            <w:tcW w:w="800" w:type="dxa"/>
            <w:vAlign w:val="bottom"/>
            <w:vMerge w:val="restart"/>
          </w:tcPr>
          <w:p>
            <w:pPr>
              <w:jc w:val="center"/>
              <w:ind w:right="16"/>
              <w:spacing w:after="0"/>
              <w:rPr>
                <w:sz w:val="20"/>
                <w:szCs w:val="20"/>
                <w:color w:val="auto"/>
              </w:rPr>
            </w:pPr>
            <w:r>
              <w:rPr>
                <w:rFonts w:ascii="Arial" w:cs="Arial" w:eastAsia="Arial" w:hAnsi="Arial"/>
                <w:sz w:val="13"/>
                <w:szCs w:val="13"/>
                <w:b w:val="1"/>
                <w:bCs w:val="1"/>
                <w:color w:val="FFFFFF"/>
              </w:rPr>
              <w:t>Stock Units</w:t>
            </w: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800" w:type="dxa"/>
            <w:vAlign w:val="bottom"/>
            <w:vMerge w:val="continue"/>
          </w:tcPr>
          <w:p>
            <w:pPr>
              <w:spacing w:after="0"/>
              <w:rPr>
                <w:sz w:val="2"/>
                <w:szCs w:val="2"/>
                <w:color w:val="auto"/>
              </w:rPr>
            </w:pPr>
          </w:p>
        </w:tc>
        <w:tc>
          <w:tcPr>
            <w:tcW w:w="1180" w:type="dxa"/>
            <w:vAlign w:val="bottom"/>
            <w:vMerge w:val="restart"/>
          </w:tcPr>
          <w:p>
            <w:pPr>
              <w:jc w:val="center"/>
              <w:ind w:left="696"/>
              <w:spacing w:after="0"/>
              <w:rPr>
                <w:sz w:val="20"/>
                <w:szCs w:val="20"/>
                <w:color w:val="auto"/>
              </w:rPr>
            </w:pPr>
            <w:r>
              <w:rPr>
                <w:rFonts w:ascii="Arial" w:cs="Arial" w:eastAsia="Arial" w:hAnsi="Arial"/>
                <w:sz w:val="13"/>
                <w:szCs w:val="13"/>
                <w:b w:val="1"/>
                <w:bCs w:val="1"/>
                <w:color w:val="FFFFFF"/>
                <w:w w:val="99"/>
              </w:rPr>
              <w:t>13%</w:t>
            </w:r>
          </w:p>
        </w:tc>
        <w:tc>
          <w:tcPr>
            <w:tcW w:w="0" w:type="dxa"/>
            <w:vAlign w:val="bottom"/>
          </w:tcPr>
          <w:p>
            <w:pPr>
              <w:spacing w:after="0" w:line="20" w:lineRule="exact"/>
              <w:rPr>
                <w:sz w:val="1"/>
                <w:szCs w:val="1"/>
                <w:color w:val="auto"/>
              </w:rPr>
            </w:pPr>
          </w:p>
        </w:tc>
      </w:tr>
      <w:tr>
        <w:trPr>
          <w:trHeight w:val="170"/>
        </w:trPr>
        <w:tc>
          <w:tcPr>
            <w:tcW w:w="800" w:type="dxa"/>
            <w:vAlign w:val="bottom"/>
          </w:tcPr>
          <w:p>
            <w:pPr>
              <w:jc w:val="center"/>
              <w:ind w:right="36"/>
              <w:spacing w:after="0"/>
              <w:rPr>
                <w:sz w:val="20"/>
                <w:szCs w:val="20"/>
                <w:color w:val="auto"/>
              </w:rPr>
            </w:pPr>
            <w:r>
              <w:rPr>
                <w:rFonts w:ascii="Arial" w:cs="Arial" w:eastAsia="Arial" w:hAnsi="Arial"/>
                <w:sz w:val="13"/>
                <w:szCs w:val="13"/>
                <w:b w:val="1"/>
                <w:bCs w:val="1"/>
                <w:color w:val="FFFFFF"/>
                <w:w w:val="99"/>
              </w:rPr>
              <w:t>33%</w:t>
            </w: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ind w:left="920"/>
        <w:spacing w:after="0"/>
        <w:rPr>
          <w:sz w:val="20"/>
          <w:szCs w:val="20"/>
          <w:color w:val="auto"/>
        </w:rPr>
      </w:pPr>
      <w:r>
        <w:rPr>
          <w:rFonts w:ascii="Arial" w:cs="Arial" w:eastAsia="Arial" w:hAnsi="Arial"/>
          <w:sz w:val="13"/>
          <w:szCs w:val="13"/>
          <w:b w:val="1"/>
          <w:bCs w:val="1"/>
          <w:color w:val="FFFFFF"/>
        </w:rPr>
        <w:t>Performance</w:t>
      </w:r>
    </w:p>
    <w:p>
      <w:pPr>
        <w:spacing w:after="0" w:line="17" w:lineRule="exact"/>
        <w:rPr>
          <w:sz w:val="20"/>
          <w:szCs w:val="20"/>
          <w:color w:val="auto"/>
        </w:rPr>
      </w:pPr>
    </w:p>
    <w:p>
      <w:pPr>
        <w:ind w:left="1160"/>
        <w:spacing w:after="0"/>
        <w:rPr>
          <w:sz w:val="20"/>
          <w:szCs w:val="20"/>
          <w:color w:val="auto"/>
        </w:rPr>
      </w:pPr>
      <w:r>
        <w:rPr>
          <w:rFonts w:ascii="Arial" w:cs="Arial" w:eastAsia="Arial" w:hAnsi="Arial"/>
          <w:sz w:val="13"/>
          <w:szCs w:val="13"/>
          <w:b w:val="1"/>
          <w:bCs w:val="1"/>
          <w:color w:val="FFFFFF"/>
        </w:rPr>
        <w:t>Stock</w:t>
      </w:r>
    </w:p>
    <w:p>
      <w:pPr>
        <w:jc w:val="center"/>
        <w:ind w:right="140"/>
        <w:spacing w:after="0"/>
        <w:rPr>
          <w:sz w:val="20"/>
          <w:szCs w:val="20"/>
          <w:color w:val="auto"/>
        </w:rPr>
      </w:pPr>
      <w:r>
        <w:rPr>
          <w:rFonts w:ascii="Arial" w:cs="Arial" w:eastAsia="Arial" w:hAnsi="Arial"/>
          <w:sz w:val="13"/>
          <w:szCs w:val="13"/>
          <w:b w:val="1"/>
          <w:bCs w:val="1"/>
          <w:color w:val="FFFFFF"/>
        </w:rPr>
        <w:t>Options</w:t>
      </w:r>
    </w:p>
    <w:p>
      <w:pPr>
        <w:spacing w:after="0" w:line="1" w:lineRule="exact"/>
        <w:rPr>
          <w:sz w:val="20"/>
          <w:szCs w:val="20"/>
          <w:color w:val="auto"/>
        </w:rPr>
      </w:pPr>
    </w:p>
    <w:p>
      <w:pPr>
        <w:jc w:val="center"/>
        <w:ind w:right="140"/>
        <w:spacing w:after="0"/>
        <w:rPr>
          <w:sz w:val="20"/>
          <w:szCs w:val="20"/>
          <w:color w:val="auto"/>
        </w:rPr>
      </w:pPr>
      <w:r>
        <w:rPr>
          <w:rFonts w:ascii="Arial" w:cs="Arial" w:eastAsia="Arial" w:hAnsi="Arial"/>
          <w:sz w:val="13"/>
          <w:szCs w:val="13"/>
          <w:b w:val="1"/>
          <w:bCs w:val="1"/>
          <w:color w:val="FFFFFF"/>
        </w:rPr>
        <w:t>43%</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jc w:val="center"/>
        <w:ind w:right="300"/>
        <w:spacing w:after="0"/>
        <w:rPr>
          <w:sz w:val="20"/>
          <w:szCs w:val="20"/>
          <w:color w:val="auto"/>
        </w:rPr>
      </w:pPr>
      <w:r>
        <w:rPr>
          <w:rFonts w:ascii="Arial" w:cs="Arial" w:eastAsia="Arial" w:hAnsi="Arial"/>
          <w:sz w:val="24"/>
          <w:szCs w:val="24"/>
          <w:b w:val="1"/>
          <w:bCs w:val="1"/>
          <w:color w:val="013064"/>
        </w:rPr>
        <w:t>2019: 89% At-Risk</w:t>
      </w:r>
    </w:p>
    <w:p>
      <w:pPr>
        <w:spacing w:after="0" w:line="46" w:lineRule="exact"/>
        <w:rPr>
          <w:sz w:val="20"/>
          <w:szCs w:val="20"/>
          <w:color w:val="auto"/>
        </w:rPr>
      </w:pPr>
    </w:p>
    <w:p>
      <w:pPr>
        <w:spacing w:after="0"/>
        <w:rPr>
          <w:sz w:val="20"/>
          <w:szCs w:val="20"/>
          <w:color w:val="auto"/>
        </w:rPr>
      </w:pPr>
      <w:r>
        <w:rPr>
          <w:rFonts w:ascii="Arial" w:cs="Arial" w:eastAsia="Arial" w:hAnsi="Arial"/>
          <w:sz w:val="23"/>
          <w:szCs w:val="23"/>
          <w:b w:val="1"/>
          <w:bCs w:val="1"/>
          <w:color w:val="19AEAA"/>
        </w:rPr>
        <w:t>58% Performance-Based</w:t>
      </w:r>
    </w:p>
    <w:p>
      <w:pPr>
        <w:spacing w:after="0" w:line="200" w:lineRule="exact"/>
        <w:rPr>
          <w:sz w:val="20"/>
          <w:szCs w:val="20"/>
          <w:color w:val="auto"/>
        </w:rPr>
      </w:pP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color w:val="FFFFFF"/>
        </w:rPr>
        <w:t>Base Salary</w:t>
      </w:r>
    </w:p>
    <w:p>
      <w:pPr>
        <w:spacing w:after="0" w:line="17"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FFFFFF"/>
        </w:rPr>
        <w:t>11%</w:t>
      </w:r>
    </w:p>
    <w:p>
      <w:pPr>
        <w:spacing w:after="0" w:line="15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440" w:type="dxa"/>
            <w:vAlign w:val="bottom"/>
          </w:tcPr>
          <w:p>
            <w:pPr>
              <w:jc w:val="center"/>
              <w:ind w:right="696"/>
              <w:spacing w:after="0"/>
              <w:rPr>
                <w:sz w:val="20"/>
                <w:szCs w:val="20"/>
                <w:color w:val="auto"/>
              </w:rPr>
            </w:pPr>
            <w:r>
              <w:rPr>
                <w:rFonts w:ascii="Arial" w:cs="Arial" w:eastAsia="Arial" w:hAnsi="Arial"/>
                <w:sz w:val="13"/>
                <w:szCs w:val="13"/>
                <w:b w:val="1"/>
                <w:bCs w:val="1"/>
                <w:color w:val="FFFFFF"/>
              </w:rPr>
              <w:t>Restricted</w:t>
            </w:r>
          </w:p>
        </w:tc>
        <w:tc>
          <w:tcPr>
            <w:tcW w:w="440" w:type="dxa"/>
            <w:vAlign w:val="bottom"/>
            <w:vMerge w:val="restart"/>
          </w:tcPr>
          <w:p>
            <w:pPr>
              <w:spacing w:after="0"/>
              <w:rPr>
                <w:sz w:val="20"/>
                <w:szCs w:val="20"/>
                <w:color w:val="auto"/>
              </w:rPr>
            </w:pPr>
            <w:r>
              <w:rPr>
                <w:rFonts w:ascii="Arial" w:cs="Arial" w:eastAsia="Arial" w:hAnsi="Arial"/>
                <w:sz w:val="13"/>
                <w:szCs w:val="13"/>
                <w:b w:val="1"/>
                <w:bCs w:val="1"/>
                <w:color w:val="FFFFFF"/>
                <w:w w:val="95"/>
              </w:rPr>
              <w:t>Annual</w:t>
            </w:r>
          </w:p>
        </w:tc>
        <w:tc>
          <w:tcPr>
            <w:tcW w:w="0" w:type="dxa"/>
            <w:vAlign w:val="bottom"/>
          </w:tcPr>
          <w:p>
            <w:pPr>
              <w:spacing w:after="0"/>
              <w:rPr>
                <w:sz w:val="1"/>
                <w:szCs w:val="1"/>
                <w:color w:val="auto"/>
              </w:rPr>
            </w:pPr>
          </w:p>
        </w:tc>
      </w:tr>
      <w:tr>
        <w:trPr>
          <w:trHeight w:val="97"/>
        </w:trPr>
        <w:tc>
          <w:tcPr>
            <w:tcW w:w="1440" w:type="dxa"/>
            <w:vAlign w:val="bottom"/>
            <w:vMerge w:val="restart"/>
          </w:tcPr>
          <w:p>
            <w:pPr>
              <w:jc w:val="center"/>
              <w:ind w:right="676"/>
              <w:spacing w:after="0" w:line="139" w:lineRule="exact"/>
              <w:rPr>
                <w:sz w:val="20"/>
                <w:szCs w:val="20"/>
                <w:color w:val="auto"/>
              </w:rPr>
            </w:pPr>
            <w:r>
              <w:rPr>
                <w:rFonts w:ascii="Arial" w:cs="Arial" w:eastAsia="Arial" w:hAnsi="Arial"/>
                <w:sz w:val="13"/>
                <w:szCs w:val="13"/>
                <w:b w:val="1"/>
                <w:bCs w:val="1"/>
                <w:color w:val="FFFFFF"/>
                <w:w w:val="97"/>
              </w:rPr>
              <w:t>Stock Units</w:t>
            </w: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1440" w:type="dxa"/>
            <w:vAlign w:val="bottom"/>
            <w:vMerge w:val="continue"/>
          </w:tcPr>
          <w:p>
            <w:pPr>
              <w:spacing w:after="0"/>
              <w:rPr>
                <w:sz w:val="3"/>
                <w:szCs w:val="3"/>
                <w:color w:val="auto"/>
              </w:rPr>
            </w:pPr>
          </w:p>
        </w:tc>
        <w:tc>
          <w:tcPr>
            <w:tcW w:w="440" w:type="dxa"/>
            <w:vAlign w:val="bottom"/>
            <w:vMerge w:val="restart"/>
          </w:tcPr>
          <w:p>
            <w:pPr>
              <w:spacing w:after="0"/>
              <w:rPr>
                <w:sz w:val="20"/>
                <w:szCs w:val="20"/>
                <w:color w:val="auto"/>
              </w:rPr>
            </w:pPr>
            <w:r>
              <w:rPr>
                <w:rFonts w:ascii="Arial" w:cs="Arial" w:eastAsia="Arial" w:hAnsi="Arial"/>
                <w:sz w:val="13"/>
                <w:szCs w:val="13"/>
                <w:b w:val="1"/>
                <w:bCs w:val="1"/>
                <w:color w:val="FFFFFF"/>
              </w:rPr>
              <w:t>Bonus</w:t>
            </w:r>
          </w:p>
        </w:tc>
        <w:tc>
          <w:tcPr>
            <w:tcW w:w="0" w:type="dxa"/>
            <w:vAlign w:val="bottom"/>
          </w:tcPr>
          <w:p>
            <w:pPr>
              <w:spacing w:after="0"/>
              <w:rPr>
                <w:sz w:val="1"/>
                <w:szCs w:val="1"/>
                <w:color w:val="auto"/>
              </w:rPr>
            </w:pPr>
          </w:p>
        </w:tc>
      </w:tr>
      <w:tr>
        <w:trPr>
          <w:trHeight w:val="128"/>
        </w:trPr>
        <w:tc>
          <w:tcPr>
            <w:tcW w:w="1440" w:type="dxa"/>
            <w:vAlign w:val="bottom"/>
            <w:vMerge w:val="restart"/>
          </w:tcPr>
          <w:p>
            <w:pPr>
              <w:jc w:val="center"/>
              <w:ind w:right="676"/>
              <w:spacing w:after="0"/>
              <w:rPr>
                <w:sz w:val="20"/>
                <w:szCs w:val="20"/>
                <w:color w:val="auto"/>
              </w:rPr>
            </w:pPr>
            <w:r>
              <w:rPr>
                <w:rFonts w:ascii="Arial" w:cs="Arial" w:eastAsia="Arial" w:hAnsi="Arial"/>
                <w:sz w:val="13"/>
                <w:szCs w:val="13"/>
                <w:b w:val="1"/>
                <w:bCs w:val="1"/>
                <w:color w:val="FFFFFF"/>
                <w:w w:val="99"/>
              </w:rPr>
              <w:t>30%</w:t>
            </w:r>
          </w:p>
        </w:tc>
        <w:tc>
          <w:tcPr>
            <w:tcW w:w="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3"/>
        </w:trPr>
        <w:tc>
          <w:tcPr>
            <w:tcW w:w="1440" w:type="dxa"/>
            <w:vAlign w:val="bottom"/>
            <w:vMerge w:val="continue"/>
          </w:tcPr>
          <w:p>
            <w:pPr>
              <w:spacing w:after="0"/>
              <w:rPr>
                <w:sz w:val="3"/>
                <w:szCs w:val="3"/>
                <w:color w:val="auto"/>
              </w:rPr>
            </w:pPr>
          </w:p>
        </w:tc>
        <w:tc>
          <w:tcPr>
            <w:tcW w:w="440" w:type="dxa"/>
            <w:vAlign w:val="bottom"/>
            <w:vMerge w:val="restart"/>
          </w:tcPr>
          <w:p>
            <w:pPr>
              <w:jc w:val="right"/>
              <w:spacing w:after="0"/>
              <w:rPr>
                <w:sz w:val="20"/>
                <w:szCs w:val="20"/>
                <w:color w:val="auto"/>
              </w:rPr>
            </w:pPr>
            <w:r>
              <w:rPr>
                <w:rFonts w:ascii="Arial" w:cs="Arial" w:eastAsia="Arial" w:hAnsi="Arial"/>
                <w:sz w:val="13"/>
                <w:szCs w:val="13"/>
                <w:b w:val="1"/>
                <w:bCs w:val="1"/>
                <w:color w:val="FFFFFF"/>
              </w:rPr>
              <w:t>16%</w:t>
            </w:r>
          </w:p>
        </w:tc>
        <w:tc>
          <w:tcPr>
            <w:tcW w:w="0" w:type="dxa"/>
            <w:vAlign w:val="bottom"/>
          </w:tcPr>
          <w:p>
            <w:pPr>
              <w:spacing w:after="0"/>
              <w:rPr>
                <w:sz w:val="1"/>
                <w:szCs w:val="1"/>
                <w:color w:val="auto"/>
              </w:rPr>
            </w:pPr>
          </w:p>
        </w:tc>
      </w:tr>
      <w:tr>
        <w:trPr>
          <w:trHeight w:val="129"/>
        </w:trPr>
        <w:tc>
          <w:tcPr>
            <w:tcW w:w="144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16"/>
        </w:trPr>
        <w:tc>
          <w:tcPr>
            <w:tcW w:w="1440" w:type="dxa"/>
            <w:vAlign w:val="bottom"/>
          </w:tcPr>
          <w:p>
            <w:pPr>
              <w:jc w:val="center"/>
              <w:ind w:left="596"/>
              <w:spacing w:after="0"/>
              <w:rPr>
                <w:sz w:val="20"/>
                <w:szCs w:val="20"/>
                <w:color w:val="auto"/>
              </w:rPr>
            </w:pPr>
            <w:r>
              <w:rPr>
                <w:rFonts w:ascii="Arial" w:cs="Arial" w:eastAsia="Arial" w:hAnsi="Arial"/>
                <w:sz w:val="13"/>
                <w:szCs w:val="13"/>
                <w:b w:val="1"/>
                <w:bCs w:val="1"/>
                <w:color w:val="FFFFFF"/>
                <w:w w:val="98"/>
              </w:rPr>
              <w:t>Performance</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1440" w:type="dxa"/>
            <w:vAlign w:val="bottom"/>
          </w:tcPr>
          <w:p>
            <w:pPr>
              <w:jc w:val="center"/>
              <w:ind w:left="556"/>
              <w:spacing w:after="0" w:line="139" w:lineRule="exact"/>
              <w:rPr>
                <w:sz w:val="20"/>
                <w:szCs w:val="20"/>
                <w:color w:val="auto"/>
              </w:rPr>
            </w:pPr>
            <w:r>
              <w:rPr>
                <w:rFonts w:ascii="Arial" w:cs="Arial" w:eastAsia="Arial" w:hAnsi="Arial"/>
                <w:sz w:val="13"/>
                <w:szCs w:val="13"/>
                <w:b w:val="1"/>
                <w:bCs w:val="1"/>
                <w:color w:val="FFFFFF"/>
                <w:w w:val="95"/>
              </w:rPr>
              <w:t>Stock</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440" w:type="dxa"/>
            <w:vAlign w:val="bottom"/>
          </w:tcPr>
          <w:p>
            <w:pPr>
              <w:jc w:val="center"/>
              <w:ind w:left="576"/>
              <w:spacing w:after="0" w:line="139" w:lineRule="exact"/>
              <w:rPr>
                <w:sz w:val="20"/>
                <w:szCs w:val="20"/>
                <w:color w:val="auto"/>
              </w:rPr>
            </w:pPr>
            <w:r>
              <w:rPr>
                <w:rFonts w:ascii="Arial" w:cs="Arial" w:eastAsia="Arial" w:hAnsi="Arial"/>
                <w:sz w:val="13"/>
                <w:szCs w:val="13"/>
                <w:b w:val="1"/>
                <w:bCs w:val="1"/>
                <w:color w:val="FFFFFF"/>
                <w:w w:val="97"/>
              </w:rPr>
              <w:t>Options</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440" w:type="dxa"/>
            <w:vAlign w:val="bottom"/>
          </w:tcPr>
          <w:p>
            <w:pPr>
              <w:jc w:val="center"/>
              <w:ind w:left="576"/>
              <w:spacing w:after="0"/>
              <w:rPr>
                <w:sz w:val="20"/>
                <w:szCs w:val="20"/>
                <w:color w:val="auto"/>
              </w:rPr>
            </w:pPr>
            <w:r>
              <w:rPr>
                <w:rFonts w:ascii="Arial" w:cs="Arial" w:eastAsia="Arial" w:hAnsi="Arial"/>
                <w:sz w:val="13"/>
                <w:szCs w:val="13"/>
                <w:b w:val="1"/>
                <w:bCs w:val="1"/>
                <w:color w:val="FFFFFF"/>
                <w:w w:val="92"/>
              </w:rPr>
              <w:t>43%</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sectPr>
          <w:pgSz w:w="11900" w:h="16838" w:orient="portrait"/>
          <w:cols w:equalWidth="0" w:num="3">
            <w:col w:w="2800" w:space="720"/>
            <w:col w:w="2800" w:space="720"/>
            <w:col w:w="3080"/>
          </w:cols>
          <w:pgMar w:left="940" w:top="1098" w:right="839" w:bottom="1440" w:gutter="0" w:footer="0" w:header="0"/>
          <w:type w:val="continuous"/>
        </w:sectPr>
      </w:pPr>
    </w:p>
    <w:p>
      <w:pPr>
        <w:spacing w:after="0" w:line="200" w:lineRule="exact"/>
        <w:rPr>
          <w:sz w:val="20"/>
          <w:szCs w:val="20"/>
          <w:color w:val="auto"/>
        </w:rPr>
      </w:pPr>
    </w:p>
    <w:p>
      <w:pPr>
        <w:spacing w:after="0" w:line="202" w:lineRule="exact"/>
        <w:rPr>
          <w:sz w:val="20"/>
          <w:szCs w:val="20"/>
          <w:color w:val="auto"/>
        </w:rPr>
      </w:pPr>
    </w:p>
    <w:p>
      <w:pPr>
        <w:ind w:left="4080"/>
        <w:spacing w:after="0"/>
        <w:rPr>
          <w:sz w:val="20"/>
          <w:szCs w:val="20"/>
          <w:color w:val="auto"/>
        </w:rPr>
      </w:pPr>
      <w:r>
        <w:rPr>
          <w:rFonts w:ascii="Arial" w:cs="Arial" w:eastAsia="Arial" w:hAnsi="Arial"/>
          <w:sz w:val="13"/>
          <w:szCs w:val="13"/>
          <w:color w:val="auto"/>
        </w:rPr>
        <w:t>Performance-based stock options</w:t>
      </w:r>
    </w:p>
    <w:p>
      <w:pPr>
        <w:ind w:left="4080"/>
        <w:spacing w:after="0"/>
        <w:rPr>
          <w:sz w:val="20"/>
          <w:szCs w:val="20"/>
          <w:color w:val="auto"/>
        </w:rPr>
      </w:pPr>
      <w:r>
        <w:rPr>
          <w:rFonts w:ascii="Arial" w:cs="Arial" w:eastAsia="Arial" w:hAnsi="Arial"/>
          <w:sz w:val="13"/>
          <w:szCs w:val="13"/>
          <w:color w:val="auto"/>
        </w:rPr>
        <w:t>added to FY18 compensation program</w:t>
      </w:r>
    </w:p>
    <w:p>
      <w:pPr>
        <w:spacing w:after="0" w:line="73" w:lineRule="exact"/>
        <w:rPr>
          <w:sz w:val="20"/>
          <w:szCs w:val="20"/>
          <w:color w:val="auto"/>
        </w:rPr>
      </w:pPr>
    </w:p>
    <w:tbl>
      <w:tblPr>
        <w:tblLayout w:type="fixed"/>
        <w:tblInd w:w="900" w:type="dxa"/>
        <w:tblCellMar>
          <w:top w:w="0" w:type="dxa"/>
          <w:left w:w="0" w:type="dxa"/>
          <w:bottom w:w="0" w:type="dxa"/>
          <w:right w:w="0" w:type="dxa"/>
        </w:tblCellMar>
      </w:tblPr>
      <w:tr>
        <w:trPr>
          <w:trHeight w:val="115"/>
        </w:trPr>
        <w:tc>
          <w:tcPr>
            <w:tcW w:w="5580" w:type="dxa"/>
            <w:vAlign w:val="bottom"/>
          </w:tcPr>
          <w:p>
            <w:pPr>
              <w:spacing w:after="0"/>
              <w:rPr>
                <w:sz w:val="20"/>
                <w:szCs w:val="20"/>
                <w:color w:val="auto"/>
              </w:rPr>
            </w:pPr>
            <w:r>
              <w:rPr>
                <w:rFonts w:ascii="Arial" w:cs="Arial" w:eastAsia="Arial" w:hAnsi="Arial"/>
                <w:sz w:val="10"/>
                <w:szCs w:val="10"/>
                <w:color w:val="202E39"/>
              </w:rPr>
              <w:t>Pay mix reflective of target compensation levels</w:t>
            </w:r>
          </w:p>
        </w:tc>
        <w:tc>
          <w:tcPr>
            <w:tcW w:w="3640" w:type="dxa"/>
            <w:vAlign w:val="bottom"/>
          </w:tcPr>
          <w:p>
            <w:pPr>
              <w:jc w:val="right"/>
              <w:spacing w:after="0"/>
              <w:rPr>
                <w:sz w:val="20"/>
                <w:szCs w:val="20"/>
                <w:color w:val="auto"/>
              </w:rPr>
            </w:pPr>
            <w:r>
              <w:rPr>
                <w:rFonts w:ascii="Arial" w:cs="Arial" w:eastAsia="Arial" w:hAnsi="Arial"/>
                <w:sz w:val="9"/>
                <w:szCs w:val="9"/>
                <w:color w:val="7F7F7F"/>
              </w:rPr>
              <w:t>10</w:t>
            </w:r>
          </w:p>
        </w:tc>
      </w:tr>
    </w:tbl>
    <w:p>
      <w:pPr>
        <w:sectPr>
          <w:pgSz w:w="11900" w:h="16838" w:orient="portrait"/>
          <w:cols w:equalWidth="0" w:num="1">
            <w:col w:w="10120"/>
          </w:cols>
          <w:pgMar w:left="940" w:top="1098" w:right="8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37"/>
          <w:szCs w:val="37"/>
          <w:color w:val="202E39"/>
        </w:rPr>
        <w:drawing>
          <wp:anchor simplePos="0" relativeHeight="251657728" behindDoc="1" locked="0" layoutInCell="0" allowOverlap="1">
            <wp:simplePos x="0" y="0"/>
            <wp:positionH relativeFrom="page">
              <wp:posOffset>130810</wp:posOffset>
            </wp:positionH>
            <wp:positionV relativeFrom="page">
              <wp:posOffset>88900</wp:posOffset>
            </wp:positionV>
            <wp:extent cx="7313930" cy="40595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13930" cy="4059555"/>
                    </a:xfrm>
                    <a:prstGeom prst="rect">
                      <a:avLst/>
                    </a:prstGeom>
                    <a:noFill/>
                  </pic:spPr>
                </pic:pic>
              </a:graphicData>
            </a:graphic>
          </wp:anchor>
        </w:drawing>
        <w:t>Amendment of 1996 equity participation plan</w:t>
      </w:r>
    </w:p>
    <w:p>
      <w:pPr>
        <w:sectPr>
          <w:pgSz w:w="11900" w:h="16838" w:orient="portrait"/>
          <w:cols w:equalWidth="0" w:num="1">
            <w:col w:w="10660"/>
          </w:cols>
          <w:pgMar w:left="400" w:top="1098" w:right="839" w:bottom="1440"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ind w:left="260"/>
        <w:spacing w:after="0"/>
        <w:rPr>
          <w:sz w:val="20"/>
          <w:szCs w:val="20"/>
          <w:color w:val="auto"/>
        </w:rPr>
      </w:pPr>
      <w:r>
        <w:rPr>
          <w:rFonts w:ascii="Arial" w:cs="Arial" w:eastAsia="Arial" w:hAnsi="Arial"/>
          <w:sz w:val="14"/>
          <w:szCs w:val="14"/>
          <w:b w:val="1"/>
          <w:bCs w:val="1"/>
          <w:color w:val="202E39"/>
        </w:rPr>
        <w:t>The restated equity plan combines compensation and governance</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4"/>
          <w:szCs w:val="14"/>
          <w:b w:val="1"/>
          <w:bCs w:val="1"/>
          <w:color w:val="202E39"/>
        </w:rPr>
        <w:t>best practices</w:t>
      </w:r>
    </w:p>
    <w:p>
      <w:pPr>
        <w:spacing w:after="0" w:line="132" w:lineRule="exact"/>
        <w:rPr>
          <w:sz w:val="20"/>
          <w:szCs w:val="20"/>
          <w:color w:val="auto"/>
        </w:rPr>
      </w:pPr>
    </w:p>
    <w:p>
      <w:pPr>
        <w:ind w:left="900" w:right="660"/>
        <w:spacing w:after="0" w:line="266" w:lineRule="auto"/>
        <w:rPr>
          <w:sz w:val="20"/>
          <w:szCs w:val="20"/>
          <w:color w:val="auto"/>
        </w:rPr>
      </w:pPr>
      <w:r>
        <w:rPr>
          <w:rFonts w:ascii="Arial" w:cs="Arial" w:eastAsia="Arial" w:hAnsi="Arial"/>
          <w:sz w:val="14"/>
          <w:szCs w:val="14"/>
          <w:color w:val="202E39"/>
        </w:rPr>
        <w:t>Stockholder approval required for additional shares (no evergreen provision)</w:t>
      </w:r>
    </w:p>
    <w:p>
      <w:pPr>
        <w:spacing w:after="0" w:line="29" w:lineRule="exact"/>
        <w:rPr>
          <w:sz w:val="20"/>
          <w:szCs w:val="20"/>
          <w:color w:val="auto"/>
        </w:rPr>
      </w:pPr>
    </w:p>
    <w:p>
      <w:pPr>
        <w:ind w:left="900"/>
        <w:spacing w:after="0"/>
        <w:rPr>
          <w:sz w:val="20"/>
          <w:szCs w:val="20"/>
          <w:color w:val="auto"/>
        </w:rPr>
      </w:pPr>
      <w:r>
        <w:rPr>
          <w:rFonts w:ascii="Arial" w:cs="Arial" w:eastAsia="Arial" w:hAnsi="Arial"/>
          <w:sz w:val="14"/>
          <w:szCs w:val="14"/>
          <w:color w:val="202E39"/>
        </w:rPr>
        <w:t>One-year minimum vesting provision</w:t>
      </w:r>
    </w:p>
    <w:p>
      <w:pPr>
        <w:spacing w:after="0" w:line="54" w:lineRule="exact"/>
        <w:rPr>
          <w:sz w:val="20"/>
          <w:szCs w:val="20"/>
          <w:color w:val="auto"/>
        </w:rPr>
      </w:pPr>
    </w:p>
    <w:p>
      <w:pPr>
        <w:ind w:left="900"/>
        <w:spacing w:after="0"/>
        <w:rPr>
          <w:sz w:val="20"/>
          <w:szCs w:val="20"/>
          <w:color w:val="auto"/>
        </w:rPr>
      </w:pPr>
      <w:r>
        <w:rPr>
          <w:rFonts w:ascii="Arial" w:cs="Arial" w:eastAsia="Arial" w:hAnsi="Arial"/>
          <w:sz w:val="14"/>
          <w:szCs w:val="14"/>
          <w:color w:val="202E39"/>
        </w:rPr>
        <w:t>Monitor grants to prevent dilution or excessive burn or overhang rates</w:t>
      </w:r>
    </w:p>
    <w:p>
      <w:pPr>
        <w:spacing w:after="0" w:line="54" w:lineRule="exact"/>
        <w:rPr>
          <w:sz w:val="20"/>
          <w:szCs w:val="20"/>
          <w:color w:val="auto"/>
        </w:rPr>
      </w:pPr>
    </w:p>
    <w:p>
      <w:pPr>
        <w:ind w:left="900"/>
        <w:spacing w:after="0"/>
        <w:rPr>
          <w:sz w:val="20"/>
          <w:szCs w:val="20"/>
          <w:color w:val="auto"/>
        </w:rPr>
      </w:pPr>
      <w:r>
        <w:rPr>
          <w:rFonts w:ascii="Arial" w:cs="Arial" w:eastAsia="Arial" w:hAnsi="Arial"/>
          <w:sz w:val="14"/>
          <w:szCs w:val="14"/>
          <w:color w:val="202E39"/>
        </w:rPr>
        <w:t>Limitations on equity awards</w:t>
      </w:r>
    </w:p>
    <w:p>
      <w:pPr>
        <w:spacing w:after="0" w:line="54" w:lineRule="exact"/>
        <w:rPr>
          <w:sz w:val="20"/>
          <w:szCs w:val="20"/>
          <w:color w:val="auto"/>
        </w:rPr>
      </w:pPr>
    </w:p>
    <w:p>
      <w:pPr>
        <w:ind w:left="900"/>
        <w:spacing w:after="0"/>
        <w:rPr>
          <w:sz w:val="20"/>
          <w:szCs w:val="20"/>
          <w:color w:val="auto"/>
        </w:rPr>
      </w:pPr>
      <w:r>
        <w:rPr>
          <w:rFonts w:ascii="Arial" w:cs="Arial" w:eastAsia="Arial" w:hAnsi="Arial"/>
          <w:sz w:val="14"/>
          <w:szCs w:val="14"/>
          <w:color w:val="202E39"/>
        </w:rPr>
        <w:t>Reasonable share counting provisions</w:t>
      </w:r>
    </w:p>
    <w:p>
      <w:pPr>
        <w:spacing w:after="0" w:line="64" w:lineRule="exact"/>
        <w:rPr>
          <w:sz w:val="20"/>
          <w:szCs w:val="20"/>
          <w:color w:val="auto"/>
        </w:rPr>
      </w:pPr>
    </w:p>
    <w:p>
      <w:pPr>
        <w:ind w:left="900" w:right="460"/>
        <w:spacing w:after="0" w:line="286" w:lineRule="auto"/>
        <w:rPr>
          <w:sz w:val="20"/>
          <w:szCs w:val="20"/>
          <w:color w:val="auto"/>
        </w:rPr>
      </w:pPr>
      <w:r>
        <w:rPr>
          <w:rFonts w:ascii="Arial" w:cs="Arial" w:eastAsia="Arial" w:hAnsi="Arial"/>
          <w:sz w:val="13"/>
          <w:szCs w:val="13"/>
          <w:color w:val="202E39"/>
        </w:rPr>
        <w:t>Dividends and dividend equivalents may not be paid on awards subject to vesting conditions unless and until such conditions are met</w:t>
      </w:r>
    </w:p>
    <w:p>
      <w:pPr>
        <w:spacing w:after="0" w:line="1" w:lineRule="exact"/>
        <w:rPr>
          <w:sz w:val="20"/>
          <w:szCs w:val="20"/>
          <w:color w:val="auto"/>
        </w:rPr>
      </w:pPr>
    </w:p>
    <w:p>
      <w:pPr>
        <w:ind w:left="740"/>
        <w:spacing w:after="0"/>
        <w:rPr>
          <w:sz w:val="20"/>
          <w:szCs w:val="20"/>
          <w:color w:val="auto"/>
        </w:rPr>
      </w:pPr>
      <w:r>
        <w:rPr>
          <w:rFonts w:ascii="Arial" w:cs="Arial" w:eastAsia="Arial" w:hAnsi="Arial"/>
          <w:sz w:val="17"/>
          <w:szCs w:val="17"/>
          <w:color w:val="FF0000"/>
        </w:rPr>
        <w:t xml:space="preserve">X </w:t>
      </w:r>
      <w:r>
        <w:rPr>
          <w:rFonts w:ascii="Arial" w:cs="Arial" w:eastAsia="Arial" w:hAnsi="Arial"/>
          <w:sz w:val="13"/>
          <w:szCs w:val="13"/>
          <w:color w:val="202E39"/>
        </w:rPr>
        <w:t>No discount stock options or stock appreciation rights</w:t>
      </w:r>
    </w:p>
    <w:p>
      <w:pPr>
        <w:spacing w:after="0" w:line="29" w:lineRule="exact"/>
        <w:rPr>
          <w:sz w:val="20"/>
          <w:szCs w:val="20"/>
          <w:color w:val="auto"/>
        </w:rPr>
      </w:pPr>
    </w:p>
    <w:p>
      <w:pPr>
        <w:ind w:left="740"/>
        <w:spacing w:after="0"/>
        <w:rPr>
          <w:sz w:val="20"/>
          <w:szCs w:val="20"/>
          <w:color w:val="auto"/>
        </w:rPr>
      </w:pPr>
      <w:r>
        <w:rPr>
          <w:rFonts w:ascii="Arial" w:cs="Arial" w:eastAsia="Arial" w:hAnsi="Arial"/>
          <w:sz w:val="17"/>
          <w:szCs w:val="17"/>
          <w:color w:val="FF0000"/>
        </w:rPr>
        <w:t xml:space="preserve">X </w:t>
      </w:r>
      <w:r>
        <w:rPr>
          <w:rFonts w:ascii="Arial" w:cs="Arial" w:eastAsia="Arial" w:hAnsi="Arial"/>
          <w:sz w:val="13"/>
          <w:szCs w:val="13"/>
          <w:color w:val="202E39"/>
        </w:rPr>
        <w:t>No single trigger vesting of awards</w:t>
      </w:r>
    </w:p>
    <w:p>
      <w:pPr>
        <w:spacing w:after="0" w:line="19" w:lineRule="exact"/>
        <w:rPr>
          <w:sz w:val="20"/>
          <w:szCs w:val="20"/>
          <w:color w:val="auto"/>
        </w:rPr>
      </w:pPr>
    </w:p>
    <w:p>
      <w:pPr>
        <w:ind w:left="740"/>
        <w:spacing w:after="0"/>
        <w:rPr>
          <w:sz w:val="20"/>
          <w:szCs w:val="20"/>
          <w:color w:val="auto"/>
        </w:rPr>
      </w:pPr>
      <w:r>
        <w:rPr>
          <w:rFonts w:ascii="Arial" w:cs="Arial" w:eastAsia="Arial" w:hAnsi="Arial"/>
          <w:sz w:val="17"/>
          <w:szCs w:val="17"/>
          <w:color w:val="FF0000"/>
        </w:rPr>
        <w:t xml:space="preserve">X </w:t>
      </w:r>
      <w:r>
        <w:rPr>
          <w:rFonts w:ascii="Arial" w:cs="Arial" w:eastAsia="Arial" w:hAnsi="Arial"/>
          <w:sz w:val="13"/>
          <w:szCs w:val="13"/>
          <w:color w:val="202E39"/>
        </w:rPr>
        <w:t>No share repricing</w:t>
      </w:r>
    </w:p>
    <w:p>
      <w:pPr>
        <w:spacing w:after="0" w:line="19" w:lineRule="exact"/>
        <w:rPr>
          <w:sz w:val="20"/>
          <w:szCs w:val="20"/>
          <w:color w:val="auto"/>
        </w:rPr>
      </w:pPr>
    </w:p>
    <w:p>
      <w:pPr>
        <w:ind w:left="740"/>
        <w:spacing w:after="0"/>
        <w:rPr>
          <w:sz w:val="20"/>
          <w:szCs w:val="20"/>
          <w:color w:val="auto"/>
        </w:rPr>
      </w:pPr>
      <w:r>
        <w:rPr>
          <w:rFonts w:ascii="Arial" w:cs="Arial" w:eastAsia="Arial" w:hAnsi="Arial"/>
          <w:sz w:val="17"/>
          <w:szCs w:val="17"/>
          <w:color w:val="FF0000"/>
        </w:rPr>
        <w:t xml:space="preserve">X </w:t>
      </w:r>
      <w:r>
        <w:rPr>
          <w:rFonts w:ascii="Arial" w:cs="Arial" w:eastAsia="Arial" w:hAnsi="Arial"/>
          <w:sz w:val="13"/>
          <w:szCs w:val="13"/>
          <w:color w:val="202E39"/>
        </w:rPr>
        <w:t>No tax gross-ups</w:t>
      </w:r>
    </w:p>
    <w:p>
      <w:pPr>
        <w:spacing w:after="0" w:line="200" w:lineRule="exact"/>
        <w:rPr>
          <w:sz w:val="20"/>
          <w:szCs w:val="20"/>
          <w:color w:val="auto"/>
        </w:rPr>
      </w:pPr>
    </w:p>
    <w:p>
      <w:pPr>
        <w:spacing w:after="0" w:line="217" w:lineRule="exact"/>
        <w:rPr>
          <w:sz w:val="20"/>
          <w:szCs w:val="20"/>
          <w:color w:val="auto"/>
        </w:rPr>
      </w:pPr>
    </w:p>
    <w:p>
      <w:pPr>
        <w:ind w:left="4880"/>
        <w:spacing w:after="0"/>
        <w:rPr>
          <w:sz w:val="20"/>
          <w:szCs w:val="20"/>
          <w:color w:val="auto"/>
        </w:rPr>
      </w:pPr>
      <w:r>
        <w:rPr>
          <w:rFonts w:ascii="Arial" w:cs="Arial" w:eastAsia="Arial" w:hAnsi="Arial"/>
          <w:sz w:val="16"/>
          <w:szCs w:val="16"/>
          <w:b w:val="1"/>
          <w:bCs w:val="1"/>
          <w:color w:val="009FE3"/>
        </w:rPr>
        <w:t>VSAT</w:t>
      </w:r>
    </w:p>
    <w:p>
      <w:pPr>
        <w:spacing w:after="0" w:line="29" w:lineRule="exact"/>
        <w:rPr>
          <w:sz w:val="20"/>
          <w:szCs w:val="20"/>
          <w:color w:val="auto"/>
        </w:rPr>
      </w:pPr>
    </w:p>
    <w:p>
      <w:pPr>
        <w:ind w:left="640"/>
        <w:spacing w:after="0"/>
        <w:tabs>
          <w:tab w:leader="none" w:pos="4200" w:val="left"/>
        </w:tabs>
        <w:rPr>
          <w:sz w:val="20"/>
          <w:szCs w:val="20"/>
          <w:color w:val="auto"/>
        </w:rPr>
      </w:pPr>
      <w:r>
        <w:rPr>
          <w:rFonts w:ascii="Arial" w:cs="Arial" w:eastAsia="Arial" w:hAnsi="Arial"/>
          <w:sz w:val="24"/>
          <w:szCs w:val="24"/>
          <w:b w:val="1"/>
          <w:bCs w:val="1"/>
          <w:color w:val="FFFFFF"/>
        </w:rPr>
        <w:t>Our strategy is working</w:t>
      </w:r>
      <w:r>
        <w:rPr>
          <w:sz w:val="20"/>
          <w:szCs w:val="20"/>
          <w:color w:val="auto"/>
        </w:rPr>
        <w:tab/>
      </w:r>
      <w:r>
        <w:rPr>
          <w:rFonts w:ascii="Arial" w:cs="Arial" w:eastAsia="Arial" w:hAnsi="Arial"/>
          <w:sz w:val="20"/>
          <w:szCs w:val="20"/>
          <w:b w:val="1"/>
          <w:bCs w:val="1"/>
          <w:color w:val="BFD733"/>
        </w:rPr>
        <w:t xml:space="preserve">9% </w:t>
      </w:r>
      <w:r>
        <w:rPr>
          <w:rFonts w:ascii="Arial" w:cs="Arial" w:eastAsia="Arial" w:hAnsi="Arial"/>
          <w:sz w:val="20"/>
          <w:szCs w:val="20"/>
          <w:b w:val="1"/>
          <w:bCs w:val="1"/>
          <w:color w:val="009FE3"/>
          <w:vertAlign w:val="superscript"/>
        </w:rPr>
        <w:t>annual</w:t>
      </w:r>
      <w:r>
        <w:rPr>
          <w:rFonts w:ascii="Arial" w:cs="Arial" w:eastAsia="Arial" w:hAnsi="Arial"/>
          <w:sz w:val="20"/>
          <w:szCs w:val="20"/>
          <w:b w:val="1"/>
          <w:bCs w:val="1"/>
          <w:color w:val="009FE3"/>
          <w:vertAlign w:val="subscript"/>
        </w:rPr>
        <w:t>employee</w:t>
      </w:r>
    </w:p>
    <w:p>
      <w:pPr>
        <w:spacing w:after="0" w:line="121" w:lineRule="exact"/>
        <w:rPr>
          <w:sz w:val="20"/>
          <w:szCs w:val="20"/>
          <w:color w:val="auto"/>
        </w:rPr>
      </w:pPr>
    </w:p>
    <w:p>
      <w:pPr>
        <w:ind w:left="4880"/>
        <w:spacing w:after="0"/>
        <w:rPr>
          <w:sz w:val="20"/>
          <w:szCs w:val="20"/>
          <w:color w:val="auto"/>
        </w:rPr>
      </w:pPr>
      <w:r>
        <w:rPr>
          <w:rFonts w:ascii="Arial" w:cs="Arial" w:eastAsia="Arial" w:hAnsi="Arial"/>
          <w:sz w:val="16"/>
          <w:szCs w:val="16"/>
          <w:b w:val="1"/>
          <w:bCs w:val="1"/>
          <w:color w:val="009FE3"/>
        </w:rPr>
        <w:t>turnover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0" w:lineRule="exact"/>
        <w:rPr>
          <w:sz w:val="20"/>
          <w:szCs w:val="20"/>
          <w:color w:val="auto"/>
        </w:rPr>
      </w:pPr>
    </w:p>
    <w:p>
      <w:pPr>
        <w:jc w:val="center"/>
        <w:ind w:left="100" w:right="260"/>
        <w:spacing w:after="0" w:line="290" w:lineRule="auto"/>
        <w:rPr>
          <w:sz w:val="20"/>
          <w:szCs w:val="20"/>
          <w:color w:val="auto"/>
        </w:rPr>
      </w:pPr>
      <w:r>
        <w:rPr>
          <w:rFonts w:ascii="Arial" w:cs="Arial" w:eastAsia="Arial" w:hAnsi="Arial"/>
          <w:sz w:val="14"/>
          <w:szCs w:val="14"/>
          <w:b w:val="1"/>
          <w:bCs w:val="1"/>
          <w:color w:val="202E39"/>
        </w:rPr>
        <w:t>Equity participation plan is essential to our long-term growth and shareholder value creation</w:t>
      </w:r>
    </w:p>
    <w:p>
      <w:pPr>
        <w:spacing w:after="0" w:line="88" w:lineRule="exact"/>
        <w:rPr>
          <w:sz w:val="20"/>
          <w:szCs w:val="20"/>
          <w:color w:val="auto"/>
        </w:rPr>
      </w:pPr>
    </w:p>
    <w:p>
      <w:pPr>
        <w:ind w:left="180" w:right="240"/>
        <w:spacing w:after="0" w:line="254" w:lineRule="auto"/>
        <w:rPr>
          <w:sz w:val="20"/>
          <w:szCs w:val="20"/>
          <w:color w:val="auto"/>
        </w:rPr>
      </w:pPr>
      <w:r>
        <w:rPr>
          <w:rFonts w:ascii="Arial" w:cs="Arial" w:eastAsia="Arial" w:hAnsi="Arial"/>
          <w:sz w:val="14"/>
          <w:szCs w:val="14"/>
          <w:color w:val="202E39"/>
        </w:rPr>
        <w:t>Equity incentive awards are an important part of our compensation philosophy that allows us to properly tie NEO interests to the long-term interests of shareholders by allowing NEOs to benefit directly from our growth, development and financial success</w:t>
      </w:r>
    </w:p>
    <w:p>
      <w:pPr>
        <w:spacing w:after="0" w:line="69" w:lineRule="exact"/>
        <w:rPr>
          <w:sz w:val="20"/>
          <w:szCs w:val="20"/>
          <w:color w:val="auto"/>
        </w:rPr>
      </w:pPr>
    </w:p>
    <w:p>
      <w:pPr>
        <w:ind w:left="180" w:right="380"/>
        <w:spacing w:after="0" w:line="281" w:lineRule="auto"/>
        <w:rPr>
          <w:sz w:val="20"/>
          <w:szCs w:val="20"/>
          <w:color w:val="auto"/>
        </w:rPr>
      </w:pPr>
      <w:r>
        <w:rPr>
          <w:rFonts w:ascii="Arial" w:cs="Arial" w:eastAsia="Arial" w:hAnsi="Arial"/>
          <w:sz w:val="13"/>
          <w:szCs w:val="13"/>
          <w:color w:val="202E39"/>
        </w:rPr>
        <w:t>Enable us to retain the services of the type of professional, technical and managerial employees considered essential to our long term success through the full lifecycle of our extended period investments</w:t>
      </w:r>
    </w:p>
    <w:p>
      <w:pPr>
        <w:spacing w:after="0" w:line="54" w:lineRule="exact"/>
        <w:rPr>
          <w:sz w:val="20"/>
          <w:szCs w:val="20"/>
          <w:color w:val="auto"/>
        </w:rPr>
      </w:pPr>
    </w:p>
    <w:p>
      <w:pPr>
        <w:ind w:left="180" w:right="260"/>
        <w:spacing w:after="0" w:line="250" w:lineRule="auto"/>
        <w:rPr>
          <w:sz w:val="20"/>
          <w:szCs w:val="20"/>
          <w:color w:val="auto"/>
        </w:rPr>
      </w:pPr>
      <w:r>
        <w:rPr>
          <w:rFonts w:ascii="Arial" w:cs="Arial" w:eastAsia="Arial" w:hAnsi="Arial"/>
          <w:sz w:val="14"/>
          <w:szCs w:val="14"/>
          <w:color w:val="202E39"/>
        </w:rPr>
        <w:t>New equity is necessary for maintaining a low employee turnover rate, even outside of the NEOs</w:t>
      </w:r>
    </w:p>
    <w:p>
      <w:pPr>
        <w:spacing w:after="0" w:line="72" w:lineRule="exact"/>
        <w:rPr>
          <w:sz w:val="20"/>
          <w:szCs w:val="20"/>
          <w:color w:val="auto"/>
        </w:rPr>
      </w:pPr>
    </w:p>
    <w:p>
      <w:pPr>
        <w:ind w:left="180" w:right="600"/>
        <w:spacing w:after="0" w:line="266" w:lineRule="auto"/>
        <w:rPr>
          <w:sz w:val="20"/>
          <w:szCs w:val="20"/>
          <w:color w:val="auto"/>
        </w:rPr>
      </w:pPr>
      <w:r>
        <w:rPr>
          <w:rFonts w:ascii="Arial" w:cs="Arial" w:eastAsia="Arial" w:hAnsi="Arial"/>
          <w:sz w:val="14"/>
          <w:szCs w:val="14"/>
          <w:color w:val="202E39"/>
        </w:rPr>
        <w:t>The existing plan, which was only intended to serve two years, is insufficiently funded given expected needs</w:t>
      </w:r>
    </w:p>
    <w:p>
      <w:pPr>
        <w:spacing w:after="0" w:line="51" w:lineRule="exact"/>
        <w:rPr>
          <w:sz w:val="20"/>
          <w:szCs w:val="20"/>
          <w:color w:val="auto"/>
        </w:rPr>
      </w:pPr>
    </w:p>
    <w:p>
      <w:pPr>
        <w:ind w:left="180" w:right="1020"/>
        <w:spacing w:after="0" w:line="266" w:lineRule="auto"/>
        <w:rPr>
          <w:sz w:val="20"/>
          <w:szCs w:val="20"/>
          <w:color w:val="auto"/>
        </w:rPr>
      </w:pPr>
      <w:r>
        <w:rPr>
          <w:rFonts w:ascii="Arial" w:cs="Arial" w:eastAsia="Arial" w:hAnsi="Arial"/>
          <w:sz w:val="14"/>
          <w:szCs w:val="14"/>
          <w:color w:val="202E39"/>
        </w:rPr>
        <w:t>Our equity incentive awards are carefully managed by our Compensation and Human Resources Committee</w:t>
      </w:r>
    </w:p>
    <w:p>
      <w:pPr>
        <w:spacing w:after="0" w:line="280" w:lineRule="exact"/>
        <w:rPr>
          <w:sz w:val="20"/>
          <w:szCs w:val="20"/>
          <w:color w:val="auto"/>
        </w:rPr>
      </w:pPr>
    </w:p>
    <w:p>
      <w:pPr>
        <w:ind w:left="1360"/>
        <w:spacing w:after="0"/>
        <w:rPr>
          <w:sz w:val="20"/>
          <w:szCs w:val="20"/>
          <w:color w:val="auto"/>
        </w:rPr>
      </w:pPr>
      <w:r>
        <w:rPr>
          <w:rFonts w:ascii="Arial" w:cs="Arial" w:eastAsia="Arial" w:hAnsi="Arial"/>
          <w:sz w:val="16"/>
          <w:szCs w:val="16"/>
          <w:b w:val="1"/>
          <w:bCs w:val="1"/>
          <w:color w:val="009FE3"/>
        </w:rPr>
        <w:t>Industry</w:t>
      </w:r>
    </w:p>
    <w:p>
      <w:pPr>
        <w:ind w:left="1360"/>
        <w:spacing w:after="0" w:line="227" w:lineRule="auto"/>
        <w:tabs>
          <w:tab w:leader="none" w:pos="3520" w:val="left"/>
        </w:tabs>
        <w:rPr>
          <w:sz w:val="20"/>
          <w:szCs w:val="20"/>
          <w:color w:val="auto"/>
        </w:rPr>
      </w:pPr>
      <w:r>
        <w:rPr>
          <w:rFonts w:ascii="Arial" w:cs="Arial" w:eastAsia="Arial" w:hAnsi="Arial"/>
          <w:sz w:val="16"/>
          <w:szCs w:val="16"/>
          <w:b w:val="1"/>
          <w:bCs w:val="1"/>
          <w:color w:val="009FE3"/>
        </w:rPr>
        <w:t>average</w:t>
      </w:r>
      <w:r>
        <w:rPr>
          <w:sz w:val="20"/>
          <w:szCs w:val="20"/>
          <w:color w:val="auto"/>
        </w:rPr>
        <w:tab/>
      </w:r>
      <w:r>
        <w:rPr>
          <w:rFonts w:ascii="Arial" w:cs="Arial" w:eastAsia="Arial" w:hAnsi="Arial"/>
          <w:sz w:val="16"/>
          <w:szCs w:val="16"/>
          <w:b w:val="1"/>
          <w:bCs w:val="1"/>
          <w:color w:val="009FE3"/>
        </w:rPr>
        <w:t>Employees</w:t>
      </w:r>
    </w:p>
    <w:p>
      <w:pPr>
        <w:spacing w:after="0" w:line="181" w:lineRule="auto"/>
        <w:tabs>
          <w:tab w:leader="none" w:pos="560" w:val="left"/>
          <w:tab w:leader="none" w:pos="2720" w:val="left"/>
        </w:tabs>
        <w:rPr>
          <w:sz w:val="20"/>
          <w:szCs w:val="20"/>
          <w:color w:val="auto"/>
        </w:rPr>
      </w:pPr>
      <w:r>
        <w:rPr>
          <w:rFonts w:ascii="Arial" w:cs="Arial" w:eastAsia="Arial" w:hAnsi="Arial"/>
          <w:sz w:val="15"/>
          <w:szCs w:val="15"/>
          <w:b w:val="1"/>
          <w:bCs w:val="1"/>
          <w:color w:val="auto"/>
        </w:rPr>
        <w:t>VS.</w:t>
      </w:r>
      <w:r>
        <w:rPr>
          <w:sz w:val="20"/>
          <w:szCs w:val="20"/>
          <w:color w:val="auto"/>
        </w:rPr>
        <w:tab/>
      </w:r>
      <w:r>
        <w:rPr>
          <w:rFonts w:ascii="Arial" w:cs="Arial" w:eastAsia="Arial" w:hAnsi="Arial"/>
          <w:sz w:val="29"/>
          <w:szCs w:val="29"/>
          <w:b w:val="1"/>
          <w:bCs w:val="1"/>
          <w:color w:val="BFD733"/>
        </w:rPr>
        <w:t xml:space="preserve">22% </w:t>
      </w:r>
      <w:r>
        <w:rPr>
          <w:rFonts w:ascii="Arial" w:cs="Arial" w:eastAsia="Arial" w:hAnsi="Arial"/>
          <w:sz w:val="15"/>
          <w:szCs w:val="15"/>
          <w:b w:val="1"/>
          <w:bCs w:val="1"/>
          <w:color w:val="009FE3"/>
        </w:rPr>
        <w:t>annual</w:t>
      </w:r>
      <w:r>
        <w:rPr>
          <w:sz w:val="20"/>
          <w:szCs w:val="20"/>
          <w:color w:val="auto"/>
        </w:rPr>
        <w:tab/>
      </w:r>
      <w:r>
        <w:rPr>
          <w:rFonts w:ascii="Arial" w:cs="Arial" w:eastAsia="Arial" w:hAnsi="Arial"/>
          <w:sz w:val="29"/>
          <w:szCs w:val="29"/>
          <w:b w:val="1"/>
          <w:bCs w:val="1"/>
          <w:color w:val="BFD733"/>
        </w:rPr>
        <w:t xml:space="preserve">46% </w:t>
      </w:r>
      <w:r>
        <w:rPr>
          <w:rFonts w:ascii="Arial" w:cs="Arial" w:eastAsia="Arial" w:hAnsi="Arial"/>
          <w:sz w:val="15"/>
          <w:szCs w:val="15"/>
          <w:b w:val="1"/>
          <w:bCs w:val="1"/>
          <w:color w:val="009FE3"/>
        </w:rPr>
        <w:t>holding</w:t>
      </w:r>
    </w:p>
    <w:p>
      <w:pPr>
        <w:jc w:val="both"/>
        <w:ind w:left="1360"/>
        <w:spacing w:after="0"/>
        <w:tabs>
          <w:tab w:leader="none" w:pos="3520" w:val="left"/>
        </w:tabs>
        <w:rPr>
          <w:sz w:val="20"/>
          <w:szCs w:val="20"/>
          <w:color w:val="auto"/>
        </w:rPr>
      </w:pPr>
      <w:r>
        <w:rPr>
          <w:rFonts w:ascii="Arial" w:cs="Arial" w:eastAsia="Arial" w:hAnsi="Arial"/>
          <w:sz w:val="16"/>
          <w:szCs w:val="16"/>
          <w:b w:val="1"/>
          <w:bCs w:val="1"/>
          <w:color w:val="009FE3"/>
        </w:rPr>
        <w:t>employee</w:t>
      </w:r>
      <w:r>
        <w:rPr>
          <w:sz w:val="20"/>
          <w:szCs w:val="20"/>
          <w:color w:val="auto"/>
        </w:rPr>
        <w:tab/>
      </w:r>
      <w:r>
        <w:rPr>
          <w:rFonts w:ascii="Arial" w:cs="Arial" w:eastAsia="Arial" w:hAnsi="Arial"/>
          <w:sz w:val="16"/>
          <w:szCs w:val="16"/>
          <w:b w:val="1"/>
          <w:bCs w:val="1"/>
          <w:color w:val="009FE3"/>
        </w:rPr>
        <w:t>equity awards</w:t>
      </w:r>
    </w:p>
    <w:p>
      <w:pPr>
        <w:spacing w:after="0" w:line="4" w:lineRule="exact"/>
        <w:rPr>
          <w:sz w:val="20"/>
          <w:szCs w:val="20"/>
          <w:color w:val="auto"/>
        </w:rPr>
      </w:pPr>
    </w:p>
    <w:p>
      <w:pPr>
        <w:ind w:left="1360"/>
        <w:spacing w:after="0"/>
        <w:rPr>
          <w:sz w:val="20"/>
          <w:szCs w:val="20"/>
          <w:color w:val="auto"/>
        </w:rPr>
      </w:pPr>
      <w:r>
        <w:rPr>
          <w:rFonts w:ascii="Arial" w:cs="Arial" w:eastAsia="Arial" w:hAnsi="Arial"/>
          <w:sz w:val="16"/>
          <w:szCs w:val="16"/>
          <w:b w:val="1"/>
          <w:bCs w:val="1"/>
          <w:color w:val="009FE3"/>
        </w:rPr>
        <w:t>turnover</w:t>
      </w:r>
      <w:r>
        <w:rPr>
          <w:rFonts w:ascii="Arial" w:cs="Arial" w:eastAsia="Arial" w:hAnsi="Arial"/>
          <w:sz w:val="21"/>
          <w:szCs w:val="21"/>
          <w:b w:val="1"/>
          <w:bCs w:val="1"/>
          <w:color w:val="009FE3"/>
          <w:vertAlign w:val="superscript"/>
        </w:rPr>
        <w:t>(1)</w:t>
      </w:r>
    </w:p>
    <w:p>
      <w:pPr>
        <w:spacing w:after="0" w:line="122" w:lineRule="exact"/>
        <w:rPr>
          <w:sz w:val="20"/>
          <w:szCs w:val="20"/>
          <w:color w:val="auto"/>
        </w:rPr>
      </w:pPr>
    </w:p>
    <w:p>
      <w:pPr>
        <w:sectPr>
          <w:pgSz w:w="11900" w:h="16838" w:orient="portrait"/>
          <w:cols w:equalWidth="0" w:num="2">
            <w:col w:w="5620" w:space="260"/>
            <w:col w:w="4780"/>
          </w:cols>
          <w:pgMar w:left="400" w:top="1098" w:right="839" w:bottom="1440" w:gutter="0" w:footer="0" w:header="0"/>
          <w:type w:val="continuous"/>
        </w:sectPr>
      </w:pPr>
    </w:p>
    <w:tbl>
      <w:tblPr>
        <w:tblLayout w:type="fixed"/>
        <w:tblInd w:w="1440" w:type="dxa"/>
        <w:tblCellMar>
          <w:top w:w="0" w:type="dxa"/>
          <w:left w:w="0" w:type="dxa"/>
          <w:bottom w:w="0" w:type="dxa"/>
          <w:right w:w="0" w:type="dxa"/>
        </w:tblCellMar>
      </w:tblPr>
      <w:tr>
        <w:trPr>
          <w:trHeight w:val="115"/>
        </w:trPr>
        <w:tc>
          <w:tcPr>
            <w:tcW w:w="6460" w:type="dxa"/>
            <w:vAlign w:val="bottom"/>
          </w:tcPr>
          <w:p>
            <w:pPr>
              <w:spacing w:after="0"/>
              <w:rPr>
                <w:sz w:val="20"/>
                <w:szCs w:val="20"/>
                <w:color w:val="auto"/>
              </w:rPr>
            </w:pPr>
            <w:r>
              <w:rPr>
                <w:rFonts w:ascii="Arial" w:cs="Arial" w:eastAsia="Arial" w:hAnsi="Arial"/>
                <w:sz w:val="6"/>
                <w:szCs w:val="6"/>
                <w:color w:val="202E39"/>
              </w:rPr>
              <w:t xml:space="preserve">(1) </w:t>
            </w:r>
            <w:r>
              <w:rPr>
                <w:rFonts w:ascii="Arial" w:cs="Arial" w:eastAsia="Arial" w:hAnsi="Arial"/>
                <w:sz w:val="9"/>
                <w:szCs w:val="9"/>
                <w:color w:val="202E39"/>
              </w:rPr>
              <w:t>Q1 2019 Radford Trends Report, reflecting employee turnover rate in similar industries</w:t>
            </w:r>
          </w:p>
        </w:tc>
        <w:tc>
          <w:tcPr>
            <w:tcW w:w="2760" w:type="dxa"/>
            <w:vAlign w:val="bottom"/>
          </w:tcPr>
          <w:p>
            <w:pPr>
              <w:jc w:val="right"/>
              <w:spacing w:after="0"/>
              <w:rPr>
                <w:sz w:val="20"/>
                <w:szCs w:val="20"/>
                <w:color w:val="auto"/>
              </w:rPr>
            </w:pPr>
            <w:r>
              <w:rPr>
                <w:rFonts w:ascii="Arial" w:cs="Arial" w:eastAsia="Arial" w:hAnsi="Arial"/>
                <w:sz w:val="9"/>
                <w:szCs w:val="9"/>
                <w:color w:val="7F7F7F"/>
              </w:rPr>
              <w:t>11</w:t>
            </w:r>
          </w:p>
        </w:tc>
      </w:tr>
    </w:tbl>
    <w:p>
      <w:pPr>
        <w:sectPr>
          <w:pgSz w:w="11900" w:h="16838" w:orient="portrait"/>
          <w:cols w:equalWidth="0" w:num="1">
            <w:col w:w="10660"/>
          </w:cols>
          <w:pgMar w:left="400" w:top="1098" w:right="8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56"/>
          <w:szCs w:val="56"/>
          <w:color w:val="202E39"/>
        </w:rPr>
        <w:drawing>
          <wp:anchor simplePos="0" relativeHeight="251657728" behindDoc="1" locked="0" layoutInCell="0" allowOverlap="1">
            <wp:simplePos x="0" y="0"/>
            <wp:positionH relativeFrom="page">
              <wp:posOffset>130810</wp:posOffset>
            </wp:positionH>
            <wp:positionV relativeFrom="page">
              <wp:posOffset>88900</wp:posOffset>
            </wp:positionV>
            <wp:extent cx="7313930" cy="40189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13930" cy="4018915"/>
                    </a:xfrm>
                    <a:prstGeom prst="rect">
                      <a:avLst/>
                    </a:prstGeom>
                    <a:noFill/>
                  </pic:spPr>
                </pic:pic>
              </a:graphicData>
            </a:graphic>
          </wp:anchor>
        </w:drawing>
        <w:t>Reconciliation</w:t>
      </w:r>
    </w:p>
    <w:p>
      <w:pPr>
        <w:spacing w:after="0"/>
        <w:rPr>
          <w:sz w:val="20"/>
          <w:szCs w:val="20"/>
          <w:color w:val="auto"/>
        </w:rPr>
      </w:pPr>
      <w:r>
        <w:rPr>
          <w:rFonts w:ascii="Arial" w:cs="Arial" w:eastAsia="Arial" w:hAnsi="Arial"/>
          <w:sz w:val="57"/>
          <w:szCs w:val="57"/>
          <w:color w:val="202E39"/>
        </w:rPr>
        <w:t>Appendix</w:t>
      </w:r>
    </w:p>
    <w:p>
      <w:pPr>
        <w:sectPr>
          <w:pgSz w:w="11900" w:h="16838" w:orient="portrait"/>
          <w:cols w:equalWidth="0" w:num="1">
            <w:col w:w="9499"/>
          </w:cols>
          <w:pgMar w:left="960" w:top="1159" w:right="1440" w:bottom="1440" w:gutter="0" w:footer="0" w:header="0"/>
        </w:sectPr>
      </w:pPr>
    </w:p>
    <w:bookmarkStart w:id="13" w:name="page14"/>
    <w:bookmarkEnd w:id="13"/>
    <w:p>
      <w:pPr>
        <w:spacing w:after="0"/>
        <w:rPr>
          <w:sz w:val="20"/>
          <w:szCs w:val="20"/>
          <w:color w:val="auto"/>
        </w:rPr>
      </w:pPr>
      <w:r>
        <w:rPr>
          <w:rFonts w:ascii="Arial" w:cs="Arial" w:eastAsia="Arial" w:hAnsi="Arial"/>
          <w:sz w:val="38"/>
          <w:szCs w:val="38"/>
          <w:color w:val="202E39"/>
        </w:rPr>
        <w:drawing>
          <wp:anchor simplePos="0" relativeHeight="251657728" behindDoc="1" locked="0" layoutInCell="0" allowOverlap="1">
            <wp:simplePos x="0" y="0"/>
            <wp:positionH relativeFrom="page">
              <wp:posOffset>130810</wp:posOffset>
            </wp:positionH>
            <wp:positionV relativeFrom="page">
              <wp:posOffset>88900</wp:posOffset>
            </wp:positionV>
            <wp:extent cx="7313930" cy="41211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13930" cy="4121150"/>
                    </a:xfrm>
                    <a:prstGeom prst="rect">
                      <a:avLst/>
                    </a:prstGeom>
                    <a:noFill/>
                  </pic:spPr>
                </pic:pic>
              </a:graphicData>
            </a:graphic>
          </wp:anchor>
        </w:drawing>
        <w:t>Adjusted EBITDA Reconciliation</w:t>
      </w:r>
    </w:p>
    <w:p>
      <w:pPr>
        <w:spacing w:after="0"/>
        <w:rPr>
          <w:sz w:val="20"/>
          <w:szCs w:val="20"/>
          <w:color w:val="auto"/>
        </w:rPr>
      </w:pPr>
      <w:r>
        <w:rPr>
          <w:rFonts w:ascii="Arial" w:cs="Arial" w:eastAsia="Arial" w:hAnsi="Arial"/>
          <w:sz w:val="21"/>
          <w:szCs w:val="21"/>
          <w:i w:val="1"/>
          <w:iCs w:val="1"/>
          <w:color w:val="202E39"/>
        </w:rPr>
        <w:t>$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1460" w:type="dxa"/>
        <w:tblCellMar>
          <w:top w:w="0" w:type="dxa"/>
          <w:left w:w="0" w:type="dxa"/>
          <w:bottom w:w="0" w:type="dxa"/>
          <w:right w:w="0" w:type="dxa"/>
        </w:tblCellMar>
      </w:tblPr>
      <w:tr>
        <w:trPr>
          <w:trHeight w:val="170"/>
        </w:trPr>
        <w:tc>
          <w:tcPr>
            <w:tcW w:w="3800" w:type="dxa"/>
            <w:vAlign w:val="bottom"/>
          </w:tcPr>
          <w:p>
            <w:pPr>
              <w:spacing w:after="0"/>
              <w:rPr>
                <w:sz w:val="14"/>
                <w:szCs w:val="14"/>
                <w:color w:val="auto"/>
              </w:rPr>
            </w:pPr>
          </w:p>
        </w:tc>
        <w:tc>
          <w:tcPr>
            <w:tcW w:w="1980" w:type="dxa"/>
            <w:vAlign w:val="bottom"/>
          </w:tcPr>
          <w:p>
            <w:pPr>
              <w:jc w:val="center"/>
              <w:ind w:left="936"/>
              <w:spacing w:after="0"/>
              <w:rPr>
                <w:sz w:val="20"/>
                <w:szCs w:val="20"/>
                <w:color w:val="auto"/>
              </w:rPr>
            </w:pPr>
            <w:r>
              <w:rPr>
                <w:rFonts w:ascii="Arial" w:cs="Arial" w:eastAsia="Arial" w:hAnsi="Arial"/>
                <w:sz w:val="13"/>
                <w:szCs w:val="13"/>
                <w:b w:val="1"/>
                <w:bCs w:val="1"/>
                <w:color w:val="auto"/>
                <w:w w:val="96"/>
              </w:rPr>
              <w:t>FY18</w:t>
            </w:r>
          </w:p>
        </w:tc>
        <w:tc>
          <w:tcPr>
            <w:tcW w:w="640" w:type="dxa"/>
            <w:vAlign w:val="bottom"/>
          </w:tcPr>
          <w:p>
            <w:pPr>
              <w:jc w:val="center"/>
              <w:ind w:left="256"/>
              <w:spacing w:after="0"/>
              <w:rPr>
                <w:sz w:val="20"/>
                <w:szCs w:val="20"/>
                <w:color w:val="auto"/>
              </w:rPr>
            </w:pPr>
            <w:r>
              <w:rPr>
                <w:rFonts w:ascii="Arial" w:cs="Arial" w:eastAsia="Arial" w:hAnsi="Arial"/>
                <w:sz w:val="13"/>
                <w:szCs w:val="13"/>
                <w:b w:val="1"/>
                <w:bCs w:val="1"/>
                <w:color w:val="auto"/>
              </w:rPr>
              <w:t>FY19</w:t>
            </w:r>
          </w:p>
        </w:tc>
      </w:tr>
      <w:tr>
        <w:trPr>
          <w:trHeight w:val="247"/>
        </w:trPr>
        <w:tc>
          <w:tcPr>
            <w:tcW w:w="3800" w:type="dxa"/>
            <w:vAlign w:val="bottom"/>
          </w:tcPr>
          <w:p>
            <w:pPr>
              <w:spacing w:after="0"/>
              <w:rPr>
                <w:sz w:val="20"/>
                <w:szCs w:val="20"/>
                <w:color w:val="auto"/>
              </w:rPr>
            </w:pPr>
            <w:r>
              <w:rPr>
                <w:rFonts w:ascii="Arial" w:cs="Arial" w:eastAsia="Arial" w:hAnsi="Arial"/>
                <w:sz w:val="13"/>
                <w:szCs w:val="13"/>
                <w:b w:val="1"/>
                <w:bCs w:val="1"/>
                <w:color w:val="auto"/>
              </w:rPr>
              <w:t>Net Loss Attributable to Viasat, Inc.</w:t>
            </w:r>
          </w:p>
        </w:tc>
        <w:tc>
          <w:tcPr>
            <w:tcW w:w="1980" w:type="dxa"/>
            <w:vAlign w:val="bottom"/>
          </w:tcPr>
          <w:p>
            <w:pPr>
              <w:ind w:left="1360"/>
              <w:spacing w:after="0"/>
              <w:rPr>
                <w:sz w:val="20"/>
                <w:szCs w:val="20"/>
                <w:color w:val="auto"/>
              </w:rPr>
            </w:pPr>
            <w:r>
              <w:rPr>
                <w:rFonts w:ascii="Arial" w:cs="Arial" w:eastAsia="Arial" w:hAnsi="Arial"/>
                <w:sz w:val="13"/>
                <w:szCs w:val="13"/>
                <w:color w:val="auto"/>
              </w:rPr>
              <w:t>($67)</w:t>
            </w:r>
          </w:p>
        </w:tc>
        <w:tc>
          <w:tcPr>
            <w:tcW w:w="640" w:type="dxa"/>
            <w:vAlign w:val="bottom"/>
          </w:tcPr>
          <w:p>
            <w:pPr>
              <w:jc w:val="center"/>
              <w:ind w:left="276"/>
              <w:spacing w:after="0"/>
              <w:rPr>
                <w:sz w:val="20"/>
                <w:szCs w:val="20"/>
                <w:color w:val="auto"/>
              </w:rPr>
            </w:pPr>
            <w:r>
              <w:rPr>
                <w:rFonts w:ascii="Arial" w:cs="Arial" w:eastAsia="Arial" w:hAnsi="Arial"/>
                <w:sz w:val="13"/>
                <w:szCs w:val="13"/>
                <w:color w:val="auto"/>
                <w:w w:val="98"/>
              </w:rPr>
              <w:t>($68)</w:t>
            </w:r>
          </w:p>
        </w:tc>
      </w:tr>
      <w:tr>
        <w:trPr>
          <w:trHeight w:val="322"/>
        </w:trPr>
        <w:tc>
          <w:tcPr>
            <w:tcW w:w="3800" w:type="dxa"/>
            <w:vAlign w:val="bottom"/>
          </w:tcPr>
          <w:p>
            <w:pPr>
              <w:spacing w:after="0"/>
              <w:rPr>
                <w:sz w:val="20"/>
                <w:szCs w:val="20"/>
                <w:color w:val="auto"/>
              </w:rPr>
            </w:pPr>
            <w:r>
              <w:rPr>
                <w:rFonts w:ascii="Arial" w:cs="Arial" w:eastAsia="Arial" w:hAnsi="Arial"/>
                <w:sz w:val="13"/>
                <w:szCs w:val="13"/>
                <w:b w:val="1"/>
                <w:bCs w:val="1"/>
                <w:color w:val="auto"/>
              </w:rPr>
              <w:t>(+) Benefit from Income Taxes</w:t>
            </w:r>
          </w:p>
        </w:tc>
        <w:tc>
          <w:tcPr>
            <w:tcW w:w="1980" w:type="dxa"/>
            <w:vAlign w:val="bottom"/>
          </w:tcPr>
          <w:p>
            <w:pPr>
              <w:ind w:left="1360"/>
              <w:spacing w:after="0"/>
              <w:rPr>
                <w:sz w:val="20"/>
                <w:szCs w:val="20"/>
                <w:color w:val="auto"/>
              </w:rPr>
            </w:pPr>
            <w:r>
              <w:rPr>
                <w:rFonts w:ascii="Arial" w:cs="Arial" w:eastAsia="Arial" w:hAnsi="Arial"/>
                <w:sz w:val="13"/>
                <w:szCs w:val="13"/>
                <w:color w:val="auto"/>
              </w:rPr>
              <w:t>($35)</w:t>
            </w:r>
          </w:p>
        </w:tc>
        <w:tc>
          <w:tcPr>
            <w:tcW w:w="640" w:type="dxa"/>
            <w:vAlign w:val="bottom"/>
          </w:tcPr>
          <w:p>
            <w:pPr>
              <w:jc w:val="center"/>
              <w:ind w:left="276"/>
              <w:spacing w:after="0"/>
              <w:rPr>
                <w:sz w:val="20"/>
                <w:szCs w:val="20"/>
                <w:color w:val="auto"/>
              </w:rPr>
            </w:pPr>
            <w:r>
              <w:rPr>
                <w:rFonts w:ascii="Arial" w:cs="Arial" w:eastAsia="Arial" w:hAnsi="Arial"/>
                <w:sz w:val="13"/>
                <w:szCs w:val="13"/>
                <w:color w:val="auto"/>
                <w:w w:val="98"/>
              </w:rPr>
              <w:t>($41)</w:t>
            </w:r>
          </w:p>
        </w:tc>
      </w:tr>
      <w:tr>
        <w:trPr>
          <w:trHeight w:val="333"/>
        </w:trPr>
        <w:tc>
          <w:tcPr>
            <w:tcW w:w="3800" w:type="dxa"/>
            <w:vAlign w:val="bottom"/>
          </w:tcPr>
          <w:p>
            <w:pPr>
              <w:spacing w:after="0"/>
              <w:rPr>
                <w:sz w:val="20"/>
                <w:szCs w:val="20"/>
                <w:color w:val="auto"/>
              </w:rPr>
            </w:pPr>
            <w:r>
              <w:rPr>
                <w:rFonts w:ascii="Arial" w:cs="Arial" w:eastAsia="Arial" w:hAnsi="Arial"/>
                <w:sz w:val="13"/>
                <w:szCs w:val="13"/>
                <w:b w:val="1"/>
                <w:bCs w:val="1"/>
                <w:color w:val="auto"/>
              </w:rPr>
              <w:t>(+) Interest Expense</w:t>
            </w:r>
          </w:p>
        </w:tc>
        <w:tc>
          <w:tcPr>
            <w:tcW w:w="1980" w:type="dxa"/>
            <w:vAlign w:val="bottom"/>
          </w:tcPr>
          <w:p>
            <w:pPr>
              <w:jc w:val="center"/>
              <w:ind w:left="956"/>
              <w:spacing w:after="0"/>
              <w:rPr>
                <w:sz w:val="20"/>
                <w:szCs w:val="20"/>
                <w:color w:val="auto"/>
              </w:rPr>
            </w:pPr>
            <w:r>
              <w:rPr>
                <w:rFonts w:ascii="Arial" w:cs="Arial" w:eastAsia="Arial" w:hAnsi="Arial"/>
                <w:sz w:val="13"/>
                <w:szCs w:val="13"/>
                <w:color w:val="auto"/>
              </w:rPr>
              <w:t>$2</w:t>
            </w:r>
          </w:p>
        </w:tc>
        <w:tc>
          <w:tcPr>
            <w:tcW w:w="640" w:type="dxa"/>
            <w:vAlign w:val="bottom"/>
          </w:tcPr>
          <w:p>
            <w:pPr>
              <w:jc w:val="center"/>
              <w:ind w:left="276"/>
              <w:spacing w:after="0"/>
              <w:rPr>
                <w:sz w:val="20"/>
                <w:szCs w:val="20"/>
                <w:color w:val="auto"/>
              </w:rPr>
            </w:pPr>
            <w:r>
              <w:rPr>
                <w:rFonts w:ascii="Arial" w:cs="Arial" w:eastAsia="Arial" w:hAnsi="Arial"/>
                <w:sz w:val="13"/>
                <w:szCs w:val="13"/>
                <w:color w:val="auto"/>
              </w:rPr>
              <w:t>$50</w:t>
            </w:r>
          </w:p>
        </w:tc>
      </w:tr>
      <w:tr>
        <w:trPr>
          <w:trHeight w:val="322"/>
        </w:trPr>
        <w:tc>
          <w:tcPr>
            <w:tcW w:w="3800" w:type="dxa"/>
            <w:vAlign w:val="bottom"/>
          </w:tcPr>
          <w:p>
            <w:pPr>
              <w:spacing w:after="0"/>
              <w:rPr>
                <w:sz w:val="20"/>
                <w:szCs w:val="20"/>
                <w:color w:val="auto"/>
              </w:rPr>
            </w:pPr>
            <w:r>
              <w:rPr>
                <w:rFonts w:ascii="Arial" w:cs="Arial" w:eastAsia="Arial" w:hAnsi="Arial"/>
                <w:sz w:val="13"/>
                <w:szCs w:val="13"/>
                <w:b w:val="1"/>
                <w:bCs w:val="1"/>
                <w:color w:val="auto"/>
              </w:rPr>
              <w:t>(+) Depreciation &amp; Amortization</w:t>
            </w:r>
          </w:p>
        </w:tc>
        <w:tc>
          <w:tcPr>
            <w:tcW w:w="1980" w:type="dxa"/>
            <w:vAlign w:val="bottom"/>
          </w:tcPr>
          <w:p>
            <w:pPr>
              <w:ind w:left="1360"/>
              <w:spacing w:after="0"/>
              <w:rPr>
                <w:sz w:val="20"/>
                <w:szCs w:val="20"/>
                <w:color w:val="auto"/>
              </w:rPr>
            </w:pPr>
            <w:r>
              <w:rPr>
                <w:rFonts w:ascii="Arial" w:cs="Arial" w:eastAsia="Arial" w:hAnsi="Arial"/>
                <w:sz w:val="13"/>
                <w:szCs w:val="13"/>
                <w:color w:val="auto"/>
              </w:rPr>
              <w:t>$256</w:t>
            </w:r>
          </w:p>
        </w:tc>
        <w:tc>
          <w:tcPr>
            <w:tcW w:w="640" w:type="dxa"/>
            <w:vAlign w:val="bottom"/>
          </w:tcPr>
          <w:p>
            <w:pPr>
              <w:jc w:val="center"/>
              <w:ind w:left="256"/>
              <w:spacing w:after="0"/>
              <w:rPr>
                <w:sz w:val="20"/>
                <w:szCs w:val="20"/>
                <w:color w:val="auto"/>
              </w:rPr>
            </w:pPr>
            <w:r>
              <w:rPr>
                <w:rFonts w:ascii="Arial" w:cs="Arial" w:eastAsia="Arial" w:hAnsi="Arial"/>
                <w:sz w:val="13"/>
                <w:szCs w:val="13"/>
                <w:color w:val="auto"/>
                <w:w w:val="96"/>
              </w:rPr>
              <w:t>$319</w:t>
            </w:r>
          </w:p>
        </w:tc>
      </w:tr>
      <w:tr>
        <w:trPr>
          <w:trHeight w:val="322"/>
        </w:trPr>
        <w:tc>
          <w:tcPr>
            <w:tcW w:w="3800" w:type="dxa"/>
            <w:vAlign w:val="bottom"/>
          </w:tcPr>
          <w:p>
            <w:pPr>
              <w:spacing w:after="0"/>
              <w:rPr>
                <w:sz w:val="20"/>
                <w:szCs w:val="20"/>
                <w:color w:val="auto"/>
              </w:rPr>
            </w:pPr>
            <w:r>
              <w:rPr>
                <w:rFonts w:ascii="Arial" w:cs="Arial" w:eastAsia="Arial" w:hAnsi="Arial"/>
                <w:sz w:val="13"/>
                <w:szCs w:val="13"/>
                <w:b w:val="1"/>
                <w:bCs w:val="1"/>
                <w:color w:val="auto"/>
              </w:rPr>
              <w:t>(+) Stock-Based Compensation Expense</w:t>
            </w:r>
          </w:p>
        </w:tc>
        <w:tc>
          <w:tcPr>
            <w:tcW w:w="1980" w:type="dxa"/>
            <w:vAlign w:val="bottom"/>
          </w:tcPr>
          <w:p>
            <w:pPr>
              <w:jc w:val="center"/>
              <w:ind w:left="976"/>
              <w:spacing w:after="0"/>
              <w:rPr>
                <w:sz w:val="20"/>
                <w:szCs w:val="20"/>
                <w:color w:val="auto"/>
              </w:rPr>
            </w:pPr>
            <w:r>
              <w:rPr>
                <w:rFonts w:ascii="Arial" w:cs="Arial" w:eastAsia="Arial" w:hAnsi="Arial"/>
                <w:sz w:val="13"/>
                <w:szCs w:val="13"/>
                <w:color w:val="auto"/>
              </w:rPr>
              <w:t>$69</w:t>
            </w:r>
          </w:p>
        </w:tc>
        <w:tc>
          <w:tcPr>
            <w:tcW w:w="640" w:type="dxa"/>
            <w:vAlign w:val="bottom"/>
          </w:tcPr>
          <w:p>
            <w:pPr>
              <w:jc w:val="center"/>
              <w:ind w:left="276"/>
              <w:spacing w:after="0"/>
              <w:rPr>
                <w:sz w:val="20"/>
                <w:szCs w:val="20"/>
                <w:color w:val="auto"/>
              </w:rPr>
            </w:pPr>
            <w:r>
              <w:rPr>
                <w:rFonts w:ascii="Arial" w:cs="Arial" w:eastAsia="Arial" w:hAnsi="Arial"/>
                <w:sz w:val="13"/>
                <w:szCs w:val="13"/>
                <w:color w:val="auto"/>
              </w:rPr>
              <w:t>$79</w:t>
            </w:r>
          </w:p>
        </w:tc>
      </w:tr>
      <w:tr>
        <w:trPr>
          <w:trHeight w:val="322"/>
        </w:trPr>
        <w:tc>
          <w:tcPr>
            <w:tcW w:w="3800" w:type="dxa"/>
            <w:vAlign w:val="bottom"/>
          </w:tcPr>
          <w:p>
            <w:pPr>
              <w:spacing w:after="0"/>
              <w:rPr>
                <w:sz w:val="20"/>
                <w:szCs w:val="20"/>
                <w:color w:val="auto"/>
              </w:rPr>
            </w:pPr>
            <w:r>
              <w:rPr>
                <w:rFonts w:ascii="Arial" w:cs="Arial" w:eastAsia="Arial" w:hAnsi="Arial"/>
                <w:sz w:val="13"/>
                <w:szCs w:val="13"/>
                <w:b w:val="1"/>
                <w:bCs w:val="1"/>
                <w:color w:val="auto"/>
              </w:rPr>
              <w:t>(+) Loss on Extinguishment of Debt</w:t>
            </w:r>
          </w:p>
        </w:tc>
        <w:tc>
          <w:tcPr>
            <w:tcW w:w="1980" w:type="dxa"/>
            <w:vAlign w:val="bottom"/>
          </w:tcPr>
          <w:p>
            <w:pPr>
              <w:jc w:val="center"/>
              <w:ind w:left="976"/>
              <w:spacing w:after="0"/>
              <w:rPr>
                <w:sz w:val="20"/>
                <w:szCs w:val="20"/>
                <w:color w:val="auto"/>
              </w:rPr>
            </w:pPr>
            <w:r>
              <w:rPr>
                <w:rFonts w:ascii="Arial" w:cs="Arial" w:eastAsia="Arial" w:hAnsi="Arial"/>
                <w:sz w:val="13"/>
                <w:szCs w:val="13"/>
                <w:color w:val="auto"/>
              </w:rPr>
              <w:t>$10</w:t>
            </w:r>
          </w:p>
        </w:tc>
        <w:tc>
          <w:tcPr>
            <w:tcW w:w="640" w:type="dxa"/>
            <w:vAlign w:val="bottom"/>
          </w:tcPr>
          <w:p>
            <w:pPr>
              <w:jc w:val="center"/>
              <w:ind w:left="276"/>
              <w:spacing w:after="0"/>
              <w:rPr>
                <w:sz w:val="20"/>
                <w:szCs w:val="20"/>
                <w:color w:val="auto"/>
              </w:rPr>
            </w:pPr>
            <w:r>
              <w:rPr>
                <w:rFonts w:ascii="Arial" w:cs="Arial" w:eastAsia="Arial" w:hAnsi="Arial"/>
                <w:sz w:val="13"/>
                <w:szCs w:val="13"/>
                <w:color w:val="auto"/>
              </w:rPr>
              <w:t>--</w:t>
            </w:r>
          </w:p>
        </w:tc>
      </w:tr>
      <w:tr>
        <w:trPr>
          <w:trHeight w:val="429"/>
        </w:trPr>
        <w:tc>
          <w:tcPr>
            <w:tcW w:w="3800" w:type="dxa"/>
            <w:vAlign w:val="bottom"/>
          </w:tcPr>
          <w:p>
            <w:pPr>
              <w:spacing w:after="0"/>
              <w:rPr>
                <w:sz w:val="20"/>
                <w:szCs w:val="20"/>
                <w:color w:val="auto"/>
              </w:rPr>
            </w:pPr>
            <w:r>
              <w:rPr>
                <w:rFonts w:ascii="Arial" w:cs="Arial" w:eastAsia="Arial" w:hAnsi="Arial"/>
                <w:sz w:val="13"/>
                <w:szCs w:val="13"/>
                <w:b w:val="1"/>
                <w:bCs w:val="1"/>
                <w:color w:val="auto"/>
              </w:rPr>
              <w:t>Adj. EBITDA</w:t>
            </w:r>
          </w:p>
        </w:tc>
        <w:tc>
          <w:tcPr>
            <w:tcW w:w="1980" w:type="dxa"/>
            <w:vAlign w:val="bottom"/>
          </w:tcPr>
          <w:p>
            <w:pPr>
              <w:ind w:left="1360"/>
              <w:spacing w:after="0"/>
              <w:rPr>
                <w:sz w:val="20"/>
                <w:szCs w:val="20"/>
                <w:color w:val="auto"/>
              </w:rPr>
            </w:pPr>
            <w:r>
              <w:rPr>
                <w:rFonts w:ascii="Arial" w:cs="Arial" w:eastAsia="Arial" w:hAnsi="Arial"/>
                <w:sz w:val="13"/>
                <w:szCs w:val="13"/>
                <w:color w:val="auto"/>
              </w:rPr>
              <w:t>$235</w:t>
            </w:r>
          </w:p>
        </w:tc>
        <w:tc>
          <w:tcPr>
            <w:tcW w:w="640" w:type="dxa"/>
            <w:vAlign w:val="bottom"/>
          </w:tcPr>
          <w:p>
            <w:pPr>
              <w:jc w:val="center"/>
              <w:ind w:left="256"/>
              <w:spacing w:after="0"/>
              <w:rPr>
                <w:sz w:val="20"/>
                <w:szCs w:val="20"/>
                <w:color w:val="auto"/>
              </w:rPr>
            </w:pPr>
            <w:r>
              <w:rPr>
                <w:rFonts w:ascii="Arial" w:cs="Arial" w:eastAsia="Arial" w:hAnsi="Arial"/>
                <w:sz w:val="13"/>
                <w:szCs w:val="13"/>
                <w:color w:val="auto"/>
                <w:w w:val="96"/>
              </w:rPr>
              <w:t>$339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900" w:type="dxa"/>
        <w:tblCellMar>
          <w:top w:w="0" w:type="dxa"/>
          <w:left w:w="0" w:type="dxa"/>
          <w:bottom w:w="0" w:type="dxa"/>
          <w:right w:w="0" w:type="dxa"/>
        </w:tblCellMar>
      </w:tblPr>
      <w:tr>
        <w:trPr>
          <w:trHeight w:val="115"/>
        </w:trPr>
        <w:tc>
          <w:tcPr>
            <w:tcW w:w="5080" w:type="dxa"/>
            <w:vAlign w:val="bottom"/>
          </w:tcPr>
          <w:p>
            <w:pPr>
              <w:spacing w:after="0"/>
              <w:rPr>
                <w:sz w:val="20"/>
                <w:szCs w:val="20"/>
                <w:color w:val="auto"/>
              </w:rPr>
            </w:pPr>
            <w:r>
              <w:rPr>
                <w:rFonts w:ascii="Arial" w:cs="Arial" w:eastAsia="Arial" w:hAnsi="Arial"/>
                <w:sz w:val="10"/>
                <w:szCs w:val="10"/>
                <w:color w:val="202E39"/>
              </w:rPr>
              <w:t>Source: Company filings</w:t>
            </w:r>
          </w:p>
        </w:tc>
        <w:tc>
          <w:tcPr>
            <w:tcW w:w="4140" w:type="dxa"/>
            <w:vAlign w:val="bottom"/>
          </w:tcPr>
          <w:p>
            <w:pPr>
              <w:jc w:val="right"/>
              <w:spacing w:after="0"/>
              <w:rPr>
                <w:sz w:val="20"/>
                <w:szCs w:val="20"/>
                <w:color w:val="auto"/>
              </w:rPr>
            </w:pPr>
            <w:r>
              <w:rPr>
                <w:rFonts w:ascii="Arial" w:cs="Arial" w:eastAsia="Arial" w:hAnsi="Arial"/>
                <w:sz w:val="9"/>
                <w:szCs w:val="9"/>
                <w:color w:val="7F7F7F"/>
              </w:rPr>
              <w:t>13</w:t>
            </w:r>
          </w:p>
        </w:tc>
      </w:tr>
    </w:tbl>
    <w:p>
      <w:pPr>
        <w:sectPr>
          <w:pgSz w:w="11900" w:h="16838" w:orient="portrait"/>
          <w:cols w:equalWidth="0" w:num="1">
            <w:col w:w="10120"/>
          </w:cols>
          <w:pgMar w:left="940" w:top="957" w:right="839" w:bottom="1440" w:gutter="0" w:footer="0" w:header="0"/>
        </w:sectPr>
      </w:pPr>
    </w:p>
    <w:bookmarkStart w:id="14" w:name="page15"/>
    <w:bookmarkEnd w:id="1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130810</wp:posOffset>
            </wp:positionH>
            <wp:positionV relativeFrom="page">
              <wp:posOffset>88900</wp:posOffset>
            </wp:positionV>
            <wp:extent cx="7313930" cy="396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13930" cy="39643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lvl w:ilvl="1">
      <w:lvlJc w:val="left"/>
      <w:lvlText w:val="(%2)"/>
      <w:numFmt w:val="decimal"/>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lvl w:ilvl="1">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4"/>
      <w:numFmt w:val="bullet"/>
      <w:start w:val="1"/>
    </w:lvl>
  </w:abstractNum>
  <w:abstractNum w:abstractNumId="17">
    <w:nsid w:val="2443A858"/>
    <w:multiLevelType w:val="hybridMultilevel"/>
    <w:lvl w:ilvl="0">
      <w:lvlJc w:val="left"/>
      <w:lvlText w:val="4"/>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
      <w:numFmt w:val="bullet"/>
      <w:start w:val="1"/>
    </w:lvl>
  </w:abstractNum>
  <w:abstractNum w:abstractNumId="26">
    <w:nsid w:val="54E49EB4"/>
    <w:multiLevelType w:val="hybridMultilevel"/>
    <w:lvl w:ilvl="0">
      <w:lvlJc w:val="left"/>
      <w:lvlText w:val="\en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2019-12-21T00:07:41Z</dcterms:created>
  <dcterms:modified xsi:type="dcterms:W3CDTF">2019-12-21T00:07:41Z</dcterms:modified>
</cp:coreProperties>
</file>