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Arial" w:hAnsi="Arial"/>
          <w:b/>
          <w:sz w:val="20"/>
        </w:rPr>
      </w:pPr>
      <w:bookmarkStart w:id="0" w:name="d156314d8k.htm"/>
      <w:bookmarkStart w:id="1" w:name="ksd156314d8k"/>
      <w:bookmarkEnd w:id="0"/>
      <w:bookmarkEnd w:id="1"/>
      <w:r>
        <w:rPr>
          <w:rFonts w:ascii="Arial" w:hAnsi="Arial"/>
          <w:b/>
          <w:sz w:val="20"/>
        </w:rPr>
        <w:t>UNITED STATES</w:t>
      </w:r>
    </w:p>
    <w:p>
      <w:pPr>
        <w:pStyle w:val="TextBody"/>
        <w:bidi w:val="0"/>
        <w:spacing w:before="0" w:after="0"/>
        <w:jc w:val="center"/>
        <w:rPr>
          <w:rFonts w:ascii="Arial" w:hAnsi="Arial"/>
          <w:b/>
          <w:sz w:val="20"/>
        </w:rPr>
      </w:pPr>
      <w:r>
        <w:rPr>
          <w:rFonts w:ascii="Arial" w:hAnsi="Arial"/>
          <w:b/>
          <w:sz w:val="20"/>
        </w:rPr>
        <w:t>SECURITIES AND EXCHANGE COMMISSION</w:t>
      </w:r>
    </w:p>
    <w:p>
      <w:pPr>
        <w:pStyle w:val="TextBody"/>
        <w:bidi w:val="0"/>
        <w:spacing w:before="0" w:after="0"/>
        <w:jc w:val="center"/>
        <w:rPr>
          <w:rFonts w:ascii="Arial" w:hAnsi="Arial"/>
          <w:b/>
          <w:sz w:val="20"/>
        </w:rPr>
      </w:pPr>
      <w:r>
        <w:rPr>
          <w:rFonts w:ascii="Arial" w:hAnsi="Arial"/>
          <w:b/>
          <w:sz w:val="20"/>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FORM 8-K</w:t>
      </w:r>
    </w:p>
    <w:p>
      <w:pPr>
        <w:pStyle w:val="TextBody"/>
        <w:bidi w:val="0"/>
        <w:spacing w:before="240" w:after="0"/>
        <w:jc w:val="center"/>
        <w:rPr>
          <w:rFonts w:ascii="Arial" w:hAnsi="Arial"/>
          <w:b/>
          <w:sz w:val="20"/>
        </w:rPr>
      </w:pPr>
      <w:r>
        <w:rPr>
          <w:rFonts w:ascii="Arial" w:hAnsi="Arial"/>
          <w:b/>
          <w:sz w:val="20"/>
        </w:rPr>
        <w:t>CURRENT REPORT</w:t>
      </w:r>
    </w:p>
    <w:p>
      <w:pPr>
        <w:pStyle w:val="TextBody"/>
        <w:bidi w:val="0"/>
        <w:spacing w:before="0" w:after="0"/>
        <w:jc w:val="center"/>
        <w:rPr>
          <w:rFonts w:ascii="Arial" w:hAnsi="Arial"/>
          <w:b/>
          <w:sz w:val="20"/>
        </w:rPr>
      </w:pPr>
      <w:r>
        <w:rPr>
          <w:rFonts w:ascii="Arial" w:hAnsi="Arial"/>
          <w:b/>
          <w:sz w:val="20"/>
        </w:rPr>
        <w:t>Pursuant to Section 13 or 15(d) of</w:t>
      </w:r>
    </w:p>
    <w:p>
      <w:pPr>
        <w:pStyle w:val="TextBody"/>
        <w:bidi w:val="0"/>
        <w:spacing w:before="0" w:after="0"/>
        <w:jc w:val="center"/>
        <w:rPr>
          <w:rFonts w:ascii="Arial" w:hAnsi="Arial"/>
          <w:b/>
          <w:sz w:val="20"/>
        </w:rPr>
      </w:pPr>
      <w:r>
        <w:rPr>
          <w:rFonts w:ascii="Arial" w:hAnsi="Arial"/>
          <w:b/>
          <w:sz w:val="20"/>
        </w:rPr>
        <w:t>the Securities Exchange Act of 1934</w:t>
      </w:r>
    </w:p>
    <w:p>
      <w:pPr>
        <w:pStyle w:val="TextBody"/>
        <w:bidi w:val="0"/>
        <w:spacing w:before="240" w:after="0"/>
        <w:jc w:val="center"/>
        <w:rPr>
          <w:rFonts w:ascii="Arial" w:hAnsi="Arial"/>
          <w:sz w:val="20"/>
        </w:rPr>
      </w:pPr>
      <w:r>
        <w:rPr>
          <w:rFonts w:ascii="Arial" w:hAnsi="Arial"/>
          <w:sz w:val="20"/>
        </w:rPr>
        <w:t>Date of Report (Date of Earliest Event Reported): September 3, 2026</w:t>
      </w:r>
    </w:p>
    <w:p>
      <w:pPr>
        <w:pStyle w:val="TextBody"/>
        <w:bidi w:val="0"/>
        <w:spacing w:before="0" w:after="0"/>
        <w:jc w:val="left"/>
        <w:rPr/>
      </w:pPr>
      <w:r>
        <w:rPr/>
        <w:t> </w:t>
      </w:r>
    </w:p>
    <w:p>
      <w:pPr>
        <w:pStyle w:val="TextBody"/>
        <w:bidi w:val="0"/>
        <w:spacing w:before="0" w:after="0"/>
        <w:jc w:val="center"/>
        <w:rPr/>
      </w:pPr>
      <w:r>
        <w:rPr/>
        <w:drawing>
          <wp:inline distT="0" distB="0" distL="0" distR="0">
            <wp:extent cx="11525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571500"/>
                    </a:xfrm>
                    <a:prstGeom prst="rect">
                      <a:avLst/>
                    </a:prstGeom>
                  </pic:spPr>
                </pic:pic>
              </a:graphicData>
            </a:graphic>
          </wp:inline>
        </w:drawing>
      </w:r>
    </w:p>
    <w:p>
      <w:pPr>
        <w:pStyle w:val="TextBody"/>
        <w:bidi w:val="0"/>
        <w:spacing w:before="40" w:after="0"/>
        <w:jc w:val="center"/>
        <w:rPr>
          <w:rFonts w:ascii="Arial" w:hAnsi="Arial"/>
          <w:b/>
          <w:sz w:val="36"/>
        </w:rPr>
      </w:pPr>
      <w:r>
        <w:rPr>
          <w:rFonts w:ascii="Arial" w:hAnsi="Arial"/>
          <w:b/>
          <w:sz w:val="36"/>
        </w:rPr>
        <w:t xml:space="preserve">VIASAT, INC. </w:t>
      </w:r>
    </w:p>
    <w:p>
      <w:pPr>
        <w:pStyle w:val="TextBody"/>
        <w:bidi w:val="0"/>
        <w:spacing w:before="0" w:after="0"/>
        <w:jc w:val="center"/>
        <w:rPr>
          <w:rFonts w:ascii="Arial" w:hAnsi="Arial"/>
          <w:sz w:val="20"/>
        </w:rPr>
      </w:pPr>
      <w:r>
        <w:rPr>
          <w:rFonts w:ascii="Arial" w:hAnsi="Arial"/>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915" w:type="dxa"/>
        <w:jc w:val="left"/>
        <w:tblInd w:w="0" w:type="dxa"/>
        <w:tblLayout w:type="fixed"/>
        <w:tblCellMar>
          <w:top w:w="0" w:type="dxa"/>
          <w:left w:w="0" w:type="dxa"/>
          <w:bottom w:w="0" w:type="dxa"/>
          <w:right w:w="0" w:type="dxa"/>
        </w:tblCellMar>
      </w:tblPr>
      <w:tblGrid>
        <w:gridCol w:w="2825"/>
        <w:gridCol w:w="60"/>
        <w:gridCol w:w="2195"/>
        <w:gridCol w:w="60"/>
        <w:gridCol w:w="17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0"/>
              <w:jc w:val="center"/>
              <w:rPr>
                <w:rFonts w:ascii="Arial" w:hAnsi="Arial"/>
                <w:b/>
                <w:sz w:val="20"/>
              </w:rPr>
            </w:pPr>
            <w:r>
              <w:rPr>
                <w:rFonts w:ascii="Arial" w:hAnsi="Arial"/>
                <w:b/>
                <w:sz w:val="20"/>
              </w:rPr>
              <w:t>Delaware</w:t>
            </w:r>
          </w:p>
          <w:p>
            <w:pPr>
              <w:pStyle w:val="TableContents"/>
              <w:bidi w:val="0"/>
              <w:spacing w:before="0" w:after="0"/>
              <w:jc w:val="left"/>
              <w:rPr/>
            </w:pPr>
            <w:r>
              <w:rPr/>
              <w:t> </w:t>
            </w:r>
          </w:p>
          <w:p>
            <w:pPr>
              <w:pStyle w:val="TableContents"/>
              <w:bidi w:val="0"/>
              <w:spacing w:before="0" w:after="20"/>
              <w:jc w:val="center"/>
              <w:rPr>
                <w:u w:val="single"/>
              </w:rPr>
            </w:pPr>
            <w:r>
              <w:rPr>
                <w:u w:val="single"/>
              </w:rPr>
              <w:t>      </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center"/>
              <w:rPr>
                <w:rFonts w:ascii="Arial" w:hAnsi="Arial"/>
                <w:b/>
                <w:sz w:val="20"/>
              </w:rPr>
            </w:pPr>
            <w:r>
              <w:rPr>
                <w:rFonts w:ascii="Arial" w:hAnsi="Arial"/>
                <w:b/>
                <w:sz w:val="20"/>
              </w:rPr>
              <w:t>000-21767</w:t>
            </w:r>
          </w:p>
          <w:p>
            <w:pPr>
              <w:pStyle w:val="TableContents"/>
              <w:bidi w:val="0"/>
              <w:spacing w:before="0" w:after="0"/>
              <w:jc w:val="left"/>
              <w:rPr/>
            </w:pPr>
            <w:r>
              <w:rPr/>
              <w:t> </w:t>
            </w:r>
          </w:p>
          <w:p>
            <w:pPr>
              <w:pStyle w:val="TableContents"/>
              <w:bidi w:val="0"/>
              <w:spacing w:before="0" w:after="20"/>
              <w:jc w:val="center"/>
              <w:rPr>
                <w:u w:val="single"/>
              </w:rPr>
            </w:pPr>
            <w:r>
              <w:rPr>
                <w:u w:val="single"/>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rFonts w:ascii="Arial" w:hAnsi="Arial"/>
                <w:b/>
                <w:sz w:val="20"/>
              </w:rPr>
            </w:pPr>
            <w:r>
              <w:rPr>
                <w:rFonts w:ascii="Arial" w:hAnsi="Arial"/>
                <w:b/>
                <w:sz w:val="20"/>
              </w:rPr>
              <w:t>33-0174996</w:t>
            </w:r>
          </w:p>
          <w:p>
            <w:pPr>
              <w:pStyle w:val="TableContents"/>
              <w:bidi w:val="0"/>
              <w:spacing w:before="0" w:after="0"/>
              <w:jc w:val="left"/>
              <w:rPr/>
            </w:pPr>
            <w:r>
              <w:rPr/>
              <w:t> </w:t>
            </w:r>
          </w:p>
          <w:p>
            <w:pPr>
              <w:pStyle w:val="TableContents"/>
              <w:bidi w:val="0"/>
              <w:spacing w:before="0" w:after="20"/>
              <w:jc w:val="center"/>
              <w:rPr>
                <w:u w:val="single"/>
              </w:rPr>
            </w:pPr>
            <w:r>
              <w:rPr>
                <w:u w:val="single"/>
              </w:rPr>
              <w:t>      </w:t>
            </w:r>
          </w:p>
        </w:tc>
      </w:tr>
      <w:tr>
        <w:trPr/>
        <w:tc>
          <w:tcPr>
            <w:tcW w:w="282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(Commission File No.)</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240" w:after="0"/>
        <w:jc w:val="center"/>
        <w:rPr>
          <w:rFonts w:ascii="Arial" w:hAnsi="Arial"/>
          <w:b/>
          <w:sz w:val="20"/>
        </w:rPr>
      </w:pPr>
      <w:r>
        <w:rPr>
          <w:rFonts w:ascii="Arial" w:hAnsi="Arial"/>
          <w:b/>
          <w:sz w:val="20"/>
        </w:rPr>
        <w:t>6155 El Camino Real</w:t>
      </w:r>
    </w:p>
    <w:p>
      <w:pPr>
        <w:pStyle w:val="TextBody"/>
        <w:bidi w:val="0"/>
        <w:spacing w:before="0" w:after="0"/>
        <w:jc w:val="center"/>
        <w:rPr>
          <w:rFonts w:ascii="Arial" w:hAnsi="Arial"/>
          <w:b/>
          <w:sz w:val="20"/>
        </w:rPr>
      </w:pPr>
      <w:r>
        <w:rPr>
          <w:rFonts w:ascii="Arial" w:hAnsi="Arial"/>
          <w:b/>
          <w:sz w:val="20"/>
        </w:rPr>
        <w:t>Carlsbad, California 92009</w:t>
      </w:r>
    </w:p>
    <w:p>
      <w:pPr>
        <w:pStyle w:val="TextBody"/>
        <w:bidi w:val="0"/>
        <w:spacing w:before="0" w:after="0"/>
        <w:jc w:val="center"/>
        <w:rPr>
          <w:rFonts w:ascii="Arial" w:hAnsi="Arial"/>
          <w:sz w:val="20"/>
        </w:rPr>
      </w:pPr>
      <w:r>
        <w:rPr>
          <w:rFonts w:ascii="Arial" w:hAnsi="Arial"/>
          <w:sz w:val="20"/>
        </w:rPr>
        <w:t>(Address of Principal Executive Offices, Including Zip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20"/>
        </w:rPr>
      </w:pPr>
      <w:r>
        <w:rPr>
          <w:rFonts w:ascii="Arial" w:hAnsi="Arial"/>
          <w:b/>
          <w:sz w:val="20"/>
        </w:rPr>
        <w:t>(760) 476-2200</w:t>
      </w:r>
    </w:p>
    <w:p>
      <w:pPr>
        <w:pStyle w:val="TextBody"/>
        <w:bidi w:val="0"/>
        <w:spacing w:before="0" w:after="0"/>
        <w:jc w:val="center"/>
        <w:rPr>
          <w:rFonts w:ascii="Arial" w:hAnsi="Arial"/>
          <w:sz w:val="20"/>
        </w:rPr>
      </w:pPr>
      <w:r>
        <w:rPr>
          <w:rFonts w:ascii="Arial" w:hAnsi="Arial"/>
          <w:sz w:val="20"/>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0" w:after="0"/>
        <w:jc w:val="left"/>
        <w:rPr/>
      </w:pPr>
      <w:r>
        <w:rPr/>
        <w:t> </w:t>
      </w:r>
    </w:p>
    <w:tbl>
      <w:tblPr>
        <w:tblW w:w="8940" w:type="dxa"/>
        <w:jc w:val="left"/>
        <w:tblInd w:w="0" w:type="dxa"/>
        <w:tblLayout w:type="fixed"/>
        <w:tblCellMar>
          <w:top w:w="0" w:type="dxa"/>
          <w:left w:w="0" w:type="dxa"/>
          <w:bottom w:w="0" w:type="dxa"/>
          <w:right w:w="0" w:type="dxa"/>
        </w:tblCellMar>
      </w:tblPr>
      <w:tblGrid>
        <w:gridCol w:w="4265"/>
        <w:gridCol w:w="60"/>
        <w:gridCol w:w="1505"/>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808080"/>
            </w:tcBorders>
            <w:tcMar>
              <w:bottom w:w="28" w:type="dxa"/>
            </w:tcMar>
            <w:vAlign w:val="center"/>
          </w:tcPr>
          <w:p>
            <w:pPr>
              <w:pStyle w:val="TableContents"/>
              <w:bidi w:val="0"/>
              <w:spacing w:before="0" w:after="20"/>
              <w:jc w:val="center"/>
              <w:rPr>
                <w:rFonts w:ascii="Arial" w:hAnsi="Arial"/>
                <w:sz w:val="20"/>
              </w:rPr>
            </w:pPr>
            <w:r>
              <w:rPr>
                <w:rFonts w:ascii="Arial" w:hAnsi="Arial"/>
                <w:sz w:val="20"/>
              </w:rPr>
              <w:t>(Title of Each Class)</w:t>
            </w:r>
          </w:p>
        </w:tc>
        <w:tc>
          <w:tcPr>
            <w:tcW w:w="60" w:type="dxa"/>
            <w:tcBorders/>
            <w:vAlign w:val="center"/>
          </w:tcPr>
          <w:p>
            <w:pPr>
              <w:pStyle w:val="TableContents"/>
              <w:bidi w:val="0"/>
              <w:spacing w:before="0" w:after="283"/>
              <w:jc w:val="left"/>
              <w:rPr/>
            </w:pPr>
            <w:r>
              <w:rPr/>
              <w:t> </w:t>
            </w:r>
          </w:p>
        </w:tc>
        <w:tc>
          <w:tcPr>
            <w:tcW w:w="1505" w:type="dxa"/>
            <w:tcBorders>
              <w:bottom w:val="single" w:sz="8" w:space="0" w:color="808080"/>
            </w:tcBorders>
            <w:tcMar>
              <w:bottom w:w="28" w:type="dxa"/>
            </w:tcMar>
            <w:vAlign w:val="center"/>
          </w:tcPr>
          <w:p>
            <w:pPr>
              <w:pStyle w:val="TableContents"/>
              <w:bidi w:val="0"/>
              <w:spacing w:before="0" w:after="20"/>
              <w:jc w:val="center"/>
              <w:rPr>
                <w:rFonts w:ascii="Arial" w:hAnsi="Arial"/>
                <w:sz w:val="20"/>
              </w:rPr>
            </w:pPr>
            <w:r>
              <w:rPr>
                <w:rFonts w:ascii="Arial" w:hAnsi="Arial"/>
                <w:sz w:val="20"/>
              </w:rPr>
              <w:t>(Trading 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808080"/>
            </w:tcBorders>
            <w:tcMar>
              <w:bottom w:w="28" w:type="dxa"/>
            </w:tcMar>
            <w:vAlign w:val="center"/>
          </w:tcPr>
          <w:p>
            <w:pPr>
              <w:pStyle w:val="TableContents"/>
              <w:bidi w:val="0"/>
              <w:spacing w:before="0" w:after="20"/>
              <w:jc w:val="center"/>
              <w:rPr>
                <w:rFonts w:ascii="Arial" w:hAnsi="Arial"/>
                <w:sz w:val="20"/>
              </w:rPr>
            </w:pPr>
            <w:r>
              <w:rPr>
                <w:rFonts w:ascii="Arial" w:hAnsi="Arial"/>
                <w:sz w:val="20"/>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VSAT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Arial" w:hAnsi="Arial"/>
          <w:sz w:val="20"/>
        </w:rPr>
      </w:pPr>
      <w:r>
        <w:rPr>
          <w:rFonts w:ascii="Arial" w:hAnsi="Arial"/>
          <w:sz w:val="20"/>
        </w:rPr>
        <w:t>Emerging growth company   ☐  </w:t>
      </w:r>
    </w:p>
    <w:p>
      <w:pPr>
        <w:pStyle w:val="TextBody"/>
        <w:bidi w:val="0"/>
        <w:spacing w:before="24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r>
        <w:br w:type="page"/>
      </w:r>
    </w:p>
    <w:p>
      <w:pPr>
        <w:pStyle w:val="HorizontalLine"/>
        <w:bidi w:val="0"/>
        <w:jc w:val="left"/>
        <w:rPr/>
      </w:pPr>
      <w:r>
        <w:rPr/>
      </w:r>
    </w:p>
    <w:tbl>
      <w:tblPr>
        <w:tblW w:w="5950" w:type="dxa"/>
        <w:jc w:val="left"/>
        <w:tblInd w:w="0" w:type="dxa"/>
        <w:tblLayout w:type="fixed"/>
        <w:tblCellMar>
          <w:top w:w="0" w:type="dxa"/>
          <w:left w:w="0" w:type="dxa"/>
          <w:bottom w:w="0" w:type="dxa"/>
          <w:right w:w="0" w:type="dxa"/>
        </w:tblCellMar>
      </w:tblPr>
      <w:tblGrid>
        <w:gridCol w:w="965"/>
        <w:gridCol w:w="4985"/>
      </w:tblGrid>
      <w:tr>
        <w:trPr/>
        <w:tc>
          <w:tcPr>
            <w:tcW w:w="965" w:type="dxa"/>
            <w:tcBorders/>
            <w:vAlign w:val="center"/>
          </w:tcPr>
          <w:p>
            <w:pPr>
              <w:pStyle w:val="TableContents"/>
              <w:bidi w:val="0"/>
              <w:spacing w:before="0" w:after="283"/>
              <w:jc w:val="left"/>
              <w:rPr>
                <w:b/>
              </w:rPr>
            </w:pPr>
            <w:r>
              <w:rPr>
                <w:b/>
              </w:rPr>
              <w:t>Item 5.07</w:t>
            </w:r>
          </w:p>
        </w:tc>
        <w:tc>
          <w:tcPr>
            <w:tcW w:w="4985" w:type="dxa"/>
            <w:tcBorders/>
            <w:vAlign w:val="center"/>
          </w:tcPr>
          <w:p>
            <w:pPr>
              <w:pStyle w:val="TableContents"/>
              <w:bidi w:val="0"/>
              <w:spacing w:before="0" w:after="0"/>
              <w:jc w:val="left"/>
              <w:rPr>
                <w:rFonts w:ascii="Arial" w:hAnsi="Arial"/>
                <w:b/>
                <w:sz w:val="20"/>
              </w:rPr>
            </w:pPr>
            <w:r>
              <w:rPr>
                <w:rFonts w:ascii="Arial" w:hAnsi="Arial"/>
                <w:b/>
                <w:sz w:val="20"/>
              </w:rPr>
              <w:t xml:space="preserve">Submission of Matters to a Vote of Security Holders. </w:t>
            </w:r>
          </w:p>
        </w:tc>
      </w:tr>
    </w:tbl>
    <w:p>
      <w:pPr>
        <w:pStyle w:val="TextBody"/>
        <w:bidi w:val="0"/>
        <w:spacing w:before="120" w:after="0"/>
        <w:jc w:val="both"/>
        <w:rPr>
          <w:rFonts w:ascii="Arial" w:hAnsi="Arial"/>
          <w:sz w:val="20"/>
        </w:rPr>
      </w:pPr>
      <w:r>
        <w:rPr>
          <w:rFonts w:ascii="Arial" w:hAnsi="Arial"/>
          <w:sz w:val="20"/>
        </w:rPr>
        <w:t xml:space="preserve">At the annual meeting of stockholders of Viasat, Inc. (“Viasat”) held on September 3, 2026, Viasat’s stockholders voted on the following three proposals and cast their votes as follows: </w:t>
      </w:r>
    </w:p>
    <w:p>
      <w:pPr>
        <w:pStyle w:val="TextBody"/>
        <w:bidi w:val="0"/>
        <w:spacing w:before="240" w:after="0"/>
        <w:jc w:val="both"/>
        <w:rPr>
          <w:rFonts w:ascii="Arial" w:hAnsi="Arial"/>
          <w:sz w:val="20"/>
        </w:rPr>
      </w:pPr>
      <w:r>
        <w:rPr>
          <w:rFonts w:ascii="Arial" w:hAnsi="Arial"/>
          <w:sz w:val="20"/>
        </w:rPr>
        <w:t xml:space="preserve">Proposal 1: To elect Mark Dankberg, William LaPlante and Michael Paull to serve as Class III Directors. </w:t>
      </w:r>
    </w:p>
    <w:p>
      <w:pPr>
        <w:pStyle w:val="TextBody"/>
        <w:bidi w:val="0"/>
        <w:spacing w:before="0" w:after="0"/>
        <w:jc w:val="left"/>
        <w:rPr/>
      </w:pPr>
      <w:r>
        <w:rPr/>
        <w:t> </w:t>
      </w:r>
    </w:p>
    <w:tbl>
      <w:tblPr>
        <w:tblW w:w="6260" w:type="dxa"/>
        <w:jc w:val="left"/>
        <w:tblInd w:w="0" w:type="dxa"/>
        <w:tblLayout w:type="fixed"/>
        <w:tblCellMar>
          <w:top w:w="0" w:type="dxa"/>
          <w:left w:w="0" w:type="dxa"/>
          <w:bottom w:w="0" w:type="dxa"/>
          <w:right w:w="0" w:type="dxa"/>
        </w:tblCellMar>
      </w:tblPr>
      <w:tblGrid>
        <w:gridCol w:w="1490"/>
        <w:gridCol w:w="120"/>
        <w:gridCol w:w="60"/>
        <w:gridCol w:w="1220"/>
        <w:gridCol w:w="60"/>
        <w:gridCol w:w="120"/>
        <w:gridCol w:w="60"/>
        <w:gridCol w:w="980"/>
        <w:gridCol w:w="60"/>
        <w:gridCol w:w="120"/>
        <w:gridCol w:w="98"/>
        <w:gridCol w:w="1797"/>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pBdr>
                <w:bottom w:val="single" w:sz="8" w:space="1" w:color="000000"/>
              </w:pBdr>
              <w:bidi w:val="0"/>
              <w:spacing w:before="0" w:after="0"/>
              <w:jc w:val="left"/>
              <w:rPr>
                <w:rFonts w:ascii="Arial" w:hAnsi="Arial"/>
                <w:b/>
                <w:sz w:val="16"/>
              </w:rPr>
            </w:pPr>
            <w:r>
              <w:rPr>
                <w:rFonts w:ascii="Arial" w:hAnsi="Arial"/>
                <w:b/>
                <w:sz w:val="16"/>
              </w:rPr>
              <w:t>Nominee</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Arial" w:hAnsi="Arial"/>
                <w:sz w:val="20"/>
              </w:rPr>
            </w:pPr>
            <w:r>
              <w:rPr>
                <w:rFonts w:ascii="Arial" w:hAnsi="Arial"/>
                <w:sz w:val="20"/>
              </w:rPr>
              <w:t>Mark Dankberg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109,226,749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5,668,136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12,400,742</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Arial" w:hAnsi="Arial"/>
                <w:sz w:val="20"/>
              </w:rPr>
            </w:pPr>
            <w:r>
              <w:rPr>
                <w:rFonts w:ascii="Arial" w:hAnsi="Arial"/>
                <w:sz w:val="20"/>
              </w:rPr>
              <w:t>William LaPlante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113,773,426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1,121,459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12,400,742</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Arial" w:hAnsi="Arial"/>
                <w:sz w:val="20"/>
              </w:rPr>
            </w:pPr>
            <w:r>
              <w:rPr>
                <w:rFonts w:ascii="Arial" w:hAnsi="Arial"/>
                <w:sz w:val="20"/>
              </w:rPr>
              <w:t>Michael Paull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111,296,455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3,598,430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12,400,742</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sz w:val="20"/>
        </w:rPr>
        <w:t xml:space="preserve">Proposal 2: To ratify the appointment of PricewaterhouseCoopers LLP as Viasat’s independent registered public accounting firm for the fiscal year ending March 31, 2027. </w:t>
      </w:r>
    </w:p>
    <w:p>
      <w:pPr>
        <w:pStyle w:val="TextBody"/>
        <w:bidi w:val="0"/>
        <w:spacing w:before="0" w:after="0"/>
        <w:jc w:val="left"/>
        <w:rPr/>
      </w:pPr>
      <w:r>
        <w:rPr/>
        <w:t> </w:t>
      </w:r>
    </w:p>
    <w:tbl>
      <w:tblPr>
        <w:tblW w:w="4835" w:type="dxa"/>
        <w:jc w:val="left"/>
        <w:tblInd w:w="0" w:type="dxa"/>
        <w:tblLayout w:type="fixed"/>
        <w:tblCellMar>
          <w:top w:w="0" w:type="dxa"/>
          <w:left w:w="0" w:type="dxa"/>
          <w:bottom w:w="0" w:type="dxa"/>
          <w:right w:w="0" w:type="dxa"/>
        </w:tblCellMar>
      </w:tblPr>
      <w:tblGrid>
        <w:gridCol w:w="1235"/>
        <w:gridCol w:w="60"/>
        <w:gridCol w:w="980"/>
        <w:gridCol w:w="60"/>
        <w:gridCol w:w="995"/>
        <w:gridCol w:w="60"/>
        <w:gridCol w:w="144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Against</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Abstentions</w:t>
            </w:r>
          </w:p>
        </w:tc>
        <w:tc>
          <w:tcPr>
            <w:tcW w:w="6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Broker Non-Votes</w:t>
            </w:r>
          </w:p>
        </w:tc>
      </w:tr>
      <w:tr>
        <w:trPr/>
        <w:tc>
          <w:tcPr>
            <w:tcW w:w="1235" w:type="dxa"/>
            <w:tcBorders/>
            <w:vAlign w:val="center"/>
          </w:tcPr>
          <w:p>
            <w:pPr>
              <w:pStyle w:val="TableContents"/>
              <w:bidi w:val="0"/>
              <w:spacing w:before="0" w:after="283"/>
              <w:jc w:val="center"/>
              <w:rPr/>
            </w:pPr>
            <w:r>
              <w:rPr/>
              <w:t>123,004,943</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3,880,470</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410,214</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0</w:t>
            </w:r>
          </w:p>
        </w:tc>
      </w:tr>
    </w:tbl>
    <w:p>
      <w:pPr>
        <w:pStyle w:val="TextBody"/>
        <w:bidi w:val="0"/>
        <w:spacing w:before="240" w:after="0"/>
        <w:jc w:val="both"/>
        <w:rPr>
          <w:rFonts w:ascii="Arial" w:hAnsi="Arial"/>
          <w:sz w:val="20"/>
        </w:rPr>
      </w:pPr>
      <w:r>
        <w:rPr>
          <w:rFonts w:ascii="Arial" w:hAnsi="Arial"/>
          <w:sz w:val="20"/>
        </w:rPr>
        <w:t xml:space="preserve">Proposal 3: To conduct an advisory vote on executive compensation. </w:t>
      </w:r>
    </w:p>
    <w:p>
      <w:pPr>
        <w:pStyle w:val="TextBody"/>
        <w:bidi w:val="0"/>
        <w:spacing w:before="0" w:after="0"/>
        <w:jc w:val="left"/>
        <w:rPr/>
      </w:pPr>
      <w:r>
        <w:rPr/>
        <w:t> </w:t>
      </w:r>
    </w:p>
    <w:tbl>
      <w:tblPr>
        <w:tblW w:w="4835" w:type="dxa"/>
        <w:jc w:val="left"/>
        <w:tblInd w:w="0" w:type="dxa"/>
        <w:tblLayout w:type="fixed"/>
        <w:tblCellMar>
          <w:top w:w="0" w:type="dxa"/>
          <w:left w:w="0" w:type="dxa"/>
          <w:bottom w:w="0" w:type="dxa"/>
          <w:right w:w="0" w:type="dxa"/>
        </w:tblCellMar>
      </w:tblPr>
      <w:tblGrid>
        <w:gridCol w:w="1235"/>
        <w:gridCol w:w="60"/>
        <w:gridCol w:w="980"/>
        <w:gridCol w:w="60"/>
        <w:gridCol w:w="995"/>
        <w:gridCol w:w="60"/>
        <w:gridCol w:w="144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Against</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Abstentions</w:t>
            </w:r>
          </w:p>
        </w:tc>
        <w:tc>
          <w:tcPr>
            <w:tcW w:w="6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Broker Non-Votes</w:t>
            </w:r>
          </w:p>
        </w:tc>
      </w:tr>
      <w:tr>
        <w:trPr/>
        <w:tc>
          <w:tcPr>
            <w:tcW w:w="1235" w:type="dxa"/>
            <w:tcBorders/>
            <w:vAlign w:val="center"/>
          </w:tcPr>
          <w:p>
            <w:pPr>
              <w:pStyle w:val="TableContents"/>
              <w:bidi w:val="0"/>
              <w:spacing w:before="0" w:after="283"/>
              <w:jc w:val="center"/>
              <w:rPr/>
            </w:pPr>
            <w:r>
              <w:rPr/>
              <w:t>111,567,560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2,768,292</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559,033</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12,400,742</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360" w:after="0"/>
        <w:jc w:val="left"/>
        <w:rPr>
          <w:rFonts w:ascii="Arial" w:hAnsi="Arial"/>
          <w:sz w:val="20"/>
        </w:rPr>
      </w:pPr>
      <w:r>
        <w:rPr>
          <w:rFonts w:ascii="Arial" w:hAnsi="Arial"/>
          <w:sz w:val="20"/>
        </w:rPr>
        <w:t xml:space="preserve">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2"/>
        <w:gridCol w:w="120"/>
        <w:gridCol w:w="8923"/>
      </w:tblGrid>
      <w:tr>
        <w:trPr/>
        <w:tc>
          <w:tcPr>
            <w:tcW w:w="11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23" w:type="dxa"/>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r>
              <w:rPr/>
              <w:t>Exhibit</w:t>
              <w:br/>
            </w:r>
            <w:r>
              <w:rPr>
                <w:u w:val="single"/>
              </w:rPr>
              <w:t>  Number</w:t>
            </w:r>
            <w:r>
              <w:rPr/>
              <w:t>  </w:t>
            </w:r>
          </w:p>
        </w:tc>
        <w:tc>
          <w:tcPr>
            <w:tcW w:w="120"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283"/>
              <w:jc w:val="left"/>
              <w:rPr>
                <w:u w:val="single"/>
              </w:rPr>
            </w:pPr>
            <w:r>
              <w:rPr>
                <w:u w:val="single"/>
              </w:rPr>
              <w:t> </w:t>
            </w:r>
            <w:r>
              <w:rPr>
                <w:u w:val="single"/>
              </w:rPr>
              <w:t>Description of Exhibit                              </w:t>
            </w:r>
          </w:p>
        </w:tc>
      </w:tr>
      <w:tr>
        <w:trPr/>
        <w:tc>
          <w:tcPr>
            <w:tcW w:w="1162"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283"/>
              <w:jc w:val="left"/>
              <w:rPr/>
            </w:pPr>
            <w:r>
              <w:rPr/>
              <w:t> </w:t>
            </w: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570"/>
        <w:gridCol w:w="120"/>
        <w:gridCol w:w="365"/>
        <w:gridCol w:w="120"/>
        <w:gridCol w:w="2600"/>
      </w:tblGrid>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Date: September 4, 2026</w:t>
            </w:r>
          </w:p>
        </w:tc>
        <w:tc>
          <w:tcPr>
            <w:tcW w:w="120" w:type="dxa"/>
            <w:tcBorders/>
            <w:vAlign w:val="center"/>
          </w:tcPr>
          <w:p>
            <w:pPr>
              <w:pStyle w:val="TableContents"/>
              <w:bidi w:val="0"/>
              <w:spacing w:before="0" w:after="283"/>
              <w:jc w:val="left"/>
              <w:rPr/>
            </w:pPr>
            <w:r>
              <w:rPr/>
              <w:t>  </w:t>
            </w:r>
          </w:p>
        </w:tc>
        <w:tc>
          <w:tcPr>
            <w:tcW w:w="3085" w:type="dxa"/>
            <w:gridSpan w:val="3"/>
            <w:tcBorders/>
            <w:vAlign w:val="center"/>
          </w:tcPr>
          <w:p>
            <w:pPr>
              <w:pStyle w:val="TableContents"/>
              <w:bidi w:val="0"/>
              <w:spacing w:before="0" w:after="283"/>
              <w:jc w:val="left"/>
              <w:rPr/>
            </w:pPr>
            <w:r>
              <w:rPr/>
              <w:t>Viasat, Inc.</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20" w:type="dxa"/>
            <w:tcBorders/>
            <w:vAlign w:val="center"/>
          </w:tcPr>
          <w:p>
            <w:pPr>
              <w:pStyle w:val="TableContents"/>
              <w:bidi w:val="0"/>
              <w:spacing w:before="0" w:after="283"/>
              <w:jc w:val="left"/>
              <w:rPr/>
            </w:pPr>
            <w:r>
              <w:rPr/>
              <w:t>  </w:t>
            </w:r>
          </w:p>
        </w:tc>
        <w:tc>
          <w:tcPr>
            <w:tcW w:w="260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Brett Church</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Brett Church</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Associate General Counsel</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481</Words>
  <Characters>2760</Characters>
  <CharactersWithSpaces>3331</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