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sat-20260630.htm"/>
      <w:bookmarkStart w:id="1" w:name="ksvsat20260630"/>
      <w:bookmarkEnd w:id="0"/>
      <w:bookmarkEnd w:id="1"/>
      <w:r>
        <w:rPr/>
        <w:t> </w:t>
      </w:r>
    </w:p>
    <w:p>
      <w:pPr>
        <w:pStyle w:val="TextBody"/>
        <w:bidi w:val="0"/>
        <w:jc w:val="center"/>
        <w:rPr>
          <w:rFonts w:ascii="Times New Roman" w:hAnsi="Times New Roman"/>
          <w:sz w:val="20"/>
        </w:rPr>
      </w:pPr>
      <w:r>
        <w:rPr>
          <w:rFonts w:ascii="Arial" w:hAnsi="Arial"/>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Arial" w:hAnsi="Arial"/>
          <w:color w:val="000000"/>
          <w:sz w:val="16"/>
        </w:rPr>
        <w:t>(Mark One)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For the quarterly period ended June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For the transition period from to .</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20"/>
        </w:rPr>
        <w:t>Commission File Number (000-21767)</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pPr>
      <w:r>
        <w:rPr/>
        <w:drawing>
          <wp:inline distT="0" distB="0" distL="0" distR="0">
            <wp:extent cx="12287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609600"/>
                    </a:xfrm>
                    <a:prstGeom prst="rect">
                      <a:avLst/>
                    </a:prstGeom>
                  </pic:spPr>
                </pic:pic>
              </a:graphicData>
            </a:graphic>
          </wp:inline>
        </w:drawing>
      </w:r>
    </w:p>
    <w:p>
      <w:pPr>
        <w:pStyle w:val="TextBody"/>
        <w:bidi w:val="0"/>
        <w:spacing w:before="80" w:after="283"/>
        <w:jc w:val="center"/>
        <w:rPr>
          <w:rFonts w:ascii="Times New Roman" w:hAnsi="Times New Roman"/>
          <w:sz w:val="20"/>
        </w:rPr>
      </w:pPr>
      <w:r>
        <w:rPr>
          <w:rFonts w:ascii="Arial" w:hAnsi="Arial"/>
          <w:b/>
          <w:color w:val="000000"/>
          <w:sz w:val="48"/>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33-0174996</w:t>
            </w:r>
          </w:p>
        </w:tc>
      </w:tr>
      <w:tr>
        <w:trPr/>
        <w:tc>
          <w:tcPr>
            <w:tcW w:w="2521"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57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0"/>
        </w:rPr>
        <w:t>6155 El Camino Real</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Carlsbad, California</w:t>
      </w:r>
      <w:r>
        <w:rPr>
          <w:rFonts w:ascii="Times New Roman" w:hAnsi="Times New Roman"/>
          <w:color w:val="000000"/>
          <w:sz w:val="20"/>
        </w:rPr>
        <w:t xml:space="preserve"> </w:t>
      </w:r>
      <w:r>
        <w:rPr>
          <w:rFonts w:ascii="Arial" w:hAnsi="Arial"/>
          <w:b/>
          <w:color w:val="000000"/>
          <w:sz w:val="20"/>
        </w:rPr>
        <w:t>92009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(760) 476-2200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6"/>
        </w:rPr>
        <w:t>(Address of principal executive offices and telephone number)</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18"/>
        </w:rPr>
        <w:t>Securities registered pursuant to Section 12(b) of the Act:</w:t>
      </w:r>
      <w:r>
        <w:rPr>
          <w:rFonts w:ascii="Times New Roman" w:hAnsi="Times New Roman"/>
          <w:color w:val="000000"/>
          <w:sz w:val="20"/>
        </w:rPr>
        <w:t xml:space="preserve"> </w:t>
      </w:r>
    </w:p>
    <w:p>
      <w:pPr>
        <w:pStyle w:val="TextBody"/>
        <w:bidi w:val="0"/>
        <w:jc w:val="center"/>
        <w:rPr/>
      </w:pPr>
      <w:r>
        <w:rPr/>
        <w:t> </w:t>
      </w:r>
    </w:p>
    <w:tbl>
      <w:tblPr>
        <w:tblW w:w="9565" w:type="dxa"/>
        <w:jc w:val="left"/>
        <w:tblInd w:w="0" w:type="dxa"/>
        <w:tblLayout w:type="fixed"/>
        <w:tblCellMar>
          <w:top w:w="28" w:type="dxa"/>
          <w:left w:w="28" w:type="dxa"/>
          <w:bottom w:w="28" w:type="dxa"/>
          <w:right w:w="28" w:type="dxa"/>
        </w:tblCellMar>
      </w:tblPr>
      <w:tblGrid>
        <w:gridCol w:w="3916"/>
        <w:gridCol w:w="146"/>
        <w:gridCol w:w="1486"/>
        <w:gridCol w:w="146"/>
        <w:gridCol w:w="387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VSAT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5441" w:type="dxa"/>
        <w:jc w:val="left"/>
        <w:tblInd w:w="0" w:type="dxa"/>
        <w:tblLayout w:type="fixed"/>
        <w:tblCellMar>
          <w:top w:w="28" w:type="dxa"/>
          <w:left w:w="28" w:type="dxa"/>
          <w:bottom w:w="28" w:type="dxa"/>
          <w:right w:w="28" w:type="dxa"/>
        </w:tblCellMar>
      </w:tblPr>
      <w:tblGrid>
        <w:gridCol w:w="2041"/>
        <w:gridCol w:w="316"/>
        <w:gridCol w:w="146"/>
        <w:gridCol w:w="146"/>
        <w:gridCol w:w="243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 xml:space="preserve">The number of shares outstanding of the registrant’s common stock, $0.0001 par value, as </w:t>
      </w:r>
      <w:r>
        <w:rPr>
          <w:rFonts w:ascii="Arial" w:hAnsi="Arial"/>
          <w:color w:val="404040"/>
          <w:sz w:val="18"/>
        </w:rPr>
        <w:t xml:space="preserve">of July 23, 2026 </w:t>
      </w:r>
      <w:r>
        <w:rPr>
          <w:rFonts w:ascii="Arial" w:hAnsi="Arial"/>
          <w:color w:val="000000"/>
          <w:sz w:val="18"/>
        </w:rPr>
        <w:t>was 137,755,810.</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9428" w:type="dxa"/>
        <w:jc w:val="left"/>
        <w:tblInd w:w="0" w:type="dxa"/>
        <w:tblLayout w:type="fixed"/>
        <w:tblCellMar>
          <w:top w:w="28" w:type="dxa"/>
          <w:left w:w="28" w:type="dxa"/>
          <w:bottom w:w="28" w:type="dxa"/>
          <w:right w:w="28" w:type="dxa"/>
        </w:tblCellMar>
      </w:tblPr>
      <w:tblGrid>
        <w:gridCol w:w="8536"/>
        <w:gridCol w:w="146"/>
        <w:gridCol w:w="746"/>
      </w:tblGrid>
      <w:tr>
        <w:trPr/>
        <w:tc>
          <w:tcPr>
            <w:tcW w:w="8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color w:val="0000FF"/>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balance_sheets">
              <w:r>
                <w:rPr>
                  <w:rStyle w:val="InternetLink"/>
                  <w:rFonts w:ascii="Arial" w:hAnsi="Arial"/>
                  <w:color w:val="0000FF"/>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s_operat">
              <w:r>
                <w:rPr>
                  <w:rStyle w:val="InternetLink"/>
                  <w:rFonts w:ascii="Arial" w:hAnsi="Arial"/>
                  <w:color w:val="0000FF"/>
                  <w:sz w:val="20"/>
                  <w:u w:val="single"/>
                </w:rPr>
                <w:t>Condensed Consolidated Statements of Operations and Comprehensive Income (Loss)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4</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5</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_equity">
              <w:r>
                <w:rPr>
                  <w:rStyle w:val="InternetLink"/>
                  <w:rFonts w:ascii="Arial" w:hAnsi="Arial"/>
                  <w:color w:val="0000FF"/>
                  <w:sz w:val="20"/>
                  <w:u w:val="single"/>
                </w:rPr>
                <w:t>Condensed Consolidated Statements of Equity</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6</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s_to_condensed_consolidated_financia">
              <w:r>
                <w:rPr>
                  <w:rStyle w:val="InternetLink"/>
                  <w:rFonts w:ascii="Arial" w:hAnsi="Arial"/>
                  <w:color w:val="0000FF"/>
                  <w:sz w:val="20"/>
                  <w:u w:val="single"/>
                </w:rPr>
                <w:t>Notes to the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Arial" w:hAnsi="Arial"/>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_financial_information"/>
      <w:bookmarkEnd w:id="2"/>
      <w:r>
        <w:rPr>
          <w:rFonts w:ascii="Arial" w:hAnsi="Arial"/>
          <w:b/>
          <w:color w:val="000000"/>
          <w:sz w:val="20"/>
        </w:rPr>
        <w:t>PART I — FINANCIAL INFORMATION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bookmarkStart w:id="3" w:name="item_1_financial_statements_unaudited"/>
      <w:bookmarkEnd w:id="3"/>
      <w:r>
        <w:rPr>
          <w:rFonts w:ascii="Arial" w:hAnsi="Arial"/>
          <w:b/>
          <w:color w:val="000000"/>
          <w:sz w:val="20"/>
        </w:rPr>
        <w:t>Item 1. Financial Statements (Unaudited)</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8177" w:type="dxa"/>
        <w:jc w:val="left"/>
        <w:tblInd w:w="0" w:type="dxa"/>
        <w:tblLayout w:type="fixed"/>
        <w:tblCellMar>
          <w:top w:w="28" w:type="dxa"/>
          <w:left w:w="28" w:type="dxa"/>
          <w:bottom w:w="28" w:type="dxa"/>
          <w:right w:w="28" w:type="dxa"/>
        </w:tblCellMar>
      </w:tblPr>
      <w:tblGrid>
        <w:gridCol w:w="4646"/>
        <w:gridCol w:w="146"/>
        <w:gridCol w:w="211"/>
        <w:gridCol w:w="1066"/>
        <w:gridCol w:w="166"/>
        <w:gridCol w:w="146"/>
        <w:gridCol w:w="215"/>
        <w:gridCol w:w="1090"/>
        <w:gridCol w:w="49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1,735,819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1,746,835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753,430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281,220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342,522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3,104,769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3,124,007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equipment and satellites,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7,248,899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7,272,637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427,994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1,931,864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1,997,436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1,624,700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1,625,013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780,560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779,509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15,111,602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15,226,596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288,154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902,530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951,192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57,753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1,853,098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1,297,099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3,068,721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3,664,848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2,711,739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2,726,004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430,082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2,339,668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2,379,301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10,393,911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10,497,334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Commitments and contingencies</w:t>
            </w:r>
            <w:r>
              <w:rPr>
                <w:rFonts w:ascii="Times New Roman" w:hAnsi="Times New Roman"/>
                <w:color w:val="000000"/>
                <w:sz w:val="20"/>
              </w:rPr>
              <w:t> </w:t>
            </w:r>
            <w:r>
              <w:rPr>
                <w:rFonts w:ascii="Arial" w:hAnsi="Arial"/>
                <w:b/>
                <w:color w:val="000000"/>
                <w:sz w:val="20"/>
              </w:rPr>
              <w:t>(Note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Viasat,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5,075,524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5,044,536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Retained earnings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(359,616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(24,633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Viasat, Inc.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4,639,852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4,660,301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Noncontrolling interest in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68,961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4,717,691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4,729,262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15,111,602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15,226,596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Arial" w:hAnsi="Arial"/>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AND COMPREHENSIVE INCOME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723" w:type="dxa"/>
        <w:jc w:val="left"/>
        <w:tblInd w:w="0" w:type="dxa"/>
        <w:tblLayout w:type="fixed"/>
        <w:tblCellMar>
          <w:top w:w="28" w:type="dxa"/>
          <w:left w:w="28" w:type="dxa"/>
          <w:bottom w:w="28" w:type="dxa"/>
          <w:right w:w="28" w:type="dxa"/>
        </w:tblCellMar>
      </w:tblPr>
      <w:tblGrid>
        <w:gridCol w:w="5881"/>
        <w:gridCol w:w="146"/>
        <w:gridCol w:w="243"/>
        <w:gridCol w:w="1107"/>
        <w:gridCol w:w="191"/>
        <w:gridCol w:w="168"/>
        <w:gridCol w:w="243"/>
        <w:gridCol w:w="1107"/>
        <w:gridCol w:w="166"/>
        <w:gridCol w:w="471"/>
      </w:tblGrid>
      <w:tr>
        <w:trPr/>
        <w:tc>
          <w:tcPr>
            <w:tcW w:w="5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 share data)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832,438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826,370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324,105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1,156,543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513,134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230,568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Independent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(82,304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gain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income (loss) of unconsolidated affiliate,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net income (loss) attributable to</w:t>
              <w:br/>
              <w:t>   noncontrolling interest,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(loss) attributable to Viasat,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Basic net income (loss) per share attributable</w:t>
              <w:br/>
              <w:t>   to Viasat, Inc.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net income (loss) per share attributable</w:t>
              <w:br/>
              <w:t>   to Viasat, Inc.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Shares used in computing 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137,121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Shares used in computing 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137,121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comprehensive income (loss) attributable</w:t>
              <w:br/>
              <w:t>   to noncontrolling interest,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 (loss) attributable to Viasat,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Arial" w:hAnsi="Arial"/>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cash_f"/>
      <w:bookmarkEnd w:id="6"/>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92"/>
        <w:gridCol w:w="146"/>
        <w:gridCol w:w="211"/>
        <w:gridCol w:w="961"/>
        <w:gridCol w:w="166"/>
        <w:gridCol w:w="146"/>
        <w:gridCol w:w="211"/>
        <w:gridCol w:w="961"/>
        <w:gridCol w:w="911"/>
      </w:tblGrid>
      <w:tr>
        <w:trPr/>
        <w:tc>
          <w:tcPr>
            <w:tcW w:w="6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(47,724</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257,701</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83,965</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14,707</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Loss (gain)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Deferred income taxes and other non-cash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21,358</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Loss on disposition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6,646</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Increase (decrease) in cash resulting from changes in operating</w:t>
              <w:br/>
              <w:t>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11,792</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11,170</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(31,074</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(17,666</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(31,930</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(20,773</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258,460</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 of property, equipment and satellites,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(198,013</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insurance claims on satellites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12,063</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(175,950</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Payments on debt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(462,722</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 of common stock in treasury (immediately retired) related</w:t>
              <w:br/>
              <w:t>   to tax withholdings for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(4,668</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issuance of common stock under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Distributions to minority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(45,902</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(513,819</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(3,304</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(434,613</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1,746,835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1,612,105</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1,735,819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1,177,492</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 in satisfaction of certain accrued</w:t>
              <w:br/>
              <w:t>   employee compensation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27,784</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Right-of-use assets obtained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26,304</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Capital expenditures not paid for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16,263</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Arial" w:hAnsi="Arial"/>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_equity"/>
      <w:bookmarkEnd w:id="7"/>
      <w:r>
        <w:rPr>
          <w:rFonts w:ascii="Arial" w:hAnsi="Arial"/>
          <w:b/>
          <w:color w:val="000000"/>
          <w:sz w:val="20"/>
        </w:rPr>
        <w:t>CONDENSED CONSOLIDATED</w:t>
      </w:r>
      <w:r>
        <w:rPr>
          <w:rFonts w:ascii="Times New Roman" w:hAnsi="Times New Roman"/>
          <w:color w:val="000000"/>
          <w:sz w:val="20"/>
        </w:rPr>
        <w:t xml:space="preserve"> </w:t>
      </w:r>
      <w:r>
        <w:rPr>
          <w:rFonts w:ascii="Arial" w:hAnsi="Arial"/>
          <w:b/>
          <w:color w:val="000000"/>
          <w:sz w:val="20"/>
        </w:rPr>
        <w:t>STATEMENTS OF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9"/>
        <w:gridCol w:w="146"/>
        <w:gridCol w:w="146"/>
        <w:gridCol w:w="871"/>
        <w:gridCol w:w="146"/>
        <w:gridCol w:w="146"/>
        <w:gridCol w:w="181"/>
        <w:gridCol w:w="346"/>
        <w:gridCol w:w="146"/>
        <w:gridCol w:w="146"/>
        <w:gridCol w:w="181"/>
        <w:gridCol w:w="721"/>
        <w:gridCol w:w="151"/>
        <w:gridCol w:w="146"/>
        <w:gridCol w:w="217"/>
        <w:gridCol w:w="774"/>
        <w:gridCol w:w="151"/>
        <w:gridCol w:w="146"/>
        <w:gridCol w:w="213"/>
        <w:gridCol w:w="673"/>
        <w:gridCol w:w="151"/>
        <w:gridCol w:w="146"/>
        <w:gridCol w:w="198"/>
        <w:gridCol w:w="628"/>
        <w:gridCol w:w="151"/>
        <w:gridCol w:w="146"/>
        <w:gridCol w:w="181"/>
        <w:gridCol w:w="721"/>
        <w:gridCol w:w="197"/>
      </w:tblGrid>
      <w:tr>
        <w:trPr/>
        <w:tc>
          <w:tcPr>
            <w:tcW w:w="2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0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Viasat, Inc. 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Number of</w:t>
              <w:br/>
              <w:t>Shares</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Retained</w:t>
              <w:br/>
              <w:t>Earnings</w:t>
              <w:b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Noncontrolling</w:t>
              <w:br/>
              <w:t>Interest in</w:t>
              <w:br/>
              <w:t>Subsidiary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Total</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3"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(In thousands, except share data)</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For the 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136,557,695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5,044,536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(359,616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(24,633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68,961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4,729,262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131,984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4,046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27,182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27,182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Shares issued in settlement of certain accrued</w:t>
              <w:br/>
              <w:t>   employee compensation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409,153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28,485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28,485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RSU and PSU awards vesting, net of shares</w:t>
              <w:br/>
              <w:t>   withheld for taxes which have been retired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655,408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(28,725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(28,725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noncontrolling interest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(51,741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(42,794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137,754,240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5,075,524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(411,357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(24,329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77,839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4,717,691</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For the 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130,210,407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4,926,259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(325,530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(46,911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90,729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4,644,560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16,456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16,456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Shares issued in settlement of certain accrued</w:t>
              <w:br/>
              <w:t>   employee compensation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3,125,378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27,784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27,784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RSU and PSU awards vesting, net of shares</w:t>
              <w:br/>
              <w:t>   withheld for taxes which have been retired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848,807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(4,668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Distributions declared to minority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(59,695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(59,695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(56,434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8,710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(47,724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25,259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25,259</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134,184,592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4,965,831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(381,964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(21,652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39,744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4,601,972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See accompanying notes to the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densed_consolidated_financia"/>
      <w:bookmarkEnd w:id="8"/>
      <w:r>
        <w:rPr>
          <w:rFonts w:ascii="Arial" w:hAnsi="Arial"/>
          <w:b/>
          <w:color w:val="000000"/>
          <w:sz w:val="20"/>
        </w:rPr>
        <w:t>NOTES TO THE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spacing w:before="280" w:after="283"/>
        <w:jc w:val="left"/>
        <w:rPr>
          <w:rFonts w:ascii="Arial" w:hAnsi="Arial"/>
          <w:b/>
          <w:color w:val="000000"/>
          <w:sz w:val="20"/>
        </w:rPr>
      </w:pPr>
      <w:r>
        <w:rPr>
          <w:rFonts w:ascii="Arial" w:hAnsi="Arial"/>
          <w:b/>
          <w:color w:val="000000"/>
          <w:sz w:val="20"/>
        </w:rPr>
        <w:t>Note 1 — Basis of Presentation</w:t>
      </w:r>
    </w:p>
    <w:p>
      <w:pPr>
        <w:pStyle w:val="TextBody"/>
        <w:bidi w:val="0"/>
        <w:spacing w:before="80" w:after="283"/>
        <w:jc w:val="left"/>
        <w:rPr>
          <w:rFonts w:ascii="Arial" w:hAnsi="Arial"/>
          <w:color w:val="000000"/>
          <w:sz w:val="20"/>
        </w:rPr>
      </w:pPr>
      <w:r>
        <w:rPr>
          <w:rFonts w:ascii="Arial" w:hAnsi="Arial"/>
          <w:color w:val="000000"/>
          <w:sz w:val="20"/>
        </w:rPr>
        <w:t>The accompanying condensed consolidated balance sheet at June 30, 2026, the condensed consolidated statements of operations and comprehensive income (loss) for the three months ended June 30, 2026 and 2025, the condensed consolidated statements of cash flows for the three months ended June 30, 2026 and 2025 and the condensed consolidated statements of equity for the three months ended June 30, 2026 and 2025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2026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2026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pStyle w:val="TextBody"/>
        <w:bidi w:val="0"/>
        <w:spacing w:before="180" w:after="283"/>
        <w:jc w:val="left"/>
        <w:rPr>
          <w:rFonts w:ascii="Arial" w:hAnsi="Arial"/>
          <w:color w:val="000000"/>
          <w:sz w:val="20"/>
        </w:rPr>
      </w:pPr>
      <w:r>
        <w:rPr>
          <w:rFonts w:ascii="Arial" w:hAnsi="Arial"/>
          <w:color w:val="000000"/>
          <w:sz w:val="20"/>
        </w:rPr>
        <w:t>The Company’s condensed consolidated financial statements include the assets, liabilities and results of operations of Viasat, its wholly owned subsidiaries and its majority-owned subsidiary, TrellisWare Technologies, Inc. (TrellisWare).</w:t>
      </w:r>
    </w:p>
    <w:p>
      <w:pPr>
        <w:pStyle w:val="TextBody"/>
        <w:bidi w:val="0"/>
        <w:spacing w:before="180" w:after="283"/>
        <w:jc w:val="left"/>
        <w:rPr>
          <w:rFonts w:ascii="Arial" w:hAnsi="Arial"/>
          <w:color w:val="000000"/>
          <w:sz w:val="20"/>
        </w:rPr>
      </w:pPr>
      <w:r>
        <w:rPr>
          <w:rFonts w:ascii="Arial" w:hAnsi="Arial"/>
          <w:color w:val="000000"/>
          <w:sz w:val="20"/>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in the condensed consolidated balance sheets.</w:t>
      </w:r>
    </w:p>
    <w:p>
      <w:pPr>
        <w:pStyle w:val="TextBody"/>
        <w:bidi w:val="0"/>
        <w:spacing w:before="180" w:after="283"/>
        <w:jc w:val="left"/>
        <w:rPr>
          <w:rFonts w:ascii="Arial" w:hAnsi="Arial"/>
          <w:color w:val="000000"/>
          <w:sz w:val="20"/>
        </w:rPr>
      </w:pPr>
      <w:r>
        <w:rPr>
          <w:rFonts w:ascii="Arial" w:hAnsi="Arial"/>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contingencies and income taxes including the valuation allowance on deferred tax assets.</w:t>
      </w:r>
    </w:p>
    <w:p>
      <w:pPr>
        <w:pStyle w:val="TextBody"/>
        <w:bidi w:val="0"/>
        <w:spacing w:before="280" w:after="283"/>
        <w:jc w:val="left"/>
        <w:rPr>
          <w:rFonts w:ascii="Arial" w:hAnsi="Arial"/>
          <w:b/>
          <w:i/>
          <w:color w:val="000000"/>
          <w:sz w:val="20"/>
        </w:rPr>
      </w:pPr>
      <w:r>
        <w:rPr>
          <w:rFonts w:ascii="Arial" w:hAnsi="Arial"/>
          <w:b/>
          <w:i/>
          <w:color w:val="000000"/>
          <w:sz w:val="20"/>
        </w:rPr>
        <w:t>Revenue recognition</w:t>
      </w:r>
    </w:p>
    <w:p>
      <w:pPr>
        <w:pStyle w:val="TextBody"/>
        <w:bidi w:val="0"/>
        <w:spacing w:before="80" w:after="283"/>
        <w:jc w:val="left"/>
        <w:rPr>
          <w:rFonts w:ascii="Arial" w:hAnsi="Arial"/>
          <w:color w:val="000000"/>
          <w:sz w:val="20"/>
        </w:rPr>
      </w:pPr>
      <w:r>
        <w:rPr>
          <w:rFonts w:ascii="Arial" w:hAnsi="Arial"/>
          <w:color w:val="000000"/>
          <w:sz w:val="20"/>
        </w:rPr>
        <w:t>In accordance with the authoritative guidance for revenue from contracts with customers (Accounting Standards Codification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the Company’s revenues, such as sales taxes and value added taxes, are excluded from net sales.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00" w:after="283"/>
        <w:jc w:val="left"/>
        <w:rPr>
          <w:rFonts w:ascii="Arial" w:hAnsi="Arial"/>
          <w:i/>
          <w:color w:val="000000"/>
          <w:sz w:val="20"/>
        </w:rPr>
      </w:pPr>
      <w:r>
        <w:rPr>
          <w:rFonts w:ascii="Arial" w:hAnsi="Arial"/>
          <w:i/>
          <w:color w:val="000000"/>
          <w:sz w:val="20"/>
        </w:rPr>
        <w:t>Performance obligations</w:t>
      </w:r>
    </w:p>
    <w:p>
      <w:pPr>
        <w:pStyle w:val="TextBody"/>
        <w:bidi w:val="0"/>
        <w:spacing w:before="80" w:after="283"/>
        <w:jc w:val="left"/>
        <w:rPr>
          <w:rFonts w:ascii="Arial" w:hAnsi="Arial"/>
          <w:color w:val="000000"/>
          <w:sz w:val="20"/>
        </w:rPr>
      </w:pPr>
      <w:r>
        <w:rPr>
          <w:rFonts w:ascii="Arial" w:hAnsi="Arial"/>
          <w:color w:val="000000"/>
          <w:sz w:val="20"/>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the authoritative guidance for leases (ASC 842). As discussed further below under “Leases - Lessor accounting”, for broadband equipment leased to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pStyle w:val="TextBody"/>
        <w:bidi w:val="0"/>
        <w:spacing w:before="180" w:after="283"/>
        <w:jc w:val="left"/>
        <w:rPr>
          <w:rFonts w:ascii="Arial" w:hAnsi="Arial"/>
          <w:color w:val="000000"/>
          <w:sz w:val="20"/>
        </w:rPr>
      </w:pPr>
      <w:r>
        <w:rPr>
          <w:rFonts w:ascii="Arial" w:hAnsi="Arial"/>
          <w:color w:val="000000"/>
          <w:sz w:val="20"/>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180" w:after="283"/>
        <w:jc w:val="left"/>
        <w:rPr>
          <w:rFonts w:ascii="Arial" w:hAnsi="Arial"/>
          <w:color w:val="000000"/>
          <w:sz w:val="20"/>
        </w:rPr>
      </w:pPr>
      <w:r>
        <w:rPr>
          <w:rFonts w:ascii="Arial" w:hAnsi="Arial"/>
          <w:color w:val="000000"/>
          <w:sz w:val="20"/>
        </w:rPr>
        <w:t>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Contract costs on U.S. Government contracts are subject to audit and review by the Defense Contract Management Agency (DCMA), the Defense Contract Audit Agency (DCAA), and other U.S. Government agencies, as well as negotiations with U.S. Government representatives. As of June 30, 2026, the DCMA had approved the Company’s incurred costs through fiscal year 2023. The DCAA is currently auditing the Company’s fiscal year 2025 recurring incurred cost submission. The Company's cost accounting practices are examined for compliance with the applicable Cost Accounting Standards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$15.1</w:t>
      </w:r>
      <w:r>
        <w:rPr>
          <w:rFonts w:ascii="Times New Roman" w:hAnsi="Times New Roman"/>
          <w:color w:val="000000"/>
          <w:sz w:val="20"/>
        </w:rPr>
        <w:t xml:space="preserve"> </w:t>
      </w:r>
      <w:r>
        <w:rPr>
          <w:rFonts w:ascii="Arial" w:hAnsi="Arial"/>
          <w:color w:val="000000"/>
          <w:sz w:val="20"/>
        </w:rPr>
        <w:t>million as of both June 30, 2026 and March 31, 2026 in contract-related reserves for its estimate of potential refunds to customers for potential cost adjustments on several multi-year U.S. Government cost reimbursable contracts (see Note 8 — Commitments and Contingencies for more information).</w:t>
      </w:r>
    </w:p>
    <w:p>
      <w:pPr>
        <w:pStyle w:val="TextBody"/>
        <w:bidi w:val="0"/>
        <w:jc w:val="both"/>
        <w:rPr/>
      </w:pPr>
      <w:r>
        <w:rPr/>
        <w:t> </w:t>
      </w:r>
    </w:p>
    <w:p>
      <w:pPr>
        <w:pStyle w:val="TextBody"/>
        <w:bidi w:val="0"/>
        <w:spacing w:before="100" w:after="283"/>
        <w:jc w:val="left"/>
        <w:rPr>
          <w:rFonts w:ascii="Arial" w:hAnsi="Arial"/>
          <w:i/>
          <w:color w:val="000000"/>
          <w:sz w:val="20"/>
        </w:rPr>
      </w:pPr>
      <w:r>
        <w:rPr>
          <w:rFonts w:ascii="Arial" w:hAnsi="Arial"/>
          <w:i/>
          <w:color w:val="000000"/>
          <w:sz w:val="20"/>
        </w:rPr>
        <w:t>Evaluation of transaction price</w:t>
      </w:r>
    </w:p>
    <w:p>
      <w:pPr>
        <w:pStyle w:val="TextBody"/>
        <w:bidi w:val="0"/>
        <w:spacing w:before="80" w:after="283"/>
        <w:jc w:val="left"/>
        <w:rPr>
          <w:rFonts w:ascii="Arial" w:hAnsi="Arial"/>
          <w:color w:val="000000"/>
          <w:sz w:val="20"/>
        </w:rPr>
      </w:pPr>
      <w:r>
        <w:rPr>
          <w:rFonts w:ascii="Arial" w:hAnsi="Arial"/>
          <w:color w:val="000000"/>
          <w:sz w:val="20"/>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pStyle w:val="TextBody"/>
        <w:bidi w:val="0"/>
        <w:spacing w:before="180" w:after="283"/>
        <w:jc w:val="left"/>
        <w:rPr>
          <w:rFonts w:ascii="Arial" w:hAnsi="Arial"/>
          <w:color w:val="000000"/>
          <w:sz w:val="20"/>
        </w:rPr>
      </w:pPr>
      <w:r>
        <w:rPr>
          <w:rFonts w:ascii="Arial" w:hAnsi="Arial"/>
          <w:color w:val="000000"/>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00" w:after="283"/>
        <w:jc w:val="left"/>
        <w:rPr>
          <w:rFonts w:ascii="Arial" w:hAnsi="Arial"/>
          <w:i/>
          <w:color w:val="000000"/>
          <w:sz w:val="20"/>
        </w:rPr>
      </w:pPr>
      <w:r>
        <w:rPr>
          <w:rFonts w:ascii="Arial" w:hAnsi="Arial"/>
          <w:i/>
          <w:color w:val="000000"/>
          <w:sz w:val="20"/>
        </w:rPr>
        <w:t>Transaction price allocated to remaining performance obligations</w:t>
      </w:r>
    </w:p>
    <w:p>
      <w:pPr>
        <w:pStyle w:val="TextBody"/>
        <w:bidi w:val="0"/>
        <w:spacing w:before="80" w:after="283"/>
        <w:jc w:val="left"/>
        <w:rPr>
          <w:rFonts w:ascii="Times New Roman" w:hAnsi="Times New Roman"/>
          <w:sz w:val="20"/>
        </w:rPr>
      </w:pPr>
      <w:r>
        <w:rPr>
          <w:rFonts w:ascii="Arial" w:hAnsi="Arial"/>
          <w:color w:val="000000"/>
          <w:sz w:val="20"/>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residential and enterprise fixed broadband services in its communication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communication services segment do not have minimum service purchase requirements and therefore are not included in the Company’s remaining performance obligations. As of June 30, 2026, the aggregate amount of the transaction price allocated to remaining performance obligations was $4.2</w:t>
      </w:r>
      <w:r>
        <w:rPr>
          <w:rFonts w:ascii="Times New Roman" w:hAnsi="Times New Roman"/>
          <w:color w:val="000000"/>
          <w:sz w:val="20"/>
        </w:rPr>
        <w:t xml:space="preserve"> </w:t>
      </w:r>
      <w:r>
        <w:rPr>
          <w:rFonts w:ascii="Arial" w:hAnsi="Arial"/>
          <w:color w:val="000000"/>
          <w:sz w:val="20"/>
        </w:rPr>
        <w:t>billion, of which the Company expects to recognize approximately half over the next 12 months, with the balance recognized thereafter.</w:t>
      </w:r>
    </w:p>
    <w:p>
      <w:pPr>
        <w:pStyle w:val="TextBody"/>
        <w:bidi w:val="0"/>
        <w:jc w:val="both"/>
        <w:rPr/>
      </w:pPr>
      <w:r>
        <w:rPr/>
        <w:t> </w:t>
      </w:r>
    </w:p>
    <w:p>
      <w:pPr>
        <w:pStyle w:val="TextBody"/>
        <w:bidi w:val="0"/>
        <w:spacing w:before="100" w:after="283"/>
        <w:jc w:val="left"/>
        <w:rPr>
          <w:rFonts w:ascii="Arial" w:hAnsi="Arial"/>
          <w:i/>
          <w:color w:val="000000"/>
          <w:sz w:val="20"/>
        </w:rPr>
      </w:pPr>
      <w:r>
        <w:rPr>
          <w:rFonts w:ascii="Arial" w:hAnsi="Arial"/>
          <w:i/>
          <w:color w:val="000000"/>
          <w:sz w:val="20"/>
        </w:rPr>
        <w:t>Disaggregation of revenue</w:t>
      </w:r>
    </w:p>
    <w:p>
      <w:pPr>
        <w:pStyle w:val="TextBody"/>
        <w:bidi w:val="0"/>
        <w:spacing w:before="80" w:after="283"/>
        <w:jc w:val="left"/>
        <w:rPr>
          <w:rFonts w:ascii="Times New Roman" w:hAnsi="Times New Roman"/>
          <w:sz w:val="20"/>
        </w:rPr>
      </w:pPr>
      <w:r>
        <w:rPr>
          <w:rFonts w:ascii="Arial" w:hAnsi="Arial"/>
          <w:color w:val="000000"/>
          <w:sz w:val="20"/>
        </w:rPr>
        <w:t>The Company operates and manages its business in two</w:t>
      </w:r>
      <w:r>
        <w:rPr>
          <w:rFonts w:ascii="Times New Roman" w:hAnsi="Times New Roman"/>
          <w:color w:val="000000"/>
          <w:sz w:val="20"/>
        </w:rPr>
        <w:t xml:space="preserve"> </w:t>
      </w:r>
      <w:r>
        <w:rPr>
          <w:rFonts w:ascii="Arial" w:hAnsi="Arial"/>
          <w:color w:val="000000"/>
          <w:sz w:val="20"/>
        </w:rPr>
        <w:t>reportable segments: communication services and defense and advanced technologies. Revenue is disaggregated by products and services, customer type, contract type, business line and geographic area, as the Company believes this approach best depicts how the nature, amount, timing and uncertainty of its revenue and cash flows are affected by economic factors. See Note 10 — Segment Information for disaggregation of revenue by business line and additional disaggregated revenue disclosures.</w:t>
      </w:r>
    </w:p>
    <w:p>
      <w:pPr>
        <w:pStyle w:val="TextBody"/>
        <w:bidi w:val="0"/>
        <w:spacing w:before="180" w:after="283"/>
        <w:jc w:val="left"/>
        <w:rPr>
          <w:rFonts w:ascii="Arial" w:hAnsi="Arial"/>
          <w:color w:val="000000"/>
          <w:sz w:val="20"/>
        </w:rPr>
      </w:pPr>
      <w:r>
        <w:rPr>
          <w:rFonts w:ascii="Arial" w:hAnsi="Arial"/>
          <w:color w:val="000000"/>
          <w:sz w:val="20"/>
        </w:rPr>
        <w:t>The following sets forth disaggregated reported revenue by segment and products and services for the three months ended June 30, 2026 and 2025:</w:t>
      </w:r>
    </w:p>
    <w:p>
      <w:pPr>
        <w:pStyle w:val="TextBody"/>
        <w:bidi w:val="0"/>
        <w:jc w:val="left"/>
        <w:rPr/>
      </w:pPr>
      <w:r>
        <w:rPr/>
        <w:t> </w:t>
      </w:r>
    </w:p>
    <w:p>
      <w:pPr>
        <w:pStyle w:val="TextBody"/>
        <w:bidi w:val="0"/>
        <w:jc w:val="left"/>
        <w:rPr/>
      </w:pPr>
      <w:r>
        <w:rPr/>
        <w:t> </w:t>
      </w:r>
    </w:p>
    <w:tbl>
      <w:tblPr>
        <w:tblW w:w="9052" w:type="dxa"/>
        <w:jc w:val="left"/>
        <w:tblInd w:w="0" w:type="dxa"/>
        <w:tblLayout w:type="fixed"/>
        <w:tblCellMar>
          <w:top w:w="28" w:type="dxa"/>
          <w:left w:w="28" w:type="dxa"/>
          <w:bottom w:w="28" w:type="dxa"/>
          <w:right w:w="28" w:type="dxa"/>
        </w:tblCellMar>
      </w:tblPr>
      <w:tblGrid>
        <w:gridCol w:w="1651"/>
        <w:gridCol w:w="146"/>
        <w:gridCol w:w="436"/>
        <w:gridCol w:w="1649"/>
        <w:gridCol w:w="146"/>
        <w:gridCol w:w="146"/>
        <w:gridCol w:w="640"/>
        <w:gridCol w:w="2420"/>
        <w:gridCol w:w="146"/>
        <w:gridCol w:w="146"/>
        <w:gridCol w:w="240"/>
        <w:gridCol w:w="1095"/>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Communication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Defense and Advanced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773,042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832,438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272,064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324,105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825,083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331,460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1,156,543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Communication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Defense and Advanced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826,370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294,511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344,684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827,371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1,171,054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Revenues from the U.S. Government as an individual customer comprised approximately 18% and 15% of total revenues for the three months ended June 30, 2026 and 2025, respectively. Revenues from the U.S. Government were attributable to each of the Company's two segments, with higher revenues from the U.S. Government reported within the Company's communication services segment for both the three months ended June 30, 2026 and 2025.</w:t>
      </w:r>
    </w:p>
    <w:p>
      <w:pPr>
        <w:pStyle w:val="TextBody"/>
        <w:bidi w:val="0"/>
        <w:spacing w:before="180" w:after="283"/>
        <w:jc w:val="left"/>
        <w:rPr>
          <w:rFonts w:ascii="Arial" w:hAnsi="Arial"/>
          <w:color w:val="000000"/>
          <w:sz w:val="20"/>
        </w:rPr>
      </w:pPr>
      <w:r>
        <w:rPr>
          <w:rFonts w:ascii="Arial" w:hAnsi="Arial"/>
          <w:color w:val="000000"/>
          <w:sz w:val="20"/>
        </w:rPr>
        <w:t>Almost all of the Company's revenues are derived from fixed-price contracts (which require the Company to provide products and services under a contract at a specified price), which are reported in both of the Company's segments. The remainder of the Company's revenues is primarily from cost-reimbursement contracts (under which the Company is reimbursed for all actual costs incurred in performing the contract to the extent such costs are within the contract ceiling and allowable under the terms of the contract, plus a fee or profit), which are mainly reported within the Company's defense and advanced technologies segment.</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A portion of the Company’s revenues is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10% and 11% of its total revenues for the three months ended June 30, 2026 and 2025, respectively, mainly reported within the Company's defense and advanced technologies segment.</w:t>
      </w:r>
    </w:p>
    <w:p>
      <w:pPr>
        <w:pStyle w:val="TextBody"/>
        <w:bidi w:val="0"/>
        <w:spacing w:before="100" w:after="283"/>
        <w:jc w:val="left"/>
        <w:rPr>
          <w:rFonts w:ascii="Arial" w:hAnsi="Arial"/>
          <w:i/>
          <w:color w:val="000000"/>
          <w:sz w:val="20"/>
        </w:rPr>
      </w:pPr>
      <w:r>
        <w:rPr>
          <w:rFonts w:ascii="Arial" w:hAnsi="Arial"/>
          <w:i/>
          <w:color w:val="000000"/>
          <w:sz w:val="20"/>
        </w:rPr>
        <w:t>Contract balances</w:t>
      </w:r>
    </w:p>
    <w:p>
      <w:pPr>
        <w:pStyle w:val="TextBody"/>
        <w:bidi w:val="0"/>
        <w:spacing w:before="80" w:after="283"/>
        <w:jc w:val="left"/>
        <w:rPr>
          <w:rFonts w:ascii="Times New Roman" w:hAnsi="Times New Roman"/>
          <w:sz w:val="20"/>
        </w:rPr>
      </w:pPr>
      <w:r>
        <w:rPr>
          <w:rFonts w:ascii="Arial" w:hAnsi="Arial"/>
          <w:color w:val="000000"/>
          <w:sz w:val="20"/>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When consideration is received in advance of the delivery of goods or services, a contract liability, or with respect to the Company, collections in excess of revenues and deferred revenues, is recorded. Reductions in the collections in excess of revenues and deferred revenues will be recorded as the Company satisfies the performance obligations.</w:t>
      </w:r>
    </w:p>
    <w:p>
      <w:pPr>
        <w:pStyle w:val="TextBody"/>
        <w:bidi w:val="0"/>
        <w:spacing w:before="180" w:after="283"/>
        <w:jc w:val="left"/>
        <w:rPr>
          <w:rFonts w:ascii="Times New Roman" w:hAnsi="Times New Roman"/>
          <w:sz w:val="20"/>
        </w:rPr>
      </w:pPr>
      <w:r>
        <w:rPr>
          <w:rFonts w:ascii="Arial" w:hAnsi="Arial"/>
          <w:color w:val="000000"/>
          <w:sz w:val="20"/>
        </w:rPr>
        <w:t>The following table presents contract assets and liabilities as of June 30, 2026 and March 31, 2026:</w:t>
      </w:r>
      <w:r>
        <w:rPr>
          <w:rFonts w:ascii="Times New Roman" w:hAnsi="Times New Roman"/>
          <w:color w:val="000000"/>
          <w:sz w:val="20"/>
        </w:rPr>
        <w:t xml:space="preserve"> </w:t>
      </w:r>
    </w:p>
    <w:p>
      <w:pPr>
        <w:pStyle w:val="TextBody"/>
        <w:bidi w:val="0"/>
        <w:jc w:val="left"/>
        <w:rPr/>
      </w:pPr>
      <w:r>
        <w:rPr/>
        <w:t> </w:t>
      </w:r>
    </w:p>
    <w:tbl>
      <w:tblPr>
        <w:tblW w:w="8205" w:type="dxa"/>
        <w:jc w:val="left"/>
        <w:tblInd w:w="0" w:type="dxa"/>
        <w:tblLayout w:type="fixed"/>
        <w:tblCellMar>
          <w:top w:w="28" w:type="dxa"/>
          <w:left w:w="28" w:type="dxa"/>
          <w:bottom w:w="28" w:type="dxa"/>
          <w:right w:w="28" w:type="dxa"/>
        </w:tblCellMar>
      </w:tblPr>
      <w:tblGrid>
        <w:gridCol w:w="5056"/>
        <w:gridCol w:w="146"/>
        <w:gridCol w:w="218"/>
        <w:gridCol w:w="997"/>
        <w:gridCol w:w="146"/>
        <w:gridCol w:w="146"/>
        <w:gridCol w:w="235"/>
        <w:gridCol w:w="1070"/>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Unbilled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227,840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Collections in excess of revenues and 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292,592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revenues,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1,073,577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1,064,261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Unbilled accounts receivable decreased by an insignificant amount during the three months ended June 30, 2026, driven by an increase in billings.</w:t>
      </w:r>
    </w:p>
    <w:p>
      <w:pPr>
        <w:pStyle w:val="TextBody"/>
        <w:bidi w:val="0"/>
        <w:spacing w:before="180" w:after="283"/>
        <w:jc w:val="left"/>
        <w:rPr>
          <w:rFonts w:ascii="Times New Roman" w:hAnsi="Times New Roman"/>
          <w:sz w:val="20"/>
        </w:rPr>
      </w:pPr>
      <w:r>
        <w:rPr>
          <w:rFonts w:ascii="Arial" w:hAnsi="Arial"/>
          <w:color w:val="000000"/>
          <w:sz w:val="20"/>
        </w:rPr>
        <w:t>Collections in excess of revenues and deferred revenues increased by $27.1</w:t>
      </w:r>
      <w:r>
        <w:rPr>
          <w:rFonts w:ascii="Times New Roman" w:hAnsi="Times New Roman"/>
          <w:color w:val="000000"/>
          <w:sz w:val="20"/>
        </w:rPr>
        <w:t xml:space="preserve"> </w:t>
      </w:r>
      <w:r>
        <w:rPr>
          <w:rFonts w:ascii="Arial" w:hAnsi="Arial"/>
          <w:color w:val="000000"/>
          <w:sz w:val="20"/>
        </w:rPr>
        <w:t>million during the three months ended June 30, 2026, driven by advances on goods or services received in excess of revenue recognized primarily attributable to the timing of advance payments in space and mission systems.</w:t>
      </w:r>
    </w:p>
    <w:p>
      <w:pPr>
        <w:pStyle w:val="TextBody"/>
        <w:bidi w:val="0"/>
        <w:spacing w:before="180" w:after="283"/>
        <w:jc w:val="left"/>
        <w:rPr>
          <w:rFonts w:ascii="Times New Roman" w:hAnsi="Times New Roman"/>
          <w:sz w:val="20"/>
        </w:rPr>
      </w:pPr>
      <w:r>
        <w:rPr>
          <w:rFonts w:ascii="Arial" w:hAnsi="Arial"/>
          <w:color w:val="000000"/>
          <w:sz w:val="20"/>
        </w:rPr>
        <w:t>During the three months ended June 30, 2026, the Company recognized revenue of $90.1</w:t>
      </w:r>
      <w:r>
        <w:rPr>
          <w:rFonts w:ascii="Times New Roman" w:hAnsi="Times New Roman"/>
          <w:color w:val="000000"/>
          <w:sz w:val="20"/>
        </w:rPr>
        <w:t xml:space="preserve"> </w:t>
      </w:r>
      <w:r>
        <w:rPr>
          <w:rFonts w:ascii="Arial" w:hAnsi="Arial"/>
          <w:color w:val="000000"/>
          <w:sz w:val="20"/>
        </w:rPr>
        <w:t>million that was previously included in the Company’s collections in excess of revenues and deferred revenues at March 31, 2026. During the three months ended June 30, 2025, the Company recognized revenue of $106.1</w:t>
      </w:r>
      <w:r>
        <w:rPr>
          <w:rFonts w:ascii="Times New Roman" w:hAnsi="Times New Roman"/>
          <w:color w:val="000000"/>
          <w:sz w:val="20"/>
        </w:rPr>
        <w:t xml:space="preserve"> </w:t>
      </w:r>
      <w:r>
        <w:rPr>
          <w:rFonts w:ascii="Arial" w:hAnsi="Arial"/>
          <w:color w:val="000000"/>
          <w:sz w:val="20"/>
        </w:rPr>
        <w:t>million that was previously included in the Company’s collections in excess of revenues and deferred revenues at March 31, 2025.</w:t>
      </w:r>
    </w:p>
    <w:p>
      <w:pPr>
        <w:pStyle w:val="TextBody"/>
        <w:bidi w:val="0"/>
        <w:spacing w:before="280" w:after="283"/>
        <w:jc w:val="left"/>
        <w:rPr>
          <w:rFonts w:ascii="Arial" w:hAnsi="Arial"/>
          <w:b/>
          <w:i/>
          <w:color w:val="000000"/>
          <w:sz w:val="20"/>
        </w:rPr>
      </w:pPr>
      <w:r>
        <w:rPr>
          <w:rFonts w:ascii="Arial" w:hAnsi="Arial"/>
          <w:b/>
          <w:i/>
          <w:color w:val="000000"/>
          <w:sz w:val="20"/>
        </w:rPr>
        <w:t>Cash equivalents</w:t>
      </w:r>
    </w:p>
    <w:p>
      <w:pPr>
        <w:pStyle w:val="TextBody"/>
        <w:bidi w:val="0"/>
        <w:spacing w:before="80" w:after="283"/>
        <w:jc w:val="left"/>
        <w:rPr>
          <w:rFonts w:ascii="Arial" w:hAnsi="Arial"/>
          <w:color w:val="000000"/>
          <w:sz w:val="20"/>
        </w:rPr>
      </w:pPr>
      <w:r>
        <w:rPr>
          <w:rFonts w:ascii="Arial" w:hAnsi="Arial"/>
          <w:color w:val="000000"/>
          <w:sz w:val="20"/>
        </w:rPr>
        <w:t>Cash equivalents consist of highly liquid investments with original maturities of three months or less at the date of purchase, with a significant portion held in U.S. government-backed securities and treasuries.</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Property, equipment and satellites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commercial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w:t>
      </w:r>
      <w:r>
        <w:rPr>
          <w:rFonts w:ascii="Times New Roman" w:hAnsi="Times New Roman"/>
          <w:color w:val="000000"/>
          <w:sz w:val="20"/>
        </w:rPr>
        <w:t xml:space="preserve"> </w:t>
      </w:r>
      <w:r>
        <w:rPr>
          <w:rFonts w:ascii="Arial" w:hAnsi="Arial"/>
          <w:color w:val="000000"/>
          <w:sz w:val="20"/>
        </w:rPr>
        <w:t>to 38</w:t>
      </w:r>
      <w:r>
        <w:rPr>
          <w:rFonts w:ascii="Times New Roman" w:hAnsi="Times New Roman"/>
          <w:color w:val="000000"/>
          <w:sz w:val="20"/>
        </w:rPr>
        <w:t xml:space="preserve"> </w:t>
      </w:r>
      <w:r>
        <w:rPr>
          <w:rFonts w:ascii="Arial" w:hAnsi="Arial"/>
          <w:color w:val="000000"/>
          <w:sz w:val="20"/>
        </w:rPr>
        <w:t>years. Leasehold improvements are capitalized and amortized using the straight-line method over the shorter of the lease term or the life of the improvement.</w:t>
      </w:r>
    </w:p>
    <w:p>
      <w:pPr>
        <w:pStyle w:val="TextBody"/>
        <w:bidi w:val="0"/>
        <w:spacing w:before="180" w:after="283"/>
        <w:jc w:val="left"/>
        <w:rPr>
          <w:rFonts w:ascii="Times New Roman" w:hAnsi="Times New Roman"/>
          <w:sz w:val="20"/>
        </w:rPr>
      </w:pPr>
      <w:r>
        <w:rPr>
          <w:rFonts w:ascii="Arial" w:hAnsi="Arial"/>
          <w:color w:val="000000"/>
          <w:sz w:val="20"/>
        </w:rPr>
        <w:t>Costs related to internally developed software for internal uses are capitalized after the preliminary project stage is complete and are amortized over the estimated useful lives of the assets, which are approximately three</w:t>
      </w:r>
      <w:r>
        <w:rPr>
          <w:rFonts w:ascii="Times New Roman" w:hAnsi="Times New Roman"/>
          <w:color w:val="000000"/>
          <w:sz w:val="20"/>
        </w:rPr>
        <w:t xml:space="preserve"> </w:t>
      </w:r>
      <w:r>
        <w:rPr>
          <w:rFonts w:ascii="Arial" w:hAnsi="Arial"/>
          <w:color w:val="000000"/>
          <w:sz w:val="20"/>
        </w:rPr>
        <w:t>to seven years. Capitalized costs for internal-use software are included in property, equipment and satellites, net in the Company’s condensed consolidated balance sheets.</w:t>
      </w:r>
    </w:p>
    <w:p>
      <w:pPr>
        <w:pStyle w:val="TextBody"/>
        <w:bidi w:val="0"/>
        <w:spacing w:before="180" w:after="283"/>
        <w:jc w:val="left"/>
        <w:rPr>
          <w:rFonts w:ascii="Times New Roman" w:hAnsi="Times New Roman"/>
          <w:sz w:val="20"/>
        </w:rPr>
      </w:pPr>
      <w:r>
        <w:rPr>
          <w:rFonts w:ascii="Arial" w:hAnsi="Arial"/>
          <w:color w:val="000000"/>
          <w:sz w:val="20"/>
        </w:rPr>
        <w:t>Interest expense is capitalized on the carrying value of assets under construction, in accordance with the authoritative guidance for the capitalization of interest (ASC 835-20).</w:t>
      </w:r>
      <w:r>
        <w:rPr>
          <w:rFonts w:ascii="Times New Roman" w:hAnsi="Times New Roman"/>
          <w:color w:val="000000"/>
          <w:sz w:val="20"/>
        </w:rPr>
        <w:t xml:space="preserve"> </w:t>
      </w:r>
      <w:r>
        <w:rPr>
          <w:rFonts w:ascii="Arial" w:hAnsi="Arial"/>
          <w:color w:val="000000"/>
          <w:sz w:val="20"/>
        </w:rPr>
        <w:t>With respect to the construction of satellites, gateway and networking equipment and other assets under construction, the Company capitalized $62.4</w:t>
      </w:r>
      <w:r>
        <w:rPr>
          <w:rFonts w:ascii="Times New Roman" w:hAnsi="Times New Roman"/>
          <w:color w:val="000000"/>
          <w:sz w:val="20"/>
        </w:rPr>
        <w:t xml:space="preserve"> </w:t>
      </w:r>
      <w:r>
        <w:rPr>
          <w:rFonts w:ascii="Arial" w:hAnsi="Arial"/>
          <w:color w:val="000000"/>
          <w:sz w:val="20"/>
        </w:rPr>
        <w:t>million and $55.2</w:t>
      </w:r>
      <w:r>
        <w:rPr>
          <w:rFonts w:ascii="Times New Roman" w:hAnsi="Times New Roman"/>
          <w:color w:val="000000"/>
          <w:sz w:val="20"/>
        </w:rPr>
        <w:t xml:space="preserve"> </w:t>
      </w:r>
      <w:r>
        <w:rPr>
          <w:rFonts w:ascii="Arial" w:hAnsi="Arial"/>
          <w:color w:val="000000"/>
          <w:sz w:val="20"/>
        </w:rPr>
        <w:t>million of interest expense during the three months ended June 30, 2026 and 2025, respectively.</w:t>
      </w:r>
    </w:p>
    <w:p>
      <w:pPr>
        <w:pStyle w:val="TextBody"/>
        <w:bidi w:val="0"/>
        <w:spacing w:before="180" w:after="283"/>
        <w:jc w:val="left"/>
        <w:rPr>
          <w:rFonts w:ascii="Times New Roman" w:hAnsi="Times New Roman"/>
          <w:sz w:val="20"/>
        </w:rPr>
      </w:pPr>
      <w:r>
        <w:rPr>
          <w:rFonts w:ascii="Arial" w:hAnsi="Arial"/>
          <w:color w:val="000000"/>
          <w:sz w:val="20"/>
        </w:rPr>
        <w:t>As of June 30, 2026, the Company's complementary fleet of 23 in service or operational satellites spanned the Ka-, L- and S- bands, with 13 Ka-band satellites, eight high-availability L-band satellites (three of which are contingency L-band satellites that are operational but not currently in commercial service), an S-band satellite that supports the European Aviation Network to provide IFC services to commercial airlines in Europe, and an Inmarsat-6 class hybrid Ka-/L-band satellite. The second ViaSat-3 class satellite, ViaSat-3 F2, was launched into orbit in November 2025 with commercial service expected to commence in September 2026. The third ViaSat-3 class satellite, ViaSat-3 F3, was launched into orbit in April 2026, with commercial service expected to commence by late summer 2026. Furthermore, as of June 30, 2026, the Company had seven additional geostationary earth orbit (GEO) satellites under construction: three adaptive Ka-band GEO satellites (GX7, GX8 and GX9) and four Inmarsat-8 L-band GEO safety service satellites. In addition to the Company's satellite fleet, the Company has purchased capacity on and has access to additional regional partner satellites. In addition, the Company owns related earth stations and networking equipment for all of its satellites. The Company procures CPE units leased to customers in order to connect to the Company's satellite network as part of the Company’s communication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June 30, 2026 were $517.9</w:t>
      </w:r>
      <w:r>
        <w:rPr>
          <w:rFonts w:ascii="Times New Roman" w:hAnsi="Times New Roman"/>
          <w:color w:val="000000"/>
          <w:sz w:val="20"/>
        </w:rPr>
        <w:t xml:space="preserve"> </w:t>
      </w:r>
      <w:r>
        <w:rPr>
          <w:rFonts w:ascii="Arial" w:hAnsi="Arial"/>
          <w:color w:val="000000"/>
          <w:sz w:val="20"/>
        </w:rPr>
        <w:t>million and $347.2</w:t>
      </w:r>
      <w:r>
        <w:rPr>
          <w:rFonts w:ascii="Times New Roman" w:hAnsi="Times New Roman"/>
          <w:color w:val="000000"/>
          <w:sz w:val="20"/>
        </w:rPr>
        <w:t xml:space="preserve"> </w:t>
      </w:r>
      <w:r>
        <w:rPr>
          <w:rFonts w:ascii="Arial" w:hAnsi="Arial"/>
          <w:color w:val="000000"/>
          <w:sz w:val="20"/>
        </w:rPr>
        <w:t>million, respectively. The total cost and accumulated depreciation of CPE units included in property, equipment and satellites, net, as of March 31, 2026 were $522.9</w:t>
      </w:r>
      <w:r>
        <w:rPr>
          <w:rFonts w:ascii="Times New Roman" w:hAnsi="Times New Roman"/>
          <w:color w:val="000000"/>
          <w:sz w:val="20"/>
        </w:rPr>
        <w:t xml:space="preserve"> </w:t>
      </w:r>
      <w:r>
        <w:rPr>
          <w:rFonts w:ascii="Arial" w:hAnsi="Arial"/>
          <w:color w:val="000000"/>
          <w:sz w:val="20"/>
        </w:rPr>
        <w:t>million and $349.4</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80" w:after="283"/>
        <w:jc w:val="left"/>
        <w:rPr>
          <w:rFonts w:ascii="Times New Roman" w:hAnsi="Times New Roman"/>
          <w:sz w:val="20"/>
        </w:rPr>
      </w:pPr>
      <w:r>
        <w:rPr>
          <w:rFonts w:ascii="Arial" w:hAnsi="Arial"/>
          <w:color w:val="000000"/>
          <w:sz w:val="20"/>
        </w:rPr>
        <w:t>As a result of the anomalies that occurred with respect to the ViaSat-3 F1 and Inmarsat-6 F2 satellites in fiscal year 2024, the Company recorded a reduction to the carrying value of the satellites of approximately $1.67</w:t>
      </w:r>
      <w:r>
        <w:rPr>
          <w:rFonts w:ascii="Times New Roman" w:hAnsi="Times New Roman"/>
          <w:color w:val="000000"/>
          <w:sz w:val="20"/>
        </w:rPr>
        <w:t xml:space="preserve"> </w:t>
      </w:r>
      <w:r>
        <w:rPr>
          <w:rFonts w:ascii="Arial" w:hAnsi="Arial"/>
          <w:color w:val="000000"/>
          <w:sz w:val="20"/>
        </w:rPr>
        <w:t>billion in fiscal year 2024, which was partially offset by total insurance claim receivables of approximately $770.0</w:t>
      </w:r>
      <w:r>
        <w:rPr>
          <w:rFonts w:ascii="Times New Roman" w:hAnsi="Times New Roman"/>
          <w:color w:val="000000"/>
          <w:sz w:val="20"/>
        </w:rPr>
        <w:t xml:space="preserve"> </w:t>
      </w:r>
      <w:r>
        <w:rPr>
          <w:rFonts w:ascii="Arial" w:hAnsi="Arial"/>
          <w:color w:val="000000"/>
          <w:sz w:val="20"/>
        </w:rPr>
        <w:t>million, and for which the final payment of approximately $10.0</w:t>
      </w:r>
      <w:r>
        <w:rPr>
          <w:rFonts w:ascii="Times New Roman" w:hAnsi="Times New Roman"/>
          <w:color w:val="000000"/>
          <w:sz w:val="20"/>
        </w:rPr>
        <w:t xml:space="preserve"> </w:t>
      </w:r>
      <w:r>
        <w:rPr>
          <w:rFonts w:ascii="Arial" w:hAnsi="Arial"/>
          <w:color w:val="000000"/>
          <w:sz w:val="20"/>
        </w:rPr>
        <w:t>million was received in the first quarter of fiscal year 2026.</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Occasionally, the Company may enter into finance lease arrangements for various machinery, equipment, computer-related equipment, software, furniture, fixtures, or satellites. The Company records amortization of assets leased under finance lease arrangements (upon lease commencement) within depreciation expense. The Company’s finance leases consist primarily of satellite lifetime Ka-band capacity leases and have remaining terms from less than one year</w:t>
      </w:r>
      <w:r>
        <w:rPr>
          <w:rFonts w:ascii="Times New Roman" w:hAnsi="Times New Roman"/>
          <w:color w:val="000000"/>
          <w:sz w:val="20"/>
        </w:rPr>
        <w:t xml:space="preserve"> </w:t>
      </w:r>
      <w:r>
        <w:rPr>
          <w:rFonts w:ascii="Arial" w:hAnsi="Arial"/>
          <w:color w:val="000000"/>
          <w:sz w:val="20"/>
        </w:rPr>
        <w:t>to 13</w:t>
      </w:r>
      <w:r>
        <w:rPr>
          <w:rFonts w:ascii="Times New Roman" w:hAnsi="Times New Roman"/>
          <w:color w:val="000000"/>
          <w:sz w:val="20"/>
        </w:rPr>
        <w:t xml:space="preserve"> </w:t>
      </w:r>
      <w:r>
        <w:rPr>
          <w:rFonts w:ascii="Arial" w:hAnsi="Arial"/>
          <w:color w:val="000000"/>
          <w:sz w:val="20"/>
        </w:rPr>
        <w:t>years. The Company reports assets obtained under finance leases in property, equipment and</w:t>
      </w:r>
      <w:r>
        <w:rPr>
          <w:rFonts w:ascii="Times New Roman" w:hAnsi="Times New Roman"/>
          <w:color w:val="000000"/>
          <w:sz w:val="20"/>
        </w:rPr>
        <w:t xml:space="preserve"> </w:t>
      </w:r>
      <w:r>
        <w:rPr>
          <w:rFonts w:ascii="Arial" w:hAnsi="Arial"/>
          <w:color w:val="000000"/>
          <w:sz w:val="20"/>
        </w:rPr>
        <w:t>satellites, net and the current and non-current portions of its finance lease liabilities in current portion of long-term debt and other long-term debt, respectively, in the condensed consolidated balance sheets (see Note 1 — Basis of Presentation – Leases for more information).</w:t>
      </w:r>
    </w:p>
    <w:p>
      <w:pPr>
        <w:pStyle w:val="TextBody"/>
        <w:bidi w:val="0"/>
        <w:spacing w:before="280" w:after="283"/>
        <w:jc w:val="left"/>
        <w:rPr>
          <w:rFonts w:ascii="Times New Roman" w:hAnsi="Times New Roman"/>
          <w:sz w:val="20"/>
        </w:rPr>
      </w:pPr>
      <w:r>
        <w:rPr>
          <w:rFonts w:ascii="Arial" w:hAnsi="Arial"/>
          <w:b/>
          <w:i/>
          <w:color w:val="000000"/>
          <w:sz w:val="20"/>
        </w:rPr>
        <w:t>Cloud computing arrangements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Company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The Company amortizes the capitalized implementation costs straight-line over the fixed, non-cancellable term of the associated hosting arrangement plus any reasonably certain renewal periods. The capitalized costs are included in other current assets within the prepaid expenses and other current assets caption, and other assets (long-term) on the Company's condensed consolidated balance sheets.</w:t>
      </w:r>
    </w:p>
    <w:p>
      <w:pPr>
        <w:pStyle w:val="TextBody"/>
        <w:bidi w:val="0"/>
        <w:spacing w:before="180" w:after="283"/>
        <w:jc w:val="left"/>
        <w:rPr>
          <w:rFonts w:ascii="Times New Roman" w:hAnsi="Times New Roman"/>
          <w:sz w:val="20"/>
        </w:rPr>
      </w:pPr>
      <w:r>
        <w:rPr>
          <w:rFonts w:ascii="Arial" w:hAnsi="Arial"/>
          <w:color w:val="000000"/>
          <w:sz w:val="20"/>
        </w:rPr>
        <w:t>The Company has entered into several cloud computing arrangements that are hosted services contracts mainly as part of projects related to the continuous transformation of technology, integration and implementation of an ERP system. As of June 30, 2026 and March 31, 2026, gross capitalized implementation costs incurred in cloud computing arrangements was $113.7</w:t>
      </w:r>
      <w:r>
        <w:rPr>
          <w:rFonts w:ascii="Times New Roman" w:hAnsi="Times New Roman"/>
          <w:color w:val="000000"/>
          <w:sz w:val="20"/>
        </w:rPr>
        <w:t xml:space="preserve"> </w:t>
      </w:r>
      <w:r>
        <w:rPr>
          <w:rFonts w:ascii="Arial" w:hAnsi="Arial"/>
          <w:color w:val="000000"/>
          <w:sz w:val="20"/>
        </w:rPr>
        <w:t>million and $112.2</w:t>
      </w:r>
      <w:r>
        <w:rPr>
          <w:rFonts w:ascii="Times New Roman" w:hAnsi="Times New Roman"/>
          <w:color w:val="000000"/>
          <w:sz w:val="20"/>
        </w:rPr>
        <w:t xml:space="preserve"> </w:t>
      </w:r>
      <w:r>
        <w:rPr>
          <w:rFonts w:ascii="Arial" w:hAnsi="Arial"/>
          <w:color w:val="000000"/>
          <w:sz w:val="20"/>
        </w:rPr>
        <w:t>million, respectively. As of June 30, 2026 and March 31, 2026, the related accumulated amortization was $31.5</w:t>
      </w:r>
      <w:r>
        <w:rPr>
          <w:rFonts w:ascii="Times New Roman" w:hAnsi="Times New Roman"/>
          <w:color w:val="000000"/>
          <w:sz w:val="20"/>
        </w:rPr>
        <w:t xml:space="preserve"> </w:t>
      </w:r>
      <w:r>
        <w:rPr>
          <w:rFonts w:ascii="Arial" w:hAnsi="Arial"/>
          <w:color w:val="000000"/>
          <w:sz w:val="20"/>
        </w:rPr>
        <w:t>million and $29.0</w:t>
      </w:r>
      <w:r>
        <w:rPr>
          <w:rFonts w:ascii="Times New Roman" w:hAnsi="Times New Roman"/>
          <w:color w:val="000000"/>
          <w:sz w:val="20"/>
        </w:rPr>
        <w:t xml:space="preserve"> </w:t>
      </w:r>
      <w:r>
        <w:rPr>
          <w:rFonts w:ascii="Arial" w:hAnsi="Arial"/>
          <w:color w:val="000000"/>
          <w:sz w:val="20"/>
        </w:rPr>
        <w:t>million, respectively. The Company recognized amortization of capitalized implementation costs of $2.5</w:t>
      </w:r>
      <w:r>
        <w:rPr>
          <w:rFonts w:ascii="Times New Roman" w:hAnsi="Times New Roman"/>
          <w:color w:val="000000"/>
          <w:sz w:val="20"/>
        </w:rPr>
        <w:t xml:space="preserve"> </w:t>
      </w:r>
      <w:r>
        <w:rPr>
          <w:rFonts w:ascii="Arial" w:hAnsi="Arial"/>
          <w:color w:val="000000"/>
          <w:sz w:val="20"/>
        </w:rPr>
        <w:t>million and $2.6</w:t>
      </w:r>
      <w:r>
        <w:rPr>
          <w:rFonts w:ascii="Times New Roman" w:hAnsi="Times New Roman"/>
          <w:color w:val="000000"/>
          <w:sz w:val="20"/>
        </w:rPr>
        <w:t xml:space="preserve"> </w:t>
      </w:r>
      <w:r>
        <w:rPr>
          <w:rFonts w:ascii="Arial" w:hAnsi="Arial"/>
          <w:color w:val="000000"/>
          <w:sz w:val="20"/>
        </w:rPr>
        <w:t>million for the three months ended June 30, 2026 and 2025, respectively.</w:t>
      </w:r>
    </w:p>
    <w:p>
      <w:pPr>
        <w:pStyle w:val="TextBody"/>
        <w:bidi w:val="0"/>
        <w:spacing w:before="280" w:after="283"/>
        <w:jc w:val="left"/>
        <w:rPr>
          <w:rFonts w:ascii="Arial" w:hAnsi="Arial"/>
          <w:b/>
          <w:i/>
          <w:color w:val="000000"/>
          <w:sz w:val="20"/>
        </w:rPr>
      </w:pPr>
      <w:r>
        <w:rPr>
          <w:rFonts w:ascii="Arial" w:hAnsi="Arial"/>
          <w:b/>
          <w:i/>
          <w:color w:val="000000"/>
          <w:sz w:val="20"/>
        </w:rPr>
        <w:t>Leases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Lessee accounting</w:t>
      </w:r>
    </w:p>
    <w:p>
      <w:pPr>
        <w:pStyle w:val="TextBody"/>
        <w:bidi w:val="0"/>
        <w:spacing w:before="80" w:after="283"/>
        <w:jc w:val="left"/>
        <w:rPr>
          <w:rFonts w:ascii="Times New Roman" w:hAnsi="Times New Roman"/>
          <w:sz w:val="20"/>
        </w:rPr>
      </w:pPr>
      <w:r>
        <w:rPr>
          <w:rFonts w:ascii="Arial" w:hAnsi="Arial"/>
          <w:color w:val="000000"/>
          <w:sz w:val="20"/>
        </w:rPr>
        <w:t>In accordance with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pStyle w:val="TextBody"/>
        <w:bidi w:val="0"/>
        <w:spacing w:before="180" w:after="283"/>
        <w:jc w:val="left"/>
        <w:rPr>
          <w:rFonts w:ascii="Times New Roman" w:hAnsi="Times New Roman"/>
          <w:sz w:val="20"/>
        </w:rPr>
      </w:pPr>
      <w:r>
        <w:rPr>
          <w:rFonts w:ascii="Arial" w:hAnsi="Arial"/>
          <w:color w:val="000000"/>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180" w:after="283"/>
        <w:jc w:val="left"/>
        <w:rPr>
          <w:rFonts w:ascii="Times New Roman" w:hAnsi="Times New Roman"/>
          <w:sz w:val="20"/>
        </w:rPr>
      </w:pPr>
      <w:r>
        <w:rPr>
          <w:rFonts w:ascii="Arial" w:hAnsi="Arial"/>
          <w:color w:val="000000"/>
          <w:sz w:val="20"/>
        </w:rPr>
        <w:t>The Company’s operating leases consist primarily of leases for office space, data centers and satellite ground facilities and have remaining terms that typically range from less than one year</w:t>
      </w:r>
      <w:r>
        <w:rPr>
          <w:rFonts w:ascii="Times New Roman" w:hAnsi="Times New Roman"/>
          <w:color w:val="000000"/>
          <w:sz w:val="20"/>
        </w:rPr>
        <w:t xml:space="preserve"> </w:t>
      </w:r>
      <w:r>
        <w:rPr>
          <w:rFonts w:ascii="Arial" w:hAnsi="Arial"/>
          <w:color w:val="000000"/>
          <w:sz w:val="20"/>
        </w:rPr>
        <w:t>to 15</w:t>
      </w:r>
      <w:r>
        <w:rPr>
          <w:rFonts w:ascii="Times New Roman" w:hAnsi="Times New Roman"/>
          <w:color w:val="000000"/>
          <w:sz w:val="20"/>
        </w:rPr>
        <w:t xml:space="preserve"> </w:t>
      </w:r>
      <w:r>
        <w:rPr>
          <w:rFonts w:ascii="Arial" w:hAnsi="Arial"/>
          <w:color w:val="000000"/>
          <w:sz w:val="20"/>
        </w:rPr>
        <w:t>years, some of which include renewal options, and some of which include options to terminate the leases within one year.</w:t>
      </w:r>
      <w:r>
        <w:rPr>
          <w:rFonts w:ascii="Times New Roman" w:hAnsi="Times New Roman"/>
          <w:color w:val="000000"/>
          <w:sz w:val="20"/>
        </w:rPr>
        <w:t xml:space="preserve"> </w:t>
      </w:r>
      <w:r>
        <w:rPr>
          <w:rFonts w:ascii="Arial" w:hAnsi="Arial"/>
          <w:color w:val="000000"/>
          <w:sz w:val="20"/>
        </w:rPr>
        <w:t>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 in the condensed consolidated balance sheets.</w:t>
      </w:r>
    </w:p>
    <w:p>
      <w:pPr>
        <w:pStyle w:val="TextBody"/>
        <w:bidi w:val="0"/>
        <w:spacing w:before="100" w:after="283"/>
        <w:jc w:val="left"/>
        <w:rPr>
          <w:rFonts w:ascii="Arial" w:hAnsi="Arial"/>
          <w:i/>
          <w:color w:val="000000"/>
          <w:sz w:val="20"/>
        </w:rPr>
      </w:pPr>
      <w:r>
        <w:rPr>
          <w:rFonts w:ascii="Arial" w:hAnsi="Arial"/>
          <w:i/>
          <w:color w:val="000000"/>
          <w:sz w:val="20"/>
        </w:rPr>
        <w:t>Lessor accounting</w:t>
      </w:r>
    </w:p>
    <w:p>
      <w:pPr>
        <w:pStyle w:val="TextBody"/>
        <w:bidi w:val="0"/>
        <w:spacing w:before="80" w:after="283"/>
        <w:jc w:val="left"/>
        <w:rPr>
          <w:rFonts w:ascii="Arial" w:hAnsi="Arial"/>
          <w:color w:val="000000"/>
          <w:sz w:val="20"/>
        </w:rPr>
      </w:pPr>
      <w:r>
        <w:rPr>
          <w:rFonts w:ascii="Arial" w:hAnsi="Arial"/>
          <w:color w:val="000000"/>
          <w:sz w:val="20"/>
        </w:rPr>
        <w:t>For broadband equipment leased to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pStyle w:val="TextBody"/>
        <w:bidi w:val="0"/>
        <w:spacing w:before="280" w:after="283"/>
        <w:jc w:val="left"/>
        <w:rPr>
          <w:rFonts w:ascii="Times New Roman" w:hAnsi="Times New Roman"/>
          <w:sz w:val="20"/>
        </w:rPr>
      </w:pPr>
      <w:r>
        <w:rPr>
          <w:rFonts w:ascii="Arial" w:hAnsi="Arial"/>
          <w:b/>
          <w:i/>
          <w:color w:val="000000"/>
          <w:sz w:val="20"/>
        </w:rPr>
        <w:t>Patents, orbital slots and other licenses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related to patents, orbital slots and other licenses of $145.3 million and $144.5 million were included in other assets as of June 30, 2026 and March 31, 2026, respectively. Accumulated amortization related to these assets was $27.8 million and $24.3 million as of June 30, 2026 and March 31, 2026, respectively. Amortization expense related to these assets was $3.5 million and $3.2 million for the three months ended June 30, 2026 and 2025, respectively. If a patent, orbital slot or other license is rejected, abandoned or otherwise invalidated, the unamortized cost is expensed in that period. During the three months ended June 30, 2026 and 2025, the Company did not write off any significant costs due to abandonment or impairment.</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Debt issuance costs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Debt issuance costs are amortized and recognized as interest expense using the effective interest rate method, or, when the results are not materially different, on a straight-line basis over the expected term of the related debt. The Company capitalized zero</w:t>
      </w:r>
      <w:r>
        <w:rPr>
          <w:rFonts w:ascii="Times New Roman" w:hAnsi="Times New Roman"/>
          <w:color w:val="000000"/>
          <w:sz w:val="20"/>
        </w:rPr>
        <w:t xml:space="preserve"> </w:t>
      </w:r>
      <w:r>
        <w:rPr>
          <w:rFonts w:ascii="Arial" w:hAnsi="Arial"/>
          <w:color w:val="000000"/>
          <w:sz w:val="20"/>
        </w:rPr>
        <w:t>debt issuance costs during each of the three months ended June 30, 2026 and 2025. Unamortized debt issuance costs related to extinguished debt are expensed at the time the debt is extinguished and recorded in (loss) gain on extinguishment of debt, net in the condensed consolidated statements of operations and comprehensive income (loss). If the terms of a financing obligation are amended and accounted for as a debt modification by the Company, fees incurred directly with the lending institution are capitalized and amortized over the remaining contractual term using the effective interest method. Fees incurred with other parties are expensed as incurred. Debt issuance costs related to the Company’s revolving credit facilities (collectively, the Revolving Credit Facilities) are recorded in other long-term assets in the condensed consolidated balance sheets in accordance with the authoritative guidance for imputation of interest (ASC 835-30). Debt issuance costs related to the Company’s senior secured and senior unsecured notes (collectively, the Notes) and senior secured term loan credit facilities (together with the Revolving Credit Facilities, the Credit Facilities)</w:t>
      </w:r>
      <w:r>
        <w:rPr>
          <w:rFonts w:ascii="Times New Roman" w:hAnsi="Times New Roman"/>
          <w:color w:val="000000"/>
          <w:sz w:val="20"/>
        </w:rPr>
        <w:t xml:space="preserve"> </w:t>
      </w:r>
      <w:r>
        <w:rPr>
          <w:rFonts w:ascii="Arial" w:hAnsi="Arial"/>
          <w:color w:val="000000"/>
          <w:sz w:val="20"/>
        </w:rPr>
        <w:t>are recorded as a direct deduction from the carrying amount of the related debt, consistent with debt discounts, in accordance with ASC 835-30.</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Software development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Costs of developing software for sale are charged to independent research and development (IR&amp;D)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w:t>
      </w:r>
      <w:r>
        <w:rPr>
          <w:rFonts w:ascii="Times New Roman" w:hAnsi="Times New Roman"/>
          <w:color w:val="000000"/>
          <w:sz w:val="20"/>
        </w:rPr>
        <w:t xml:space="preserve"> </w:t>
      </w:r>
      <w:r>
        <w:rPr>
          <w:rFonts w:ascii="Arial" w:hAnsi="Arial"/>
          <w:color w:val="000000"/>
          <w:sz w:val="20"/>
        </w:rPr>
        <w:t>As of June 30, 2026 and March 31, 2026, the Company had $886.2</w:t>
      </w:r>
      <w:r>
        <w:rPr>
          <w:rFonts w:ascii="Times New Roman" w:hAnsi="Times New Roman"/>
          <w:color w:val="000000"/>
          <w:sz w:val="20"/>
        </w:rPr>
        <w:t xml:space="preserve"> </w:t>
      </w:r>
      <w:r>
        <w:rPr>
          <w:rFonts w:ascii="Arial" w:hAnsi="Arial"/>
          <w:color w:val="000000"/>
          <w:sz w:val="20"/>
        </w:rPr>
        <w:t>million and $871.1</w:t>
      </w:r>
      <w:r>
        <w:rPr>
          <w:rFonts w:ascii="Times New Roman" w:hAnsi="Times New Roman"/>
          <w:color w:val="000000"/>
          <w:sz w:val="20"/>
        </w:rPr>
        <w:t xml:space="preserve"> </w:t>
      </w:r>
      <w:r>
        <w:rPr>
          <w:rFonts w:ascii="Arial" w:hAnsi="Arial"/>
          <w:color w:val="000000"/>
          <w:sz w:val="20"/>
        </w:rPr>
        <w:t>million, respectively, of capitalized costs related to software developed for resale. Accumulated amortization related to these assets was $565.3</w:t>
      </w:r>
      <w:r>
        <w:rPr>
          <w:rFonts w:ascii="Times New Roman" w:hAnsi="Times New Roman"/>
          <w:color w:val="000000"/>
          <w:sz w:val="20"/>
        </w:rPr>
        <w:t xml:space="preserve"> </w:t>
      </w:r>
      <w:r>
        <w:rPr>
          <w:rFonts w:ascii="Arial" w:hAnsi="Arial"/>
          <w:color w:val="000000"/>
          <w:sz w:val="20"/>
        </w:rPr>
        <w:t>million and $554.2</w:t>
      </w:r>
      <w:r>
        <w:rPr>
          <w:rFonts w:ascii="Times New Roman" w:hAnsi="Times New Roman"/>
          <w:color w:val="000000"/>
          <w:sz w:val="20"/>
        </w:rPr>
        <w:t xml:space="preserve"> </w:t>
      </w:r>
      <w:r>
        <w:rPr>
          <w:rFonts w:ascii="Arial" w:hAnsi="Arial"/>
          <w:color w:val="000000"/>
          <w:sz w:val="20"/>
        </w:rPr>
        <w:t>million as of June 30, 2026 and March 31, 2026, respectively. The Company capitalized $20.2</w:t>
      </w:r>
      <w:r>
        <w:rPr>
          <w:rFonts w:ascii="Times New Roman" w:hAnsi="Times New Roman"/>
          <w:color w:val="000000"/>
          <w:sz w:val="20"/>
        </w:rPr>
        <w:t xml:space="preserve"> </w:t>
      </w:r>
      <w:r>
        <w:rPr>
          <w:rFonts w:ascii="Arial" w:hAnsi="Arial"/>
          <w:color w:val="000000"/>
          <w:sz w:val="20"/>
        </w:rPr>
        <w:t>million and $23.5</w:t>
      </w:r>
      <w:r>
        <w:rPr>
          <w:rFonts w:ascii="Times New Roman" w:hAnsi="Times New Roman"/>
          <w:color w:val="000000"/>
          <w:sz w:val="20"/>
        </w:rPr>
        <w:t xml:space="preserve"> </w:t>
      </w:r>
      <w:r>
        <w:rPr>
          <w:rFonts w:ascii="Arial" w:hAnsi="Arial"/>
          <w:color w:val="000000"/>
          <w:sz w:val="20"/>
        </w:rPr>
        <w:t>million of costs related to software developed for resale for the three months ended June 30, 2026 and 2025, respectively. Amortization expense for capitalized software development costs was $11.8</w:t>
      </w:r>
      <w:r>
        <w:rPr>
          <w:rFonts w:ascii="Times New Roman" w:hAnsi="Times New Roman"/>
          <w:color w:val="000000"/>
          <w:sz w:val="20"/>
        </w:rPr>
        <w:t xml:space="preserve"> </w:t>
      </w:r>
      <w:r>
        <w:rPr>
          <w:rFonts w:ascii="Arial" w:hAnsi="Arial"/>
          <w:color w:val="000000"/>
          <w:sz w:val="20"/>
        </w:rPr>
        <w:t>million and $14.9</w:t>
      </w:r>
      <w:r>
        <w:rPr>
          <w:rFonts w:ascii="Times New Roman" w:hAnsi="Times New Roman"/>
          <w:color w:val="000000"/>
          <w:sz w:val="20"/>
        </w:rPr>
        <w:t xml:space="preserve"> </w:t>
      </w:r>
      <w:r>
        <w:rPr>
          <w:rFonts w:ascii="Arial" w:hAnsi="Arial"/>
          <w:color w:val="000000"/>
          <w:sz w:val="20"/>
        </w:rPr>
        <w:t>million for the three months ended June 30, 2026 and 2025, respectively.</w:t>
      </w:r>
    </w:p>
    <w:p>
      <w:pPr>
        <w:pStyle w:val="TextBody"/>
        <w:bidi w:val="0"/>
        <w:spacing w:before="280" w:after="283"/>
        <w:jc w:val="left"/>
        <w:rPr>
          <w:rFonts w:ascii="Arial" w:hAnsi="Arial"/>
          <w:b/>
          <w:i/>
          <w:color w:val="000000"/>
          <w:sz w:val="20"/>
        </w:rPr>
      </w:pPr>
      <w:r>
        <w:rPr>
          <w:rFonts w:ascii="Arial" w:hAnsi="Arial"/>
          <w:b/>
          <w:i/>
          <w:color w:val="000000"/>
          <w:sz w:val="20"/>
        </w:rPr>
        <w:t>Self-insurance and post-retirement medical benefit liabilities</w:t>
      </w:r>
    </w:p>
    <w:p>
      <w:pPr>
        <w:pStyle w:val="TextBody"/>
        <w:bidi w:val="0"/>
        <w:spacing w:before="80" w:after="283"/>
        <w:jc w:val="left"/>
        <w:rPr>
          <w:rFonts w:ascii="Times New Roman" w:hAnsi="Times New Roman"/>
          <w:sz w:val="20"/>
        </w:rPr>
      </w:pPr>
      <w:r>
        <w:rPr>
          <w:rFonts w:ascii="Arial" w:hAnsi="Arial"/>
          <w:color w:val="000000"/>
          <w:sz w:val="20"/>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recorded self-insurance liability for its plans of $5.6</w:t>
      </w:r>
      <w:r>
        <w:rPr>
          <w:rFonts w:ascii="Times New Roman" w:hAnsi="Times New Roman"/>
          <w:color w:val="000000"/>
          <w:sz w:val="20"/>
        </w:rPr>
        <w:t xml:space="preserve"> </w:t>
      </w:r>
      <w:r>
        <w:rPr>
          <w:rFonts w:ascii="Arial" w:hAnsi="Arial"/>
          <w:color w:val="000000"/>
          <w:sz w:val="20"/>
        </w:rPr>
        <w:t>million as of both June 30, 2026 and March 31, 2026.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the condensed consolidated balance sheets in accordance with the estimated timing of the projected payments.</w:t>
      </w:r>
    </w:p>
    <w:p>
      <w:pPr>
        <w:pStyle w:val="TextBody"/>
        <w:bidi w:val="0"/>
        <w:spacing w:before="180" w:after="283"/>
        <w:jc w:val="left"/>
        <w:rPr>
          <w:rFonts w:ascii="Times New Roman" w:hAnsi="Times New Roman"/>
          <w:sz w:val="20"/>
        </w:rPr>
      </w:pPr>
      <w:r>
        <w:rPr>
          <w:rFonts w:ascii="Arial" w:hAnsi="Arial"/>
          <w:color w:val="000000"/>
          <w:sz w:val="20"/>
        </w:rPr>
        <w:t>In fiscal year 2024, the Company completed the acquisition of Connect Topco Limited, a private company limited by shares and incorporated in Guernsey (Inmarsat Holdings and, together with its subsidiaries, Inmarsat, and such acquisition, the Inmarsat Acquisition). As a part of the Inmarsat Acquisition, the Company assumed a post-retirement medical benefit plan for retired employees (and their dependents) who were employed by Inmarsat before January 1, 1998.</w:t>
      </w:r>
      <w:r>
        <w:rPr>
          <w:rFonts w:ascii="Times New Roman" w:hAnsi="Times New Roman"/>
          <w:color w:val="000000"/>
          <w:sz w:val="20"/>
        </w:rPr>
        <w:t xml:space="preserve"> </w:t>
      </w:r>
      <w:r>
        <w:rPr>
          <w:rFonts w:ascii="Arial" w:hAnsi="Arial"/>
          <w:color w:val="000000"/>
          <w:sz w:val="20"/>
        </w:rPr>
        <w:t>The plan is funded by the Company and there are no plan assets from which the costs are paid. The cost of providing these benefits is actuarially determined and accrued over the service period of the active employee groups. The annual increase in Inmarsat's contribution to post-retirement medical liability is capped at the United Kingdom Consumer Price Index +1%.</w:t>
      </w:r>
    </w:p>
    <w:p>
      <w:pPr>
        <w:pStyle w:val="TextBody"/>
        <w:bidi w:val="0"/>
        <w:spacing w:before="280" w:after="283"/>
        <w:jc w:val="left"/>
        <w:rPr>
          <w:rFonts w:ascii="Times New Roman" w:hAnsi="Times New Roman"/>
          <w:sz w:val="20"/>
        </w:rPr>
      </w:pPr>
      <w:r>
        <w:rPr>
          <w:rFonts w:ascii="Arial" w:hAnsi="Arial"/>
          <w:b/>
          <w:i/>
          <w:color w:val="000000"/>
          <w:sz w:val="20"/>
        </w:rPr>
        <w:t>Indemnification provisions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June 30, 2026 and March 31, 2026, no</w:t>
      </w:r>
      <w:r>
        <w:rPr>
          <w:rFonts w:ascii="Times New Roman" w:hAnsi="Times New Roman"/>
          <w:color w:val="000000"/>
          <w:sz w:val="20"/>
        </w:rPr>
        <w:t xml:space="preserve"> </w:t>
      </w:r>
      <w:r>
        <w:rPr>
          <w:rFonts w:ascii="Arial" w:hAnsi="Arial"/>
          <w:color w:val="000000"/>
          <w:sz w:val="20"/>
        </w:rPr>
        <w:t>such amounts were accrued related to the aforementioned provisions.</w:t>
      </w:r>
    </w:p>
    <w:p>
      <w:pPr>
        <w:pStyle w:val="TextBody"/>
        <w:bidi w:val="0"/>
        <w:spacing w:before="280" w:after="283"/>
        <w:jc w:val="left"/>
        <w:rPr>
          <w:rFonts w:ascii="Arial" w:hAnsi="Arial"/>
          <w:b/>
          <w:i/>
          <w:color w:val="000000"/>
          <w:sz w:val="20"/>
        </w:rPr>
      </w:pPr>
      <w:r>
        <w:rPr>
          <w:rFonts w:ascii="Arial" w:hAnsi="Arial"/>
          <w:b/>
          <w:i/>
          <w:color w:val="000000"/>
          <w:sz w:val="20"/>
        </w:rPr>
        <w:t>Noncontrolling interests</w:t>
      </w:r>
    </w:p>
    <w:p>
      <w:pPr>
        <w:pStyle w:val="TextBody"/>
        <w:bidi w:val="0"/>
        <w:spacing w:before="80" w:after="283"/>
        <w:jc w:val="left"/>
        <w:rPr>
          <w:rFonts w:ascii="Arial" w:hAnsi="Arial"/>
          <w:color w:val="000000"/>
          <w:sz w:val="20"/>
        </w:rPr>
      </w:pPr>
      <w:r>
        <w:rPr>
          <w:rFonts w:ascii="Arial" w:hAnsi="Arial"/>
          <w:color w:val="000000"/>
          <w:sz w:val="20"/>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80" w:after="283"/>
        <w:jc w:val="left"/>
        <w:rPr>
          <w:rFonts w:ascii="Times New Roman" w:hAnsi="Times New Roman"/>
          <w:sz w:val="20"/>
        </w:rPr>
      </w:pPr>
      <w:r>
        <w:rPr>
          <w:rFonts w:ascii="Arial" w:hAnsi="Arial"/>
          <w:color w:val="000000"/>
          <w:sz w:val="20"/>
        </w:rPr>
        <w:t>In June 2025, TrellisWare declared a cash dividend for a total of $155.7</w:t>
      </w:r>
      <w:r>
        <w:rPr>
          <w:rFonts w:ascii="Times New Roman" w:hAnsi="Times New Roman"/>
          <w:color w:val="000000"/>
          <w:sz w:val="20"/>
        </w:rPr>
        <w:t xml:space="preserve"> </w:t>
      </w:r>
      <w:r>
        <w:rPr>
          <w:rFonts w:ascii="Arial" w:hAnsi="Arial"/>
          <w:color w:val="000000"/>
          <w:sz w:val="20"/>
        </w:rPr>
        <w:t>million. The Company's share of this dividend was $96.0</w:t>
      </w:r>
      <w:r>
        <w:rPr>
          <w:rFonts w:ascii="Times New Roman" w:hAnsi="Times New Roman"/>
          <w:color w:val="000000"/>
          <w:sz w:val="20"/>
        </w:rPr>
        <w:t xml:space="preserve"> </w:t>
      </w:r>
      <w:r>
        <w:rPr>
          <w:rFonts w:ascii="Arial" w:hAnsi="Arial"/>
          <w:color w:val="000000"/>
          <w:sz w:val="20"/>
        </w:rPr>
        <w:t>million. The remaining $59.7</w:t>
      </w:r>
      <w:r>
        <w:rPr>
          <w:rFonts w:ascii="Times New Roman" w:hAnsi="Times New Roman"/>
          <w:color w:val="000000"/>
          <w:sz w:val="20"/>
        </w:rPr>
        <w:t xml:space="preserve"> </w:t>
      </w:r>
      <w:r>
        <w:rPr>
          <w:rFonts w:ascii="Arial" w:hAnsi="Arial"/>
          <w:color w:val="000000"/>
          <w:sz w:val="20"/>
        </w:rPr>
        <w:t>million was recorded as a reduction to noncontrolling interest in subsidiary in the condensed consolidated balance sheet as of June 30, 2025. Of the portion attributable to noncontrolling interest, $45.9</w:t>
      </w:r>
      <w:r>
        <w:rPr>
          <w:rFonts w:ascii="Times New Roman" w:hAnsi="Times New Roman"/>
          <w:color w:val="000000"/>
          <w:sz w:val="20"/>
        </w:rPr>
        <w:t xml:space="preserve"> </w:t>
      </w:r>
      <w:r>
        <w:rPr>
          <w:rFonts w:ascii="Arial" w:hAnsi="Arial"/>
          <w:color w:val="000000"/>
          <w:sz w:val="20"/>
        </w:rPr>
        <w:t>million was paid to minority shareholders during the first quarter of fiscal year 2026 and $13.8</w:t>
      </w:r>
      <w:r>
        <w:rPr>
          <w:rFonts w:ascii="Times New Roman" w:hAnsi="Times New Roman"/>
          <w:color w:val="000000"/>
          <w:sz w:val="20"/>
        </w:rPr>
        <w:t xml:space="preserve"> </w:t>
      </w:r>
      <w:r>
        <w:rPr>
          <w:rFonts w:ascii="Arial" w:hAnsi="Arial"/>
          <w:color w:val="000000"/>
          <w:sz w:val="20"/>
        </w:rPr>
        <w:t>million was subsequently paid to minority shareholders during the second quarter of fiscal year 2026.</w:t>
      </w:r>
    </w:p>
    <w:p>
      <w:pPr>
        <w:pStyle w:val="TextBody"/>
        <w:bidi w:val="0"/>
        <w:spacing w:before="280" w:after="283"/>
        <w:jc w:val="left"/>
        <w:rPr>
          <w:rFonts w:ascii="Times New Roman" w:hAnsi="Times New Roman"/>
          <w:sz w:val="20"/>
        </w:rPr>
      </w:pPr>
      <w:r>
        <w:rPr>
          <w:rFonts w:ascii="Arial" w:hAnsi="Arial"/>
          <w:b/>
          <w:i/>
          <w:color w:val="000000"/>
          <w:sz w:val="20"/>
        </w:rPr>
        <w:t>Common stock held in treasury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As of June 30, 2026 and March 31, 2026, the Company had zero</w:t>
      </w:r>
      <w:r>
        <w:rPr>
          <w:rFonts w:ascii="Times New Roman" w:hAnsi="Times New Roman"/>
          <w:color w:val="000000"/>
          <w:sz w:val="20"/>
        </w:rPr>
        <w:t xml:space="preserve"> </w:t>
      </w:r>
      <w:r>
        <w:rPr>
          <w:rFonts w:ascii="Arial" w:hAnsi="Arial"/>
          <w:color w:val="000000"/>
          <w:sz w:val="20"/>
        </w:rPr>
        <w:t>shares of common stock held in treasury.</w:t>
      </w:r>
    </w:p>
    <w:p>
      <w:pPr>
        <w:pStyle w:val="TextBody"/>
        <w:bidi w:val="0"/>
        <w:spacing w:before="180" w:after="283"/>
        <w:jc w:val="left"/>
        <w:rPr>
          <w:rFonts w:ascii="Times New Roman" w:hAnsi="Times New Roman"/>
          <w:sz w:val="20"/>
        </w:rPr>
      </w:pPr>
      <w:r>
        <w:rPr>
          <w:rFonts w:ascii="Arial" w:hAnsi="Arial"/>
          <w:color w:val="000000"/>
          <w:sz w:val="20"/>
        </w:rPr>
        <w:t>During the three months ended June 30, 2026 and 2025, the Company issued 1,082,929</w:t>
      </w:r>
      <w:r>
        <w:rPr>
          <w:rFonts w:ascii="Times New Roman" w:hAnsi="Times New Roman"/>
          <w:color w:val="000000"/>
          <w:sz w:val="20"/>
        </w:rPr>
        <w:t xml:space="preserve"> </w:t>
      </w:r>
      <w:r>
        <w:rPr>
          <w:rFonts w:ascii="Arial" w:hAnsi="Arial"/>
          <w:color w:val="000000"/>
          <w:sz w:val="20"/>
        </w:rPr>
        <w:t>shares and 1,351,971</w:t>
      </w:r>
      <w:r>
        <w:rPr>
          <w:rFonts w:ascii="Times New Roman" w:hAnsi="Times New Roman"/>
          <w:color w:val="000000"/>
          <w:sz w:val="20"/>
        </w:rPr>
        <w:t xml:space="preserve"> </w:t>
      </w:r>
      <w:r>
        <w:rPr>
          <w:rFonts w:ascii="Arial" w:hAnsi="Arial"/>
          <w:color w:val="000000"/>
          <w:sz w:val="20"/>
        </w:rPr>
        <w:t>shares of common stock, respectively, based on the vesting terms of certain restricted stock unit (RSU) and performance-based RSU (PSU) agreements. In order for employees to satisfy minimum statutory employee tax withholding requirements related to the issuance of common stock underlying these RSU and PSU agreements, during the three months ended June 30, 2026 and 2025, the Company repurchased 427,521</w:t>
      </w:r>
      <w:r>
        <w:rPr>
          <w:rFonts w:ascii="Times New Roman" w:hAnsi="Times New Roman"/>
          <w:color w:val="000000"/>
          <w:sz w:val="20"/>
        </w:rPr>
        <w:t xml:space="preserve"> </w:t>
      </w:r>
      <w:r>
        <w:rPr>
          <w:rFonts w:ascii="Arial" w:hAnsi="Arial"/>
          <w:color w:val="000000"/>
          <w:sz w:val="20"/>
        </w:rPr>
        <w:t>shares and 503,164</w:t>
      </w:r>
      <w:r>
        <w:rPr>
          <w:rFonts w:ascii="Times New Roman" w:hAnsi="Times New Roman"/>
          <w:color w:val="000000"/>
          <w:sz w:val="20"/>
        </w:rPr>
        <w:t xml:space="preserve"> </w:t>
      </w:r>
      <w:r>
        <w:rPr>
          <w:rFonts w:ascii="Arial" w:hAnsi="Arial"/>
          <w:color w:val="000000"/>
          <w:sz w:val="20"/>
        </w:rPr>
        <w:t>shares of common stock, respectively, at cost and with a total value of $28.7</w:t>
      </w:r>
      <w:r>
        <w:rPr>
          <w:rFonts w:ascii="Times New Roman" w:hAnsi="Times New Roman"/>
          <w:color w:val="000000"/>
          <w:sz w:val="20"/>
        </w:rPr>
        <w:t xml:space="preserve"> </w:t>
      </w:r>
      <w:r>
        <w:rPr>
          <w:rFonts w:ascii="Arial" w:hAnsi="Arial"/>
          <w:color w:val="000000"/>
          <w:sz w:val="20"/>
        </w:rPr>
        <w:t>million and $4.7</w:t>
      </w:r>
      <w:r>
        <w:rPr>
          <w:rFonts w:ascii="Times New Roman" w:hAnsi="Times New Roman"/>
          <w:color w:val="000000"/>
          <w:sz w:val="20"/>
        </w:rPr>
        <w:t xml:space="preserve"> </w:t>
      </w:r>
      <w:r>
        <w:rPr>
          <w:rFonts w:ascii="Arial" w:hAnsi="Arial"/>
          <w:color w:val="000000"/>
          <w:sz w:val="20"/>
        </w:rPr>
        <w:t>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RSUs and PSUs. These retired shares remain as authorized stock and are considered to be unissued. The retirement of treasury stock had no impact on the Company’s total consolidated stockholders’ equity.</w:t>
      </w:r>
    </w:p>
    <w:p>
      <w:pPr>
        <w:pStyle w:val="TextBody"/>
        <w:bidi w:val="0"/>
        <w:spacing w:before="280" w:after="283"/>
        <w:jc w:val="left"/>
        <w:rPr>
          <w:rFonts w:ascii="Times New Roman" w:hAnsi="Times New Roman"/>
          <w:sz w:val="20"/>
        </w:rPr>
      </w:pPr>
      <w:r>
        <w:rPr>
          <w:rFonts w:ascii="Arial" w:hAnsi="Arial"/>
          <w:b/>
          <w:i/>
          <w:color w:val="000000"/>
          <w:sz w:val="20"/>
        </w:rPr>
        <w:t>Stock-based compensation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accordance with the authoritative guidance for share-based payments (ASC 718), the Company measures stock-based compensation cost at the grant date, based on the estimated fair value of the award. Expense for RSUs and stock options is recognized on a straight-line basis over the employee’s requisite service period. Expense for market-based performance stock options (PSOs) that vest is recognized regardless of the actual outcome achieved and is recognized on a graded-vesting basis. Expense for PSUs with a market condition (such as a stock price milestone) (market condition PSUs) that vest is recognized regardless of the actual outcome achieved and is recognized on a graded-vesting basis. Expense for PSUs with a performance condition (such as an operational milestone) (performance condition PSUs) that vest is recorded each period based on a probability assessment of the expected outcome of the performance metric with a final adjustment upon measurement at the end of the performance period and is recognized on a graded-vesting basis. The Company accounts for forfeitures as they occur. The Company recognized $24.2</w:t>
      </w:r>
      <w:r>
        <w:rPr>
          <w:rFonts w:ascii="Times New Roman" w:hAnsi="Times New Roman"/>
          <w:color w:val="000000"/>
          <w:sz w:val="20"/>
        </w:rPr>
        <w:t xml:space="preserve"> </w:t>
      </w:r>
      <w:r>
        <w:rPr>
          <w:rFonts w:ascii="Arial" w:hAnsi="Arial"/>
          <w:color w:val="000000"/>
          <w:sz w:val="20"/>
        </w:rPr>
        <w:t>million and $14.7</w:t>
      </w:r>
      <w:r>
        <w:rPr>
          <w:rFonts w:ascii="Times New Roman" w:hAnsi="Times New Roman"/>
          <w:color w:val="000000"/>
          <w:sz w:val="20"/>
        </w:rPr>
        <w:t xml:space="preserve"> </w:t>
      </w:r>
      <w:r>
        <w:rPr>
          <w:rFonts w:ascii="Arial" w:hAnsi="Arial"/>
          <w:color w:val="000000"/>
          <w:sz w:val="20"/>
        </w:rPr>
        <w:t>million of stock-based compensation expense for the three months ended June 30, 2026 and 2025, respectively. The Company recognizes excess tax benefits or deficiencies on vesting or settlement of awards as discrete items within income tax benefit or provision within net income (loss) and the related cash flows are classified within operating activities. The Company also has an insignificant amount of long-term cash awards, or liability awards, which are remeasured at fair value each reporting period until the awards are settled.</w:t>
      </w:r>
    </w:p>
    <w:p>
      <w:pPr>
        <w:pStyle w:val="TextBody"/>
        <w:bidi w:val="0"/>
        <w:spacing w:before="280" w:after="283"/>
        <w:jc w:val="left"/>
        <w:rPr>
          <w:rFonts w:ascii="Times New Roman" w:hAnsi="Times New Roman"/>
          <w:sz w:val="20"/>
        </w:rPr>
      </w:pPr>
      <w:r>
        <w:rPr>
          <w:rFonts w:ascii="Arial" w:hAnsi="Arial"/>
          <w:b/>
          <w:i/>
          <w:color w:val="000000"/>
          <w:sz w:val="20"/>
        </w:rPr>
        <w:t>Income taxes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ASC 740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Ordinarily, the Company calculates its provision for income taxes at the end of each interim reporting period on the basis of an estimated annual effective tax rate adjusted for tax items that are discrete to each period.</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pStyle w:val="TextBody"/>
        <w:bidi w:val="0"/>
        <w:spacing w:before="280" w:after="283"/>
        <w:jc w:val="left"/>
        <w:rPr>
          <w:rFonts w:ascii="Arial" w:hAnsi="Arial"/>
          <w:b/>
          <w:i/>
          <w:color w:val="000000"/>
          <w:sz w:val="20"/>
        </w:rPr>
      </w:pPr>
      <w:r>
        <w:rPr>
          <w:rFonts w:ascii="Arial" w:hAnsi="Arial"/>
          <w:b/>
          <w:i/>
          <w:color w:val="000000"/>
          <w:sz w:val="20"/>
        </w:rPr>
        <w:t>Recent authoritative guidance</w:t>
      </w:r>
    </w:p>
    <w:p>
      <w:pPr>
        <w:pStyle w:val="TextBody"/>
        <w:bidi w:val="0"/>
        <w:spacing w:before="180" w:after="283"/>
        <w:jc w:val="left"/>
        <w:rPr>
          <w:rFonts w:ascii="Arial" w:hAnsi="Arial"/>
          <w:color w:val="000000"/>
          <w:sz w:val="20"/>
        </w:rPr>
      </w:pPr>
      <w:r>
        <w:rPr>
          <w:rFonts w:ascii="Arial" w:hAnsi="Arial"/>
          <w:color w:val="000000"/>
          <w:sz w:val="20"/>
        </w:rPr>
        <w:t>In October 2023, the Financial Accounting Standards Board (FASB) issued ASU 2023-06, Disclosure Improvements: Codification Amendments in Response to the SEC’s Disclosure Update and Simplification Initiative. This ASU amends certain disclosure and presentation requirements for a variety of topics within the FASB ASC. These amendments will also align the requirements in the ASC with the SEC's regulations. The effective date for each amended topic in the ASC is the date on which the SEC’s removal of the related disclosure requirement from Regulation S-X or Regulation S-K becomes effective, and will not be effective if the SEC has not removed the applicable disclosure requirements by June 30, 2027. Early adoption is prohibited.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November 2024, the FASB issued ASU 2024-03, Income Statement – Reporting Comprehensive Income – Expense Disaggregation Disclosures (Subtopic 220-40): Disaggregation of Income Statement Expenses. This ASU requires additional disclosures about certain categories of costs and expenses in the notes to financial statements. As clarified in ASU 2025-01, Income Statement – Reporting Comprehensive Income – Expense Disaggregation Disclosures (Subtopic 220-40): Clarifying the Effective Date, the new standard will become effective for the Company’s annual disclosures beginning in fiscal year 2028 and for interim disclosures beginning in fiscal year 2029. Early adoption is permitted and the amendments should be applied either prospectively to financial statements issued for reporting periods after the effective date of the ASU or retrospectively to any or all periods presented in the financial statements.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May 2025, the FASB issued ASU 2025-04, Compensation – Stock Compensation (Topic 718) and Revenue from Contracts with Customers (Topic 606): Clarifications to Share-Based Consideration Payable to a Customer. The purpose of this ASU is to reduce diversity in practice and improve the decision usefulness and operability of the guidance for share-based consideration payable to a customer in conjunction with selling goods or services. The new standard will become effective for the Company's interim and annual disclosures beginning in fiscal year 2028. Early adoption is permitted and the new guidance can be applied either on a modified retrospective or a retrospective basis.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July 2025, the FASB issued ASU 2025-05, Financial Instruments – Credit Losses (Topic 326): Measurement of Credit Losses for Accounts Receivable and Contract Assets. The purpose of this ASU is to allow entities to apply a practical expedient when estimating expected credit losses for current accounts receivable and current contract assets that arise from transactions accounted for under Topic 606. The Company adopted the new guidance on a prospective basis in the first quarter of fiscal year 2027 and the guidance did not have a material impact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September 2025, the FASB issued ASU 2025-06, Intangibles – Goodwill and Other – Internal-Use Software (Subtopic 350-40): Targeted Improvements to the Accounting for Internal-Use Software. The purpose of this ASU is to modernize the accounting guidance for the costs to develop software for internal use by removing all references to prescriptive and sequential software development project stages and providing further guidance on when an entity is required to start capitalizing eligible costs. The new standard will become effective for the Company's interim and annual disclosures beginning in fiscal year 2029. Early adoption is permitted and the new guidance should be applied either on a prospective transition, a modified transition or a retrospective transition approach.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September 2025, the FASB issued ASU 2025-07, Derivative and Hedging (Topic 815) and Revenue from Contracts with Customers (Topic 606): Derivatives Scope Refinements and Scope Clarification for Share-Based Noncash Consideration from a Customer in a Revenue Contract. This ASU expands the scope exception in Topic 815 and clarifies the guidance on share-based noncash consideration from a customer in Topic 606. The new standard will become effective for the Company's interim and annual disclosures beginning in fiscal year 2028. Early adoption is permitted and the new guidance should be applied either on a prospective or a modified retrospective basis. The Company is currently evaluating the impact of this standard on its consolidated financial statements and disclosures.</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In November 2025, the FASB issued ASU 2025-08, Financial Instruments - Credit Losses (Topic 326): Purchased Loans. This ASU expands the population of acquired financial assets subject to the gross-up approach to include purchased seasoned loans. The new standard will become effective for the Company's interim and annual disclosures beginning in fiscal year 2028. Early adoption is permitted and the new guidance should be applied prospectively.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November 2025, the FASB issued ASU 2025-09, Derivatives and Hedging (Topic 815): Hedge Accounting Improvements. This ASU includes five targeted amendments intended to more closely align hedge accounting with the underlying economics of entities' risk management activities. The new standard will become effective for the Company's interim and annual disclosures beginning in fiscal year 2028. Early adoption is permitted and the new guidance should be applied prospectively.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December 2025, the FASB issued ASU 2025-10, Government Grants (Topic 832): Accounting for Government Grants Received by Business Entities. The purpose of this ASU is to reduce diversity in practice by establishing accounting guidance for recognition, measurement and presentation of a government grant received by a business entity. The new standard will become effective for the Company's interim and annual disclosures beginning in fiscal year 2030. Early adoption is permitted and the new guidance should be applied either on a modified prospective, a modified retrospective or a full retrospective basis.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December 2025, the FASB issued ASU 2025-11, Interim Reporting (Topic 270): Narrow-Scope Improvements. This ASU provides a comprehensive list of interim disclosures that are required by GAAP and clarifies the applicability of Topic 270, as well as a requirement to disclose events since the end of the last annual reporting period that have a material impact on the entity. The new standard will become effective for the Company's interim disclosures beginning in fiscal year 2029. Early adoption is permitted and the new guidance should be applied prospectively or retrospectively to any or all prior periods presented in the financial statements.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December 2025, the FASB issued ASU 2025-12, Codification Improvements. This ASU includes amendments to the FASB Accounting Standards Codification for a broad range of topics arising from technical corrections, unintended application of the Codification, clarifications, and other minor improvements. These amendments are not expected to have a significant effect on current accounting practice for most entities. The new standard will become effective for the Company's interim and annual reporting periods beginning in fiscal year 2028. Early adoption is permitted on an issue-by-issue basis and the new guidance should be applied prospectively or retrospectively on an issue-by-issue basis.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May 2026, the FASB issued ASU 2026-02, Environmental Credits and Environmental Credit Obligations (Topic 818). This ASU provides recognition, measurement, presentation, and disclosure requirements for environmental credits and environmental credit obligations. The new standard will become effective for the Company's interim and annual reporting periods beginning in fiscal year 2029. Early adoption is permitted and the new guidance should be applied retrospectively. The Company is currently evaluating the impact of this standard on its consolidated financial statements and disclosures.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2 — Composition of Certain Balance Sheet Captions</w:t>
      </w:r>
      <w:r>
        <w:rPr>
          <w:rFonts w:ascii="Times New Roman" w:hAnsi="Times New Roman"/>
          <w:color w:val="000000"/>
          <w:sz w:val="20"/>
        </w:rPr>
        <w:t xml:space="preserve"> </w:t>
      </w:r>
    </w:p>
    <w:p>
      <w:pPr>
        <w:pStyle w:val="TextBody"/>
        <w:bidi w:val="0"/>
        <w:jc w:val="left"/>
        <w:rPr/>
      </w:pPr>
      <w:r>
        <w:rPr/>
        <w:t> </w:t>
      </w:r>
    </w:p>
    <w:tbl>
      <w:tblPr>
        <w:tblW w:w="10112" w:type="dxa"/>
        <w:jc w:val="left"/>
        <w:tblInd w:w="0" w:type="dxa"/>
        <w:tblLayout w:type="fixed"/>
        <w:tblCellMar>
          <w:top w:w="28" w:type="dxa"/>
          <w:left w:w="28" w:type="dxa"/>
          <w:bottom w:w="28" w:type="dxa"/>
          <w:right w:w="28" w:type="dxa"/>
        </w:tblCellMar>
      </w:tblPr>
      <w:tblGrid>
        <w:gridCol w:w="7026"/>
        <w:gridCol w:w="146"/>
        <w:gridCol w:w="196"/>
        <w:gridCol w:w="916"/>
        <w:gridCol w:w="166"/>
        <w:gridCol w:w="146"/>
        <w:gridCol w:w="198"/>
        <w:gridCol w:w="927"/>
        <w:gridCol w:w="391"/>
      </w:tblGrid>
      <w:tr>
        <w:trPr/>
        <w:tc>
          <w:tcPr>
            <w:tcW w:w="7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 xml:space="preserve">As of </w:t>
              <w:br/>
              <w:t>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As of</w:t>
              <w:br/>
              <w:t> 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530,060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539,758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Unbilled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227,840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744,423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753,430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108,697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147,469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293,788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281,220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179,081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163,441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330,739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342,522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equipment and satellites,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Equipment and software (estimated useful life of 3-10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4,388,811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4,298,300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CPE leased equipment (estimated useful life of 3-7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522,882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Furniture and fixtures (estimated useful life of 7-10</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54,185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Leasehold improvements (estimated useful life of 2-20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325,087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Buildings (estimated useful life of 20-38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682,201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662,841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Satellites (estimated useful life of 7-17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3,410,155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3,410,741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Satellite Ka-band capacity obtained under finance leases (estimated useful life of 7-15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339,428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339,428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Satellites under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2,731,858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2,644,050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12,474,065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12,283,827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(5,225,166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(5,011,190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7,248,899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7,272,637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Acquired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Contracts and customer relationships (weighted average useful life of 11</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1,432,774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1,432,934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Orbital slots and spectrum assets (weighted average useful life of 12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1,088,600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1,088,600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Technology (weighted average useful life of 7</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223,954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Trade names (weighted average useful life of 8</w:t>
            </w:r>
            <w:r>
              <w:rPr>
                <w:rFonts w:ascii="Times New Roman" w:hAnsi="Times New Roman"/>
                <w:color w:val="000000"/>
                <w:sz w:val="20"/>
              </w:rPr>
              <w:t> </w:t>
            </w:r>
            <w:r>
              <w:rPr>
                <w:rFonts w:ascii="Arial" w:hAnsi="Arial"/>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114,570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Other (weighted average useful life of 9</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2,878,206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2,879,053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(946,342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(881,617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1,931,864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1,997,436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68,699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Capitalized software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320,932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316,947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Patents, orbital slots and other licenses,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120,194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273,669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780,560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779,509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Collections in excess of revenues and 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319,716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292,592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Accrued employee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207,741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60,879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361,963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355,916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902,530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951,192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revenues, long-term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1,073,577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1,064,261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995,471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1,016,850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270,620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298,190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2,339,668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2,379,301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3 — Fair Value Measurements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pStyle w:val="TextBody"/>
        <w:bidi w:val="0"/>
        <w:spacing w:before="120" w:after="283"/>
        <w:jc w:val="left"/>
        <w:rPr>
          <w:rFonts w:ascii="Arial" w:hAnsi="Arial"/>
          <w:color w:val="000000"/>
          <w:sz w:val="20"/>
        </w:rPr>
      </w:pPr>
      <w:r>
        <w:rPr>
          <w:rFonts w:ascii="Arial" w:hAnsi="Arial"/>
          <w:color w:val="000000"/>
          <w:sz w:val="20"/>
        </w:rPr>
        <w:t> Level 1 — Inputs based on quoted market prices for identical assets or liabilities in active markets at the measurement date.</w:t>
      </w:r>
    </w:p>
    <w:p>
      <w:pPr>
        <w:pStyle w:val="TextBody"/>
        <w:bidi w:val="0"/>
        <w:spacing w:before="120" w:after="283"/>
        <w:jc w:val="left"/>
        <w:rPr>
          <w:rFonts w:ascii="Arial" w:hAnsi="Arial"/>
          <w:color w:val="000000"/>
          <w:sz w:val="20"/>
        </w:rPr>
      </w:pPr>
      <w:r>
        <w:rPr>
          <w:rFonts w:ascii="Arial" w:hAnsi="Arial"/>
          <w:color w:val="000000"/>
          <w:sz w:val="20"/>
        </w:rPr>
        <w:t> 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before="120" w:after="283"/>
        <w:jc w:val="left"/>
        <w:rPr>
          <w:rFonts w:ascii="Arial" w:hAnsi="Arial"/>
          <w:color w:val="000000"/>
          <w:sz w:val="20"/>
        </w:rPr>
      </w:pPr>
      <w:r>
        <w:rPr>
          <w:rFonts w:ascii="Arial" w:hAnsi="Arial"/>
          <w:color w:val="000000"/>
          <w:sz w:val="20"/>
        </w:rPr>
        <w:t> Level 3 — Inputs which reflect management’s best estimate of what market participants would use in pricing the asset or liability at the measurement date. The inputs are unobservable in the market and significant to the instrument’s valuation.</w:t>
      </w:r>
    </w:p>
    <w:p>
      <w:pPr>
        <w:pStyle w:val="TextBody"/>
        <w:bidi w:val="0"/>
        <w:spacing w:before="180" w:after="283"/>
        <w:jc w:val="left"/>
        <w:rPr>
          <w:rFonts w:ascii="Times New Roman" w:hAnsi="Times New Roman"/>
          <w:sz w:val="20"/>
        </w:rPr>
      </w:pPr>
      <w:r>
        <w:rPr>
          <w:rFonts w:ascii="Arial" w:hAnsi="Arial"/>
          <w:color w:val="000000"/>
          <w:sz w:val="20"/>
        </w:rPr>
        <w:t>The following tables present the Company's hierarchy for its assets measured at fair value on a recurring basis as of June 30, 2026 and March 31, 2026. The Company had no</w:t>
      </w:r>
      <w:r>
        <w:rPr>
          <w:rFonts w:ascii="Times New Roman" w:hAnsi="Times New Roman"/>
          <w:color w:val="000000"/>
          <w:sz w:val="20"/>
        </w:rPr>
        <w:t xml:space="preserve"> </w:t>
      </w:r>
      <w:r>
        <w:rPr>
          <w:rFonts w:ascii="Arial" w:hAnsi="Arial"/>
          <w:color w:val="000000"/>
          <w:sz w:val="20"/>
        </w:rPr>
        <w:t>liabilities measured at fair value on a recurring basis as of both June 30, 2026 and March 31, 2026.</w:t>
      </w:r>
    </w:p>
    <w:p>
      <w:pPr>
        <w:pStyle w:val="TextBody"/>
        <w:bidi w:val="0"/>
        <w:jc w:val="left"/>
        <w:rPr/>
      </w:pPr>
      <w:r>
        <w:rPr/>
        <w:t> </w:t>
      </w:r>
    </w:p>
    <w:tbl>
      <w:tblPr>
        <w:tblW w:w="10106" w:type="dxa"/>
        <w:jc w:val="left"/>
        <w:tblInd w:w="0" w:type="dxa"/>
        <w:tblLayout w:type="fixed"/>
        <w:tblCellMar>
          <w:top w:w="28" w:type="dxa"/>
          <w:left w:w="28" w:type="dxa"/>
          <w:bottom w:w="28" w:type="dxa"/>
          <w:right w:w="28" w:type="dxa"/>
        </w:tblCellMar>
      </w:tblPr>
      <w:tblGrid>
        <w:gridCol w:w="4966"/>
        <w:gridCol w:w="146"/>
        <w:gridCol w:w="276"/>
        <w:gridCol w:w="1044"/>
        <w:gridCol w:w="146"/>
        <w:gridCol w:w="146"/>
        <w:gridCol w:w="211"/>
        <w:gridCol w:w="796"/>
        <w:gridCol w:w="146"/>
        <w:gridCol w:w="146"/>
        <w:gridCol w:w="250"/>
        <w:gridCol w:w="410"/>
        <w:gridCol w:w="146"/>
        <w:gridCol w:w="146"/>
        <w:gridCol w:w="250"/>
        <w:gridCol w:w="410"/>
        <w:gridCol w:w="47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w:t>
              <w:br/>
              <w:t>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 measured at fair value on a recurring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w:t>
              <w:br/>
              <w:t>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 measured at fair value on a recurring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The following section describes the valuation methodologies the Company uses to measure financial instruments at fair value:</w:t>
      </w:r>
    </w:p>
    <w:p>
      <w:pPr>
        <w:pStyle w:val="TextBody"/>
        <w:bidi w:val="0"/>
        <w:spacing w:before="180" w:after="283"/>
        <w:jc w:val="left"/>
        <w:rPr>
          <w:rFonts w:ascii="Times New Roman" w:hAnsi="Times New Roman"/>
          <w:sz w:val="20"/>
        </w:rPr>
      </w:pPr>
      <w:r>
        <w:rPr>
          <w:rFonts w:ascii="Arial" w:hAnsi="Arial"/>
          <w:i/>
          <w:color w:val="000000"/>
          <w:sz w:val="20"/>
        </w:rPr>
        <w:t xml:space="preserve">Cash equivalents </w:t>
      </w:r>
      <w:r>
        <w:rPr>
          <w:rFonts w:ascii="Times New Roman" w:hAnsi="Times New Roman"/>
          <w:color w:val="000000"/>
          <w:sz w:val="20"/>
        </w:rPr>
        <w:t xml:space="preserve">— </w:t>
      </w:r>
      <w:r>
        <w:rPr>
          <w:rFonts w:ascii="Arial" w:hAnsi="Arial"/>
          <w:color w:val="000000"/>
          <w:sz w:val="20"/>
        </w:rPr>
        <w:t>The Company’s cash equivalents consist of money market funds, with a significant portion held in U.S. government-backed securities and treasuries.</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i/>
          <w:color w:val="000000"/>
          <w:sz w:val="20"/>
        </w:rPr>
        <w:t xml:space="preserve">Long-term debt </w:t>
      </w:r>
      <w:r>
        <w:rPr>
          <w:rFonts w:ascii="Times New Roman" w:hAnsi="Times New Roman"/>
          <w:color w:val="000000"/>
          <w:sz w:val="20"/>
        </w:rPr>
        <w:t xml:space="preserve">— </w:t>
      </w:r>
      <w:r>
        <w:rPr>
          <w:rFonts w:ascii="Arial" w:hAnsi="Arial"/>
          <w:color w:val="000000"/>
          <w:sz w:val="20"/>
        </w:rPr>
        <w:t>As of June 30, 2026, the Company’s long-term debt (including current portion) was comprised of (1) $600.0 million in aggregate principal amount of Viasat's 5.625% Senior Secured Notes due 2027 (the 2027 Notes), $400.0 million in aggregate principal amount of Viasat's 6.500% Senior Notes due 2028 (the 2028 Notes), $1.975 billion in aggregate principal amount of Inmarsat's 9.000% Senior Secured Notes due 2029 (the Inmarsat 2029 Notes), and $733.4 million in aggregate principal amount of Viasat’s 7.500% Senior Notes due 2031 (the 2031 Notes), (2) borrowings under Viasat’s $700.0 million senior secured term loan facility (the 2022 Term Loan Facility), borrowings under Viasat’s $616.7 million senior secured term loan facility (the 2023 Term Loan Facility), borrowings under the Inmarsat Term Loan Facility and borrowings under Viasat’s direct loan facility (the Ex-Im Credit Facility) with the Export-Import Bank of the United States, and (3) finance lease obligations reported at the present value of future minimum lease payments with current accrued interest. Long-term debt related to the Revolving Credit Facilities is reported at the outstanding principal amount of borrowings, while long-term debt related to the Company's other Credit Facilities and the Notes is reported at amortized cost. However, for disclosure purposes, the Company is required to measure the fair value of outstanding debt on a recurring basis. The fair value of the Company’s long-term debt related to the Company's variable rate Credit Facilities approximates its carrying amount due to its variable interest rate, which approximates a market interest rate. As of June 30, 2026 and March 31, 2026, the estimated fair value of the Company's long-term debt related to the Ex-Im Credit Facility was Level 2 and was $173.2</w:t>
      </w:r>
      <w:r>
        <w:rPr>
          <w:rFonts w:ascii="Times New Roman" w:hAnsi="Times New Roman"/>
          <w:color w:val="000000"/>
          <w:sz w:val="20"/>
        </w:rPr>
        <w:t xml:space="preserve"> </w:t>
      </w:r>
      <w:r>
        <w:rPr>
          <w:rFonts w:ascii="Arial" w:hAnsi="Arial"/>
          <w:color w:val="000000"/>
          <w:sz w:val="20"/>
        </w:rPr>
        <w:t>million and $186.2</w:t>
      </w:r>
      <w:r>
        <w:rPr>
          <w:rFonts w:ascii="Times New Roman" w:hAnsi="Times New Roman"/>
          <w:color w:val="000000"/>
          <w:sz w:val="20"/>
        </w:rPr>
        <w:t xml:space="preserve"> </w:t>
      </w:r>
      <w:r>
        <w:rPr>
          <w:rFonts w:ascii="Arial" w:hAnsi="Arial"/>
          <w:color w:val="000000"/>
          <w:sz w:val="20"/>
        </w:rPr>
        <w:t>million, respectively. As of June 30, 2026 and March 31, 2026, the estimated fair value of the Company’s outstanding long-term debt related to each series of Notes was Level 2 and was $598.4</w:t>
      </w:r>
      <w:r>
        <w:rPr>
          <w:rFonts w:ascii="Times New Roman" w:hAnsi="Times New Roman"/>
          <w:color w:val="000000"/>
          <w:sz w:val="20"/>
        </w:rPr>
        <w:t xml:space="preserve"> </w:t>
      </w:r>
      <w:r>
        <w:rPr>
          <w:rFonts w:ascii="Arial" w:hAnsi="Arial"/>
          <w:color w:val="000000"/>
          <w:sz w:val="20"/>
        </w:rPr>
        <w:t>million and $597.8</w:t>
      </w:r>
      <w:r>
        <w:rPr>
          <w:rFonts w:ascii="Times New Roman" w:hAnsi="Times New Roman"/>
          <w:color w:val="000000"/>
          <w:sz w:val="20"/>
        </w:rPr>
        <w:t xml:space="preserve"> </w:t>
      </w:r>
      <w:r>
        <w:rPr>
          <w:rFonts w:ascii="Arial" w:hAnsi="Arial"/>
          <w:color w:val="000000"/>
          <w:sz w:val="20"/>
        </w:rPr>
        <w:t>million, respectively, for the 2027 Notes, $399.0</w:t>
      </w:r>
      <w:r>
        <w:rPr>
          <w:rFonts w:ascii="Times New Roman" w:hAnsi="Times New Roman"/>
          <w:color w:val="000000"/>
          <w:sz w:val="20"/>
        </w:rPr>
        <w:t xml:space="preserve"> </w:t>
      </w:r>
      <w:r>
        <w:rPr>
          <w:rFonts w:ascii="Arial" w:hAnsi="Arial"/>
          <w:color w:val="000000"/>
          <w:sz w:val="20"/>
        </w:rPr>
        <w:t>million and $395.0</w:t>
      </w:r>
      <w:r>
        <w:rPr>
          <w:rFonts w:ascii="Times New Roman" w:hAnsi="Times New Roman"/>
          <w:color w:val="000000"/>
          <w:sz w:val="20"/>
        </w:rPr>
        <w:t xml:space="preserve"> </w:t>
      </w:r>
      <w:r>
        <w:rPr>
          <w:rFonts w:ascii="Arial" w:hAnsi="Arial"/>
          <w:color w:val="000000"/>
          <w:sz w:val="20"/>
        </w:rPr>
        <w:t>million, respectively, for the 2028 Notes, $2.08</w:t>
      </w:r>
      <w:r>
        <w:rPr>
          <w:rFonts w:ascii="Times New Roman" w:hAnsi="Times New Roman"/>
          <w:color w:val="000000"/>
          <w:sz w:val="20"/>
        </w:rPr>
        <w:t xml:space="preserve"> </w:t>
      </w:r>
      <w:r>
        <w:rPr>
          <w:rFonts w:ascii="Arial" w:hAnsi="Arial"/>
          <w:color w:val="000000"/>
          <w:sz w:val="20"/>
        </w:rPr>
        <w:t>billion and</w:t>
      </w:r>
      <w:r>
        <w:rPr>
          <w:rFonts w:ascii="Times New Roman" w:hAnsi="Times New Roman"/>
          <w:color w:val="000000"/>
          <w:sz w:val="20"/>
        </w:rPr>
        <w:t xml:space="preserve"> </w:t>
      </w:r>
      <w:r>
        <w:rPr>
          <w:rFonts w:ascii="Arial" w:hAnsi="Arial"/>
          <w:color w:val="000000"/>
          <w:sz w:val="20"/>
        </w:rPr>
        <w:t>$2.07</w:t>
      </w:r>
      <w:r>
        <w:rPr>
          <w:rFonts w:ascii="Times New Roman" w:hAnsi="Times New Roman"/>
          <w:color w:val="000000"/>
          <w:sz w:val="20"/>
        </w:rPr>
        <w:t xml:space="preserve"> </w:t>
      </w:r>
      <w:r>
        <w:rPr>
          <w:rFonts w:ascii="Arial" w:hAnsi="Arial"/>
          <w:color w:val="000000"/>
          <w:sz w:val="20"/>
        </w:rPr>
        <w:t>billion, respectively, for the Inmarsat 2029 Notes, and $740.7</w:t>
      </w:r>
      <w:r>
        <w:rPr>
          <w:rFonts w:ascii="Times New Roman" w:hAnsi="Times New Roman"/>
          <w:color w:val="000000"/>
          <w:sz w:val="20"/>
        </w:rPr>
        <w:t xml:space="preserve"> </w:t>
      </w:r>
      <w:r>
        <w:rPr>
          <w:rFonts w:ascii="Arial" w:hAnsi="Arial"/>
          <w:color w:val="000000"/>
          <w:sz w:val="20"/>
        </w:rPr>
        <w:t>million and $724.9</w:t>
      </w:r>
      <w:r>
        <w:rPr>
          <w:rFonts w:ascii="Times New Roman" w:hAnsi="Times New Roman"/>
          <w:color w:val="000000"/>
          <w:sz w:val="20"/>
        </w:rPr>
        <w:t xml:space="preserve"> </w:t>
      </w:r>
      <w:r>
        <w:rPr>
          <w:rFonts w:ascii="Arial" w:hAnsi="Arial"/>
          <w:color w:val="000000"/>
          <w:sz w:val="20"/>
        </w:rPr>
        <w:t>million, respectively, for the 2031 Notes.</w:t>
      </w:r>
    </w:p>
    <w:p>
      <w:pPr>
        <w:pStyle w:val="TextBody"/>
        <w:bidi w:val="0"/>
        <w:spacing w:before="180" w:after="283"/>
        <w:jc w:val="left"/>
        <w:rPr>
          <w:rFonts w:ascii="Times New Roman" w:hAnsi="Times New Roman"/>
          <w:sz w:val="20"/>
        </w:rPr>
      </w:pPr>
      <w:r>
        <w:rPr>
          <w:rFonts w:ascii="Arial" w:hAnsi="Arial"/>
          <w:i/>
          <w:color w:val="000000"/>
          <w:sz w:val="20"/>
        </w:rPr>
        <w:t>Satellite performance incentive obligations</w:t>
      </w:r>
      <w:r>
        <w:rPr>
          <w:rFonts w:ascii="Times New Roman" w:hAnsi="Times New Roman"/>
          <w:color w:val="000000"/>
          <w:sz w:val="20"/>
        </w:rPr>
        <w:t xml:space="preserve"> — </w:t>
      </w:r>
      <w:r>
        <w:rPr>
          <w:rFonts w:ascii="Arial" w:hAnsi="Arial"/>
          <w:color w:val="000000"/>
          <w:sz w:val="20"/>
        </w:rPr>
        <w:t>The Company’s contracts with satellite manufacturers require the Company to make 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June 30, 2026 and March 31, 2026, the Company’s estimated satellite performance incentive obligations relating to certain satellites in commercial service, including accrued interest, were $4.9</w:t>
      </w:r>
      <w:r>
        <w:rPr>
          <w:rFonts w:ascii="Times New Roman" w:hAnsi="Times New Roman"/>
          <w:color w:val="000000"/>
          <w:sz w:val="20"/>
        </w:rPr>
        <w:t xml:space="preserve"> </w:t>
      </w:r>
      <w:r>
        <w:rPr>
          <w:rFonts w:ascii="Arial" w:hAnsi="Arial"/>
          <w:color w:val="000000"/>
          <w:sz w:val="20"/>
        </w:rPr>
        <w:t>million and $6.1</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80" w:after="283"/>
        <w:jc w:val="left"/>
        <w:rPr>
          <w:rFonts w:ascii="Times New Roman" w:hAnsi="Times New Roman"/>
          <w:sz w:val="20"/>
        </w:rPr>
      </w:pPr>
      <w:r>
        <w:rPr>
          <w:rFonts w:ascii="Arial" w:hAnsi="Arial"/>
          <w:b/>
          <w:color w:val="000000"/>
          <w:sz w:val="20"/>
        </w:rPr>
        <w:t>Note 4 — Shares Used In Computing Diluted Net Income (Loss) Per Share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weighted average number of shares used to calculate basic and diluted net loss per share attributable to Viasat, Inc. common stockholders was the same for the three months ended June 30, 2026 and 2025, as the Company incurred a net loss attributable to Viasat, Inc. common stockholders for such periods and inclusion of potentially dilutive weighted average shares of common stock would be antidilutive.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Potentially dilutive weighted average shares excluded from the calculation for the three months ended June 30, 2026 and 2025 consisted of 67,422 shares and 189,202 shares, respectively, related to stock options, 2,198,338 shares and 45,736 shares, respectively, related to PSOs and market condition PSUs, 6,021,432 shares and 4,958,370 shares, respectively, related to RSUs, 141,331 shares and 281,178 shares, respectively, related to performance condition PSUs, and 385,858 shares and 2,429,150 shares, respectively, related to certain terms of the Viasat 401(k) Profit Sharing Plan and Employee Stock Purchase Plan.</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Note 5 — Goodwill and Acquired Intangible Assets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During the three months ended June 30, 2026 and 2025, the Company’s goodwill remained flat.</w:t>
      </w:r>
    </w:p>
    <w:p>
      <w:pPr>
        <w:pStyle w:val="TextBody"/>
        <w:bidi w:val="0"/>
        <w:spacing w:before="180" w:after="283"/>
        <w:jc w:val="left"/>
        <w:rPr>
          <w:rFonts w:ascii="Arial" w:hAnsi="Arial"/>
          <w:color w:val="000000"/>
          <w:sz w:val="20"/>
        </w:rPr>
      </w:pPr>
      <w:r>
        <w:rPr>
          <w:rFonts w:ascii="Arial" w:hAnsi="Arial"/>
          <w:color w:val="000000"/>
          <w:sz w:val="20"/>
        </w:rPr>
        <w:t>Goodwill by segments as of June 30, 2026 and March 31, 2026 was as follows:</w:t>
      </w:r>
    </w:p>
    <w:p>
      <w:pPr>
        <w:pStyle w:val="TextBody"/>
        <w:bidi w:val="0"/>
        <w:jc w:val="left"/>
        <w:rPr/>
      </w:pPr>
      <w:r>
        <w:rPr/>
        <w:t> </w:t>
      </w:r>
    </w:p>
    <w:tbl>
      <w:tblPr>
        <w:tblW w:w="6420" w:type="dxa"/>
        <w:jc w:val="left"/>
        <w:tblInd w:w="0" w:type="dxa"/>
        <w:tblLayout w:type="fixed"/>
        <w:tblCellMar>
          <w:top w:w="28" w:type="dxa"/>
          <w:left w:w="28" w:type="dxa"/>
          <w:bottom w:w="28" w:type="dxa"/>
          <w:right w:w="28" w:type="dxa"/>
        </w:tblCellMar>
      </w:tblPr>
      <w:tblGrid>
        <w:gridCol w:w="3271"/>
        <w:gridCol w:w="146"/>
        <w:gridCol w:w="218"/>
        <w:gridCol w:w="997"/>
        <w:gridCol w:w="146"/>
        <w:gridCol w:w="146"/>
        <w:gridCol w:w="235"/>
        <w:gridCol w:w="1070"/>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Communication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1,584,603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 and advanced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1,624,700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1,625,013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Acquired intangible assets are amortized using the straight-line method over their estimated useful lives of two to 12 years (which approximates the economic pattern of benefit).</w:t>
      </w:r>
      <w:r>
        <w:rPr>
          <w:rFonts w:ascii="Times New Roman" w:hAnsi="Times New Roman"/>
          <w:color w:val="000000"/>
          <w:sz w:val="20"/>
        </w:rPr>
        <w:t xml:space="preserve"> </w:t>
      </w:r>
      <w:r>
        <w:rPr>
          <w:rFonts w:ascii="Arial" w:hAnsi="Arial"/>
          <w:color w:val="000000"/>
          <w:sz w:val="20"/>
        </w:rPr>
        <w:t>Amortization expense related to acquired intangible assets was $65.0</w:t>
      </w:r>
      <w:r>
        <w:rPr>
          <w:rFonts w:ascii="Times New Roman" w:hAnsi="Times New Roman"/>
          <w:color w:val="000000"/>
          <w:sz w:val="20"/>
        </w:rPr>
        <w:t xml:space="preserve"> </w:t>
      </w:r>
      <w:r>
        <w:rPr>
          <w:rFonts w:ascii="Arial" w:hAnsi="Arial"/>
          <w:color w:val="000000"/>
          <w:sz w:val="20"/>
        </w:rPr>
        <w:t>million and $65.7</w:t>
      </w:r>
      <w:r>
        <w:rPr>
          <w:rFonts w:ascii="Times New Roman" w:hAnsi="Times New Roman"/>
          <w:color w:val="000000"/>
          <w:sz w:val="20"/>
        </w:rPr>
        <w:t xml:space="preserve"> </w:t>
      </w:r>
      <w:r>
        <w:rPr>
          <w:rFonts w:ascii="Arial" w:hAnsi="Arial"/>
          <w:color w:val="000000"/>
          <w:sz w:val="20"/>
        </w:rPr>
        <w:t>million for the three months ended June 30, 2026 and 2025, respectively.</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6 — Senior Notes and Other Long-Term Debt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Total long-term debt consisted of the following as of June 30, 2026 and March 31, 2026:</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8"/>
        <w:gridCol w:w="146"/>
        <w:gridCol w:w="216"/>
        <w:gridCol w:w="988"/>
        <w:gridCol w:w="166"/>
        <w:gridCol w:w="146"/>
        <w:gridCol w:w="229"/>
        <w:gridCol w:w="1043"/>
        <w:gridCol w:w="213"/>
      </w:tblGrid>
      <w:tr>
        <w:trPr/>
        <w:tc>
          <w:tcPr>
            <w:tcW w:w="7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2022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673,750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2023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599,741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601,283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Inmarsat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1,270,750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1,274,000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Ex-Im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188,730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Inmarsat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Viasat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Inmarsat 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1,975,000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2031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733,400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Finance lease obligations</w:t>
            </w:r>
            <w:r>
              <w:rPr>
                <w:rFonts w:ascii="Times New Roman" w:hAnsi="Times New Roman"/>
                <w:color w:val="000000"/>
                <w:sz w:val="20"/>
              </w:rPr>
              <w:t> </w:t>
            </w:r>
            <w:r>
              <w:rPr>
                <w:rFonts w:ascii="Arial" w:hAnsi="Arial"/>
                <w:color w:val="000000"/>
                <w:sz w:val="20"/>
              </w:rPr>
              <w:t>(see Note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138,952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6,570,503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6,585,115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Unamortized discount, debt issuance costs and fair value adjustments made in purchase accounting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(136,510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57,753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5,780,460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6,390,852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2022 Term Loan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March 2022, the Company entered into the $700.0</w:t>
      </w:r>
      <w:r>
        <w:rPr>
          <w:rFonts w:ascii="Times New Roman" w:hAnsi="Times New Roman"/>
          <w:color w:val="000000"/>
          <w:sz w:val="20"/>
        </w:rPr>
        <w:t xml:space="preserve"> </w:t>
      </w:r>
      <w:r>
        <w:rPr>
          <w:rFonts w:ascii="Arial" w:hAnsi="Arial"/>
          <w:color w:val="000000"/>
          <w:sz w:val="20"/>
        </w:rPr>
        <w:t>million 2022 Term Loan Facility, which was fully drawn at closing and matures on</w:t>
      </w:r>
      <w:r>
        <w:rPr>
          <w:rFonts w:ascii="Times New Roman" w:hAnsi="Times New Roman"/>
          <w:color w:val="000000"/>
          <w:sz w:val="20"/>
        </w:rPr>
        <w:t xml:space="preserve"> </w:t>
      </w:r>
      <w:r>
        <w:rPr>
          <w:rFonts w:ascii="Arial" w:hAnsi="Arial"/>
          <w:color w:val="000000"/>
          <w:sz w:val="20"/>
        </w:rPr>
        <w:t>March 4, 2029. At June 30, 2026, the Company had $672.0</w:t>
      </w:r>
      <w:r>
        <w:rPr>
          <w:rFonts w:ascii="Times New Roman" w:hAnsi="Times New Roman"/>
          <w:color w:val="000000"/>
          <w:sz w:val="20"/>
        </w:rPr>
        <w:t xml:space="preserve"> </w:t>
      </w:r>
      <w:r>
        <w:rPr>
          <w:rFonts w:ascii="Arial" w:hAnsi="Arial"/>
          <w:color w:val="000000"/>
          <w:sz w:val="20"/>
        </w:rPr>
        <w:t>million in principal amount of outstanding borrowings under the 2022 Term Loan Facility.</w:t>
      </w:r>
    </w:p>
    <w:p>
      <w:pPr>
        <w:pStyle w:val="TextBody"/>
        <w:bidi w:val="0"/>
        <w:spacing w:before="180" w:after="283"/>
        <w:jc w:val="left"/>
        <w:rPr>
          <w:rFonts w:ascii="Times New Roman" w:hAnsi="Times New Roman"/>
          <w:sz w:val="20"/>
        </w:rPr>
      </w:pPr>
      <w:r>
        <w:rPr>
          <w:rFonts w:ascii="Arial" w:hAnsi="Arial"/>
          <w:color w:val="000000"/>
          <w:sz w:val="20"/>
        </w:rPr>
        <w:t>Borrowings under the 2022 Term Loan Facility are required to be repaid in quarterly installments of $1.75</w:t>
      </w:r>
      <w:r>
        <w:rPr>
          <w:rFonts w:ascii="Times New Roman" w:hAnsi="Times New Roman"/>
          <w:color w:val="000000"/>
          <w:sz w:val="20"/>
        </w:rPr>
        <w:t xml:space="preserve"> </w:t>
      </w:r>
      <w:r>
        <w:rPr>
          <w:rFonts w:ascii="Arial" w:hAnsi="Arial"/>
          <w:color w:val="000000"/>
          <w:sz w:val="20"/>
        </w:rPr>
        <w:t>million each, which commenced on September 30, 2022, followed by a final installment of $654.5</w:t>
      </w:r>
      <w:r>
        <w:rPr>
          <w:rFonts w:ascii="Times New Roman" w:hAnsi="Times New Roman"/>
          <w:color w:val="000000"/>
          <w:sz w:val="20"/>
        </w:rPr>
        <w:t xml:space="preserve"> </w:t>
      </w:r>
      <w:r>
        <w:rPr>
          <w:rFonts w:ascii="Arial" w:hAnsi="Arial"/>
          <w:color w:val="000000"/>
          <w:sz w:val="20"/>
        </w:rPr>
        <w:t>million at maturity. Borrowings under the 2022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As of June 30, 2026, the effective interest rate on the Company’s outstanding borrowings under the 2022 Term Loan Facility was 8.86%. The 2022 Term Loan Facility is required to be guaranteed by certain significant domestic subsidiaries of the Company (as defined in the 2022 Term Loan Facility) and secured by substantially all of the Company’s and any such subsidiaries’ assets. As of June 30, 2026, none of the Company’s subsidiaries guaranteed the 2022 Term Loan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2022 Term Loan Facility contains covenants that restrict, among other things, the ability of the Company and its restricted subsidiaries to incur additional debt, grant liens, sell assets, make investments, pay dividends and make certain other restricted payments.</w:t>
      </w:r>
      <w:r>
        <w:rPr>
          <w:rFonts w:ascii="Times New Roman" w:hAnsi="Times New Roman"/>
          <w:color w:val="000000"/>
          <w:sz w:val="20"/>
        </w:rPr>
        <w:t xml:space="preserve"> </w:t>
      </w:r>
      <w:r>
        <w:rPr>
          <w:rFonts w:ascii="Arial" w:hAnsi="Arial"/>
          <w:color w:val="000000"/>
          <w:sz w:val="20"/>
        </w:rPr>
        <w:t>The Company was in compliance with its covenants under the 2022 Term Loan Facility as of June 30, 2026.</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Borrowings under the 2022 Term Loan Facility are recorded as current portion of long-term debt and as other long-term debt, net of unamortized discount and debt issuance costs, in the Company’s condensed consolidated financial statements. The 2022 Term Loan Facility was issued with an original issue discount of 2.00%, or $14.0</w:t>
      </w:r>
      <w:r>
        <w:rPr>
          <w:rFonts w:ascii="Times New Roman" w:hAnsi="Times New Roman"/>
          <w:color w:val="000000"/>
          <w:sz w:val="20"/>
        </w:rPr>
        <w:t xml:space="preserve"> </w:t>
      </w:r>
      <w:r>
        <w:rPr>
          <w:rFonts w:ascii="Arial" w:hAnsi="Arial"/>
          <w:color w:val="000000"/>
          <w:sz w:val="20"/>
        </w:rPr>
        <w:t>million. The original issue discount and deferred financing cost associated with the issuance of the borrowings under the 2022 Term Loan Facility are amortized to interest expense on a straight-line basis over the term of the 2022 Term Loan Facility, the results of which are not materially different from the effective interest rate basis.</w:t>
      </w:r>
    </w:p>
    <w:p>
      <w:pPr>
        <w:pStyle w:val="TextBody"/>
        <w:bidi w:val="0"/>
        <w:spacing w:before="280" w:after="283"/>
        <w:jc w:val="left"/>
        <w:rPr>
          <w:rFonts w:ascii="Arial" w:hAnsi="Arial"/>
          <w:b/>
          <w:i/>
          <w:color w:val="000000"/>
          <w:sz w:val="20"/>
        </w:rPr>
      </w:pPr>
      <w:r>
        <w:rPr>
          <w:rFonts w:ascii="Arial" w:hAnsi="Arial"/>
          <w:b/>
          <w:i/>
          <w:color w:val="000000"/>
          <w:sz w:val="20"/>
        </w:rPr>
        <w:t>2023 Term Loan Facility</w:t>
      </w:r>
    </w:p>
    <w:p>
      <w:pPr>
        <w:pStyle w:val="TextBody"/>
        <w:bidi w:val="0"/>
        <w:spacing w:before="80" w:after="283"/>
        <w:jc w:val="left"/>
        <w:rPr>
          <w:rFonts w:ascii="Times New Roman" w:hAnsi="Times New Roman"/>
          <w:sz w:val="20"/>
        </w:rPr>
      </w:pPr>
      <w:r>
        <w:rPr>
          <w:rFonts w:ascii="Arial" w:hAnsi="Arial"/>
          <w:color w:val="000000"/>
          <w:sz w:val="20"/>
        </w:rPr>
        <w:t>In connection with the closing of the Inmarsat Acquisition in May 2023, the Company entered into the $616.7</w:t>
      </w:r>
      <w:r>
        <w:rPr>
          <w:rFonts w:ascii="Times New Roman" w:hAnsi="Times New Roman"/>
          <w:color w:val="000000"/>
          <w:sz w:val="20"/>
        </w:rPr>
        <w:t xml:space="preserve"> </w:t>
      </w:r>
      <w:r>
        <w:rPr>
          <w:rFonts w:ascii="Arial" w:hAnsi="Arial"/>
          <w:color w:val="000000"/>
          <w:sz w:val="20"/>
        </w:rPr>
        <w:t>million 2023 Term Loan Facility, which was fully drawn at closing and matures on May 30, 2030. At June 30, 2026, the Company had $599.7</w:t>
      </w:r>
      <w:r>
        <w:rPr>
          <w:rFonts w:ascii="Times New Roman" w:hAnsi="Times New Roman"/>
          <w:color w:val="000000"/>
          <w:sz w:val="20"/>
        </w:rPr>
        <w:t xml:space="preserve"> </w:t>
      </w:r>
      <w:r>
        <w:rPr>
          <w:rFonts w:ascii="Arial" w:hAnsi="Arial"/>
          <w:color w:val="000000"/>
          <w:sz w:val="20"/>
        </w:rPr>
        <w:t>million in principal amount of outstanding borrowings under the 2023 Term Loan Facility.</w:t>
      </w:r>
    </w:p>
    <w:p>
      <w:pPr>
        <w:pStyle w:val="TextBody"/>
        <w:bidi w:val="0"/>
        <w:spacing w:before="180" w:after="283"/>
        <w:jc w:val="left"/>
        <w:rPr>
          <w:rFonts w:ascii="Times New Roman" w:hAnsi="Times New Roman"/>
          <w:sz w:val="20"/>
        </w:rPr>
      </w:pPr>
      <w:r>
        <w:rPr>
          <w:rFonts w:ascii="Arial" w:hAnsi="Arial"/>
          <w:color w:val="000000"/>
          <w:sz w:val="20"/>
        </w:rPr>
        <w:t>Borrowings under the 2023 Term Loan Facility are required to be repaid in quarterly installments of $1.5 million each, which commenced on December 31, 2023, followed by a final installment of $576.6 million at maturity. Borrowings under the 2023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plus a credit spread adjustment ranging from 0.11% to 0.43%. As of June 30, 2026, the effective interest rate on the Company’s outstanding borrowings under the 2023 Term Loan Facility was 9.37%.</w:t>
      </w:r>
      <w:r>
        <w:rPr>
          <w:rFonts w:ascii="Times New Roman" w:hAnsi="Times New Roman"/>
          <w:color w:val="000000"/>
          <w:sz w:val="20"/>
        </w:rPr>
        <w:t xml:space="preserve"> </w:t>
      </w:r>
      <w:r>
        <w:rPr>
          <w:rFonts w:ascii="Arial" w:hAnsi="Arial"/>
          <w:color w:val="000000"/>
          <w:sz w:val="20"/>
        </w:rPr>
        <w:t>The 2023 Term Loan Facility is required to be guaranteed by certain significant domestic subsidiaries of the Company (as defined in the 2023 Term Loan Facility) and secured by substantially all of the Company’s assets and any such subsidiaries' assets. As of June 30, 2026, none of the Company’s subsidiaries guaranteed the 2023 Term Loan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2023 Term Loan Facility contains covenants that restrict, among other things, the ability of the Company and its restricted subsidiaries to incur additional debt, grant liens, sell assets, make investments, pay dividends and make certain other restricted payments.</w:t>
      </w:r>
      <w:r>
        <w:rPr>
          <w:rFonts w:ascii="Times New Roman" w:hAnsi="Times New Roman"/>
          <w:color w:val="000000"/>
          <w:sz w:val="20"/>
        </w:rPr>
        <w:t xml:space="preserve"> </w:t>
      </w:r>
      <w:r>
        <w:rPr>
          <w:rFonts w:ascii="Arial" w:hAnsi="Arial"/>
          <w:color w:val="000000"/>
          <w:sz w:val="20"/>
        </w:rPr>
        <w:t>The Company was in compliance with its covenants under the 2023 Term Loan Facility as of June 30, 2026.</w:t>
      </w:r>
    </w:p>
    <w:p>
      <w:pPr>
        <w:pStyle w:val="TextBody"/>
        <w:bidi w:val="0"/>
        <w:spacing w:before="180" w:after="283"/>
        <w:jc w:val="left"/>
        <w:rPr>
          <w:rFonts w:ascii="Times New Roman" w:hAnsi="Times New Roman"/>
          <w:sz w:val="20"/>
        </w:rPr>
      </w:pPr>
      <w:r>
        <w:rPr>
          <w:rFonts w:ascii="Arial" w:hAnsi="Arial"/>
          <w:color w:val="000000"/>
          <w:sz w:val="20"/>
        </w:rPr>
        <w:t>Borrowings under the 2023 Term Loan Facility are recorded as current portion of long-term debt and as other long-term debt, net of unamortized discount and debt issuance costs, in the Company’s condensed consolidated financial statements. The 2023 Term Loan Facility was issued with an original issue discount of 2.50%, or $15.4</w:t>
      </w:r>
      <w:r>
        <w:rPr>
          <w:rFonts w:ascii="Times New Roman" w:hAnsi="Times New Roman"/>
          <w:color w:val="000000"/>
          <w:sz w:val="20"/>
        </w:rPr>
        <w:t xml:space="preserve"> </w:t>
      </w:r>
      <w:r>
        <w:rPr>
          <w:rFonts w:ascii="Arial" w:hAnsi="Arial"/>
          <w:color w:val="000000"/>
          <w:sz w:val="20"/>
        </w:rPr>
        <w:t>million. The original issue discount and deferred financing cost associated with the issuance of the borrowings under the 2023 Term Loan Facility are amortized to interest expense on a straight-line basis over the term of the 2023 Term Loan Facility, the results of which are not materially different from the effective interest rate basis.</w:t>
      </w:r>
    </w:p>
    <w:p>
      <w:pPr>
        <w:pStyle w:val="TextBody"/>
        <w:bidi w:val="0"/>
        <w:spacing w:before="280" w:after="283"/>
        <w:jc w:val="left"/>
        <w:rPr>
          <w:rFonts w:ascii="Arial" w:hAnsi="Arial"/>
          <w:b/>
          <w:i/>
          <w:color w:val="000000"/>
          <w:sz w:val="20"/>
        </w:rPr>
      </w:pPr>
      <w:r>
        <w:rPr>
          <w:rFonts w:ascii="Arial" w:hAnsi="Arial"/>
          <w:b/>
          <w:i/>
          <w:color w:val="000000"/>
          <w:sz w:val="20"/>
        </w:rPr>
        <w:t>Inmarsat Secured Credit Facilities</w:t>
      </w:r>
    </w:p>
    <w:p>
      <w:pPr>
        <w:pStyle w:val="TextBody"/>
        <w:bidi w:val="0"/>
        <w:spacing w:before="80" w:after="283"/>
        <w:jc w:val="left"/>
        <w:rPr>
          <w:rFonts w:ascii="Arial" w:hAnsi="Arial"/>
          <w:color w:val="000000"/>
          <w:sz w:val="20"/>
        </w:rPr>
      </w:pPr>
      <w:r>
        <w:rPr>
          <w:rFonts w:ascii="Arial" w:hAnsi="Arial"/>
          <w:color w:val="000000"/>
          <w:sz w:val="20"/>
        </w:rPr>
        <w:t>In March 2024, Inmarsat amended its then-existing senior secured credit facilities to (among other matters): (1) establish the $1.3 billion Inmarsat Term Loan Facility, the proceeds of which, together with cash on hand, were used to repay approximately $1.38 billion of the outstanding borrowings under Inmarsat’s original senior secured term loan facility (Original Inmarsat Term Loan Facility), resulting in $300.0 million in principal amount of borrowings remaining outstanding under the Original Inmarsat Term Loan Facility at the closing of the amendment, and (2) replace the prior $700.0 million revolving credit facility with a new $550.0 million revolving line of credit (including up to $100.0 million of letters of credit) (the Inmarsat Revolving Credit Facility and, together with the Inmarsat Term Loan Facility, the Inmarsat Secured Credit Facilities).</w:t>
      </w:r>
    </w:p>
    <w:p>
      <w:pPr>
        <w:pStyle w:val="TextBody"/>
        <w:bidi w:val="0"/>
        <w:spacing w:before="80" w:after="283"/>
        <w:jc w:val="left"/>
        <w:rPr>
          <w:rFonts w:ascii="Times New Roman" w:hAnsi="Times New Roman"/>
          <w:sz w:val="20"/>
        </w:rPr>
      </w:pPr>
      <w:r>
        <w:rPr>
          <w:rFonts w:ascii="Arial" w:hAnsi="Arial"/>
          <w:color w:val="000000"/>
          <w:sz w:val="20"/>
        </w:rPr>
        <w:t>In November 2025, the Company repaid early all of the $300.0</w:t>
      </w:r>
      <w:r>
        <w:rPr>
          <w:rFonts w:ascii="Times New Roman" w:hAnsi="Times New Roman"/>
          <w:color w:val="000000"/>
          <w:sz w:val="20"/>
        </w:rPr>
        <w:t xml:space="preserve"> </w:t>
      </w:r>
      <w:r>
        <w:rPr>
          <w:rFonts w:ascii="Arial" w:hAnsi="Arial"/>
          <w:color w:val="000000"/>
          <w:sz w:val="20"/>
        </w:rPr>
        <w:t>million in principal amount of outstanding borrowings under the Original Inmarsat Term Loan Facility plus accrued and unpaid interest thereon.</w:t>
      </w:r>
    </w:p>
    <w:p>
      <w:pPr>
        <w:pStyle w:val="TextBody"/>
        <w:bidi w:val="0"/>
        <w:spacing w:before="80" w:after="283"/>
        <w:jc w:val="left"/>
        <w:rPr>
          <w:rFonts w:ascii="Times New Roman" w:hAnsi="Times New Roman"/>
          <w:sz w:val="20"/>
        </w:rPr>
      </w:pPr>
      <w:r>
        <w:rPr>
          <w:rFonts w:ascii="Arial" w:hAnsi="Arial"/>
          <w:color w:val="000000"/>
          <w:sz w:val="20"/>
        </w:rPr>
        <w:t>The maturity date for the Inmarsat Term Loan Facility is September 28, 2029</w:t>
      </w:r>
      <w:r>
        <w:rPr>
          <w:rFonts w:ascii="Times New Roman" w:hAnsi="Times New Roman"/>
          <w:color w:val="000000"/>
          <w:sz w:val="20"/>
        </w:rPr>
        <w:t xml:space="preserve"> </w:t>
      </w:r>
      <w:r>
        <w:rPr>
          <w:rFonts w:ascii="Arial" w:hAnsi="Arial"/>
          <w:color w:val="000000"/>
          <w:sz w:val="20"/>
        </w:rPr>
        <w:t>and for the Inmarsat Revolving Credit Facility is March 28, 2027. As of June 30, 2026, Inmarsat had $1.3</w:t>
      </w:r>
      <w:r>
        <w:rPr>
          <w:rFonts w:ascii="Times New Roman" w:hAnsi="Times New Roman"/>
          <w:color w:val="000000"/>
          <w:sz w:val="20"/>
        </w:rPr>
        <w:t xml:space="preserve"> </w:t>
      </w:r>
      <w:r>
        <w:rPr>
          <w:rFonts w:ascii="Arial" w:hAnsi="Arial"/>
          <w:color w:val="000000"/>
          <w:sz w:val="20"/>
        </w:rPr>
        <w:t>billion in principal amount of outstanding borrowings under the Inmarsat Term Loan Facility, the Inmarsat Revolving Credit Facility was undrawn and there were no amounts outstanding under standby letters of credit, leaving borrowing availability under the Inmarsat Revolving Credit Facility of $550.0</w:t>
      </w:r>
      <w:r>
        <w:rPr>
          <w:rFonts w:ascii="Times New Roman" w:hAnsi="Times New Roman"/>
          <w:color w:val="000000"/>
          <w:sz w:val="20"/>
        </w:rPr>
        <w:t xml:space="preserve"> </w:t>
      </w:r>
      <w:r>
        <w:rPr>
          <w:rFonts w:ascii="Arial" w:hAnsi="Arial"/>
          <w:color w:val="000000"/>
          <w:sz w:val="20"/>
        </w:rPr>
        <w:t>million.</w:t>
      </w:r>
    </w:p>
    <w:p>
      <w:pPr>
        <w:pStyle w:val="TextBody"/>
        <w:bidi w:val="0"/>
        <w:spacing w:before="180" w:after="283"/>
        <w:jc w:val="left"/>
        <w:rPr>
          <w:rFonts w:ascii="Times New Roman" w:hAnsi="Times New Roman"/>
          <w:sz w:val="20"/>
        </w:rPr>
      </w:pPr>
      <w:r>
        <w:rPr>
          <w:rFonts w:ascii="Arial" w:hAnsi="Arial"/>
          <w:color w:val="000000"/>
          <w:sz w:val="20"/>
        </w:rPr>
        <w:t>Borrowings under the Inmarsat Term Loan Facility are required to be repaid in quarterly installments of $3.25</w:t>
      </w:r>
      <w:r>
        <w:rPr>
          <w:rFonts w:ascii="Times New Roman" w:hAnsi="Times New Roman"/>
          <w:color w:val="000000"/>
          <w:sz w:val="20"/>
        </w:rPr>
        <w:t xml:space="preserve"> </w:t>
      </w:r>
      <w:r>
        <w:rPr>
          <w:rFonts w:ascii="Arial" w:hAnsi="Arial"/>
          <w:color w:val="000000"/>
          <w:sz w:val="20"/>
        </w:rPr>
        <w:t>million each, which commenced in June 2024, followed by a final installment of $1.23</w:t>
      </w:r>
      <w:r>
        <w:rPr>
          <w:rFonts w:ascii="Times New Roman" w:hAnsi="Times New Roman"/>
          <w:color w:val="000000"/>
          <w:sz w:val="20"/>
        </w:rPr>
        <w:t xml:space="preserve"> </w:t>
      </w:r>
      <w:r>
        <w:rPr>
          <w:rFonts w:ascii="Arial" w:hAnsi="Arial"/>
          <w:color w:val="000000"/>
          <w:sz w:val="20"/>
        </w:rPr>
        <w:t>billion at maturity.</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Borrowings under the Inmarsat Secured Credit Facilities: (1) in the case of borrowings denominated in U.S. Dollars, bear interest, at Inmarsat's option, at either (i) the highest of (x) the federal funds rate plus 0.50%, (y) the forward-looking one-month term SOFR rate plus 1.00% or (z) the administrative agent's prime rate as announced from time to time, or (ii) the forward-looking term SOFR rate for the applicable interest period (subject to, in the case of the Inmarsat Term Loan Facility, a floor of 0.50% per annum and, in the case of the Inmarsat Revolving Credit Facility, a floor of 0.00% per annum), and (2) in the case of borrowings denominated in available currencies other than U.S. Dollars, bear interest based upon the applicable benchmark for such currencies (as described in the Inmarsat Secured Credit Facilities) plus, in all cases, an applicable margin. The applicable margin for the Inmarsat Term Loan Facility is 3.50% per annum for base rate loans and 4.50% per annum for SOFR loans. The applicable margin for borrowings under the Inmarsat Revolving Credit Facility is based on Inmarsat’s total net leverage ratio and ranges between 1.50% and 2.25% per annum for base rate loans and 2.50% and 3.25% per annum for SOFR loans. As of June 30, 2026, the effective interest rate on the Company's outstanding borrowings under the Inmarsat Term Loan Facility was 9.38%. The Inmarsat Secured Credit Facilities are required to be guaranteed by certain material Inmarsat subsidiaries and secured by substantially all of the assets of the Inmarsat borrowers and subsidiary guarantors.</w:t>
      </w:r>
    </w:p>
    <w:p>
      <w:pPr>
        <w:pStyle w:val="TextBody"/>
        <w:bidi w:val="0"/>
        <w:spacing w:before="180" w:after="283"/>
        <w:jc w:val="left"/>
        <w:rPr>
          <w:rFonts w:ascii="Arial" w:hAnsi="Arial"/>
          <w:color w:val="000000"/>
          <w:sz w:val="20"/>
        </w:rPr>
      </w:pPr>
      <w:r>
        <w:rPr>
          <w:rFonts w:ascii="Arial" w:hAnsi="Arial"/>
          <w:color w:val="000000"/>
          <w:sz w:val="20"/>
        </w:rPr>
        <w:t>The Inmarsat Secured Credit Facilities contain covenants that restrict, among other things, Inmarsat’s ability to incur additional debt, grant liens, sell assets, make investments and acquisitions, pay dividends and make certain other restricted payments. In addition, covenants regarding Inmarsat’s total net leverage ratio and interest coverage ratio apply to the Inmarsat Revolving Credit Facility. The borrowers under the Inmarsat Secured Credit Facilities were in compliance with the covenants under the Inmarsat Secured Credit Facilities as of June 30, 2026.</w:t>
      </w:r>
    </w:p>
    <w:p>
      <w:pPr>
        <w:pStyle w:val="TextBody"/>
        <w:bidi w:val="0"/>
        <w:spacing w:before="180" w:after="283"/>
        <w:jc w:val="left"/>
        <w:rPr>
          <w:rFonts w:ascii="Arial" w:hAnsi="Arial"/>
          <w:color w:val="000000"/>
          <w:sz w:val="20"/>
        </w:rPr>
      </w:pPr>
      <w:r>
        <w:rPr>
          <w:rFonts w:ascii="Arial" w:hAnsi="Arial"/>
          <w:color w:val="000000"/>
          <w:sz w:val="20"/>
        </w:rPr>
        <w:t>Borrowings under the Inmarsat Term Loan Facility are recorded as current portion of long-term debt and as other long-term debt, net of unamortized discount, unamortized fair value adjustment made in purchase accounting and debt issuance costs, in the Company’s condensed consolidated financial statements. The Inmarsat Term Loan Facility was issued with an original issue discount of 2.00%.</w:t>
      </w:r>
    </w:p>
    <w:p>
      <w:pPr>
        <w:pStyle w:val="TextBody"/>
        <w:bidi w:val="0"/>
        <w:spacing w:before="280" w:after="283"/>
        <w:jc w:val="left"/>
        <w:rPr>
          <w:rFonts w:ascii="Times New Roman" w:hAnsi="Times New Roman"/>
          <w:sz w:val="20"/>
        </w:rPr>
      </w:pPr>
      <w:r>
        <w:rPr>
          <w:rFonts w:ascii="Arial" w:hAnsi="Arial"/>
          <w:b/>
          <w:i/>
          <w:color w:val="000000"/>
          <w:sz w:val="20"/>
        </w:rPr>
        <w:t>Ex-Im Credit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Ex-Im Credit Facility provided a $188.7</w:t>
      </w:r>
      <w:r>
        <w:rPr>
          <w:rFonts w:ascii="Times New Roman" w:hAnsi="Times New Roman"/>
          <w:color w:val="000000"/>
          <w:sz w:val="20"/>
        </w:rPr>
        <w:t xml:space="preserve"> </w:t>
      </w:r>
      <w:r>
        <w:rPr>
          <w:rFonts w:ascii="Arial" w:hAnsi="Arial"/>
          <w:color w:val="000000"/>
          <w:sz w:val="20"/>
        </w:rPr>
        <w:t>million senior secured direct loan facility, which was fully drawn. Of the $188.7</w:t>
      </w:r>
      <w:r>
        <w:rPr>
          <w:rFonts w:ascii="Times New Roman" w:hAnsi="Times New Roman"/>
          <w:color w:val="000000"/>
          <w:sz w:val="20"/>
        </w:rPr>
        <w:t xml:space="preserve"> </w:t>
      </w:r>
      <w:r>
        <w:rPr>
          <w:rFonts w:ascii="Arial" w:hAnsi="Arial"/>
          <w:color w:val="000000"/>
          <w:sz w:val="20"/>
        </w:rPr>
        <w:t>million in principal amount of borrowings made under the Ex-Im Credit Facility, $175.8</w:t>
      </w:r>
      <w:r>
        <w:rPr>
          <w:rFonts w:ascii="Times New Roman" w:hAnsi="Times New Roman"/>
          <w:color w:val="000000"/>
          <w:sz w:val="20"/>
        </w:rPr>
        <w:t xml:space="preserve"> </w:t>
      </w:r>
      <w:r>
        <w:rPr>
          <w:rFonts w:ascii="Arial" w:hAnsi="Arial"/>
          <w:color w:val="000000"/>
          <w:sz w:val="20"/>
        </w:rPr>
        <w:t>million was used to finance up to 85% of the costs of launch and insurance of the ViaSat-3 F1 satellite and related goods and services, with the remainder used to finance the total exposure fees incurred under the Ex-Im Credit Facility of $12.9</w:t>
      </w:r>
      <w:r>
        <w:rPr>
          <w:rFonts w:ascii="Times New Roman" w:hAnsi="Times New Roman"/>
          <w:color w:val="000000"/>
          <w:sz w:val="20"/>
        </w:rPr>
        <w:t xml:space="preserve"> </w:t>
      </w:r>
      <w:r>
        <w:rPr>
          <w:rFonts w:ascii="Arial" w:hAnsi="Arial"/>
          <w:color w:val="000000"/>
          <w:sz w:val="20"/>
        </w:rPr>
        <w:t>million. As of June 30, 2026, the Company had $176.9</w:t>
      </w:r>
      <w:r>
        <w:rPr>
          <w:rFonts w:ascii="Times New Roman" w:hAnsi="Times New Roman"/>
          <w:color w:val="000000"/>
          <w:sz w:val="20"/>
        </w:rPr>
        <w:t xml:space="preserve"> </w:t>
      </w:r>
      <w:r>
        <w:rPr>
          <w:rFonts w:ascii="Arial" w:hAnsi="Arial"/>
          <w:color w:val="000000"/>
          <w:sz w:val="20"/>
        </w:rPr>
        <w:t>million in principal amount of outstanding borrowings under the Ex-Im Credit Facility.</w:t>
      </w:r>
    </w:p>
    <w:p>
      <w:pPr>
        <w:pStyle w:val="TextBody"/>
        <w:bidi w:val="0"/>
        <w:spacing w:before="80" w:after="283"/>
        <w:jc w:val="left"/>
        <w:rPr>
          <w:rFonts w:ascii="Times New Roman" w:hAnsi="Times New Roman"/>
          <w:sz w:val="20"/>
        </w:rPr>
      </w:pPr>
      <w:r>
        <w:rPr>
          <w:rFonts w:ascii="Arial" w:hAnsi="Arial"/>
          <w:color w:val="000000"/>
          <w:sz w:val="20"/>
        </w:rPr>
        <w:t>Borrowings under the Ex-Im Credit Facility bear interest at a fixed rate equal to 4.78% per annum, payable semi-annually in arrears. The effective interest rate on the Company’s outstanding borrowings under the Ex-Im Credit Facility, which takes into account exposure fees and debt issuance costs, is 7.52%. Borrowings under the Ex-Im Credit Facility are required to be repaid in 16</w:t>
      </w:r>
      <w:r>
        <w:rPr>
          <w:rFonts w:ascii="Times New Roman" w:hAnsi="Times New Roman"/>
          <w:color w:val="000000"/>
          <w:sz w:val="20"/>
        </w:rPr>
        <w:t xml:space="preserve"> </w:t>
      </w:r>
      <w:r>
        <w:rPr>
          <w:rFonts w:ascii="Arial" w:hAnsi="Arial"/>
          <w:color w:val="000000"/>
          <w:sz w:val="20"/>
        </w:rPr>
        <w:t>semi-annual principal installments, which commenced in May 2026, with a maturity date of November 25, 2033. The Ex-Im Credit Facility is guaranteed by Viasat and is secured by first-priority liens on the ViaSat-2 satellite and related assets, as well as a pledge of the capital stock of the borrower under the facility.</w:t>
      </w:r>
    </w:p>
    <w:p>
      <w:pPr>
        <w:pStyle w:val="TextBody"/>
        <w:bidi w:val="0"/>
        <w:spacing w:before="80" w:after="283"/>
        <w:jc w:val="left"/>
        <w:rPr>
          <w:rFonts w:ascii="Times New Roman" w:hAnsi="Times New Roman"/>
          <w:sz w:val="20"/>
        </w:rPr>
      </w:pPr>
      <w:r>
        <w:rPr>
          <w:rFonts w:ascii="Arial" w:hAnsi="Arial"/>
          <w:color w:val="000000"/>
          <w:sz w:val="20"/>
        </w:rPr>
        <w:t>The Ex-Im Credit Facility contains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w:t>
      </w:r>
      <w:r>
        <w:rPr>
          <w:rFonts w:ascii="Times New Roman" w:hAnsi="Times New Roman"/>
          <w:color w:val="000000"/>
          <w:sz w:val="20"/>
        </w:rPr>
        <w:t xml:space="preserve"> </w:t>
      </w:r>
      <w:r>
        <w:rPr>
          <w:rFonts w:ascii="Arial" w:hAnsi="Arial"/>
          <w:color w:val="000000"/>
          <w:sz w:val="20"/>
        </w:rPr>
        <w:t>The Company was in compliance with its covenants under the Ex-Im Credit Facility as of June 30, 2026.</w:t>
      </w:r>
    </w:p>
    <w:p>
      <w:pPr>
        <w:pStyle w:val="TextBody"/>
        <w:bidi w:val="0"/>
        <w:spacing w:before="80" w:after="283"/>
        <w:jc w:val="left"/>
        <w:rPr>
          <w:rFonts w:ascii="Times New Roman" w:hAnsi="Times New Roman"/>
          <w:sz w:val="20"/>
        </w:rPr>
      </w:pPr>
      <w:r>
        <w:rPr>
          <w:rFonts w:ascii="Arial" w:hAnsi="Arial"/>
          <w:color w:val="000000"/>
          <w:sz w:val="20"/>
        </w:rPr>
        <w:t>Borrowings under the Ex-Im Credit Facility are recorded as current portion of long-term debt and as other long-term debt, net of unamortized discount and debt issuance costs, in the Company’s condensed consolidated financial statements. The discount of $12.9</w:t>
      </w:r>
      <w:r>
        <w:rPr>
          <w:rFonts w:ascii="Times New Roman" w:hAnsi="Times New Roman"/>
          <w:color w:val="000000"/>
          <w:sz w:val="20"/>
        </w:rPr>
        <w:t xml:space="preserve"> </w:t>
      </w:r>
      <w:r>
        <w:rPr>
          <w:rFonts w:ascii="Arial" w:hAnsi="Arial"/>
          <w:color w:val="000000"/>
          <w:sz w:val="20"/>
        </w:rPr>
        <w:t>million (comprised of the exposure fees) and deferred financing cost associated with the issuance of the borrowings under the Ex-Im Credit Facility are amortized to interest expense on a straight-line basis over the term of the Ex-Im Credit Facility, the results of which are not materially different from the effective interest rate basis.</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Viasat Revolving Credit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As of June 30, 2026, Viasat's revolving credit facility (the Viasat Revolving Credit Facility) provided a $647.5</w:t>
      </w:r>
      <w:r>
        <w:rPr>
          <w:rFonts w:ascii="Times New Roman" w:hAnsi="Times New Roman"/>
          <w:color w:val="000000"/>
          <w:sz w:val="20"/>
        </w:rPr>
        <w:t xml:space="preserve"> </w:t>
      </w:r>
      <w:r>
        <w:rPr>
          <w:rFonts w:ascii="Arial" w:hAnsi="Arial"/>
          <w:color w:val="000000"/>
          <w:sz w:val="20"/>
        </w:rPr>
        <w:t>million revolving line of credit (including up to $150.0</w:t>
      </w:r>
      <w:r>
        <w:rPr>
          <w:rFonts w:ascii="Times New Roman" w:hAnsi="Times New Roman"/>
          <w:color w:val="000000"/>
          <w:sz w:val="20"/>
        </w:rPr>
        <w:t xml:space="preserve"> </w:t>
      </w:r>
      <w:r>
        <w:rPr>
          <w:rFonts w:ascii="Arial" w:hAnsi="Arial"/>
          <w:color w:val="000000"/>
          <w:sz w:val="20"/>
        </w:rPr>
        <w:t>million of letters of credit), with a maturity date of the earliest of (A) August 24, 2028</w:t>
      </w:r>
      <w:r>
        <w:rPr>
          <w:rFonts w:ascii="Times New Roman" w:hAnsi="Times New Roman"/>
          <w:color w:val="000000"/>
          <w:sz w:val="20"/>
        </w:rPr>
        <w:t xml:space="preserve"> </w:t>
      </w:r>
      <w:r>
        <w:rPr>
          <w:rFonts w:ascii="Arial" w:hAnsi="Arial"/>
          <w:color w:val="000000"/>
          <w:sz w:val="20"/>
        </w:rPr>
        <w:t>and (B) the springing maturity date (as defined in the Viasat Revolving Credit Agreement, which is effectively 91 days prior to the maturity date of certain material debt for borrowed money of Viasat and its subsidiaries to the extent certain conditions have not been satisfied as of such date). At June 30, 2026, the Viasat Revolving Credit Facility was undrawn and there was $47.2</w:t>
      </w:r>
      <w:r>
        <w:rPr>
          <w:rFonts w:ascii="Times New Roman" w:hAnsi="Times New Roman"/>
          <w:color w:val="000000"/>
          <w:sz w:val="20"/>
        </w:rPr>
        <w:t xml:space="preserve"> </w:t>
      </w:r>
      <w:r>
        <w:rPr>
          <w:rFonts w:ascii="Arial" w:hAnsi="Arial"/>
          <w:color w:val="000000"/>
          <w:sz w:val="20"/>
        </w:rPr>
        <w:t>million outstanding under standby letters of credit, leaving borrowing availability under the Viasat Revolving Credit Facility of $600.3</w:t>
      </w:r>
      <w:r>
        <w:rPr>
          <w:rFonts w:ascii="Times New Roman" w:hAnsi="Times New Roman"/>
          <w:color w:val="000000"/>
          <w:sz w:val="20"/>
        </w:rPr>
        <w:t xml:space="preserve"> </w:t>
      </w:r>
      <w:r>
        <w:rPr>
          <w:rFonts w:ascii="Arial" w:hAnsi="Arial"/>
          <w:color w:val="000000"/>
          <w:sz w:val="20"/>
        </w:rPr>
        <w:t>million.</w:t>
      </w:r>
    </w:p>
    <w:p>
      <w:pPr>
        <w:pStyle w:val="TextBody"/>
        <w:bidi w:val="0"/>
        <w:spacing w:before="180" w:after="283"/>
        <w:jc w:val="left"/>
        <w:rPr>
          <w:rFonts w:ascii="Times New Roman" w:hAnsi="Times New Roman"/>
          <w:sz w:val="20"/>
        </w:rPr>
      </w:pPr>
      <w:r>
        <w:rPr>
          <w:rFonts w:ascii="Arial" w:hAnsi="Arial"/>
          <w:color w:val="000000"/>
          <w:sz w:val="20"/>
        </w:rPr>
        <w:t>Borrowings under the Viasat Revolving Credit Facility bear interest, at the Company’s option, at either (1) the highest of the federal funds rate plus 0.50%, forward-looking term SOFR (as defined in the definitive credit agreement governing the Viasat Revolving Credit Facility) for an interest period of one month plus 1.00%, or the administrative agent’s prime rate as announced from time to time, or (2) forward-looking term SOFR (not to be less than 0.00% per annum), plus, in the case of each of (1) and (2), an applicable margin that is based on the Company’s total leverage ratio.</w:t>
      </w:r>
      <w:r>
        <w:rPr>
          <w:rFonts w:ascii="Times New Roman" w:hAnsi="Times New Roman"/>
          <w:color w:val="000000"/>
          <w:sz w:val="20"/>
        </w:rPr>
        <w:t xml:space="preserve"> </w:t>
      </w:r>
      <w:r>
        <w:rPr>
          <w:rFonts w:ascii="Arial" w:hAnsi="Arial"/>
          <w:color w:val="000000"/>
          <w:sz w:val="20"/>
        </w:rPr>
        <w:t>The Company has capitalized certain amounts of interest expense on the Viasat Revolving Credit Facility in connection with the construction of various assets during the construction period. The Viasat Revolving Credit Facility is required to be guaranteed by certain significant domestic subsidiaries of the Company (as defined in the Viasat Revolving Credit Facility) and secured by substantially all of the Company’s and any such subsidiaries’ assets. As of June 30, 2026, none of the Company’s subsidiaries guaranteed the Viasat Revolving Credit Facility.</w:t>
      </w:r>
    </w:p>
    <w:p>
      <w:pPr>
        <w:pStyle w:val="TextBody"/>
        <w:bidi w:val="0"/>
        <w:spacing w:before="180" w:after="283"/>
        <w:jc w:val="left"/>
        <w:rPr>
          <w:rFonts w:ascii="Arial" w:hAnsi="Arial"/>
          <w:color w:val="000000"/>
          <w:sz w:val="20"/>
        </w:rPr>
      </w:pPr>
      <w:r>
        <w:rPr>
          <w:rFonts w:ascii="Arial" w:hAnsi="Arial"/>
          <w:color w:val="000000"/>
          <w:sz w:val="20"/>
        </w:rPr>
        <w:t>The Viasat Revolving Credit Facility contains covenants regarding a maximum total leverage ratio and a minimum interest coverage ratio. In addition, the Viasat Revolving Credit Facility contains covenants that restrict, among other things, the Company’s ability to incur additional debt, grant liens, sell assets, make investments and acquisitions, make capital expenditures, pay dividends and make certain other restricted payments. The Company was in compliance with its covenants under the Viasat Revolving Credit Facility as of June 30, 2026.</w:t>
      </w:r>
    </w:p>
    <w:p>
      <w:pPr>
        <w:pStyle w:val="TextBody"/>
        <w:bidi w:val="0"/>
        <w:spacing w:before="280" w:after="283"/>
        <w:jc w:val="left"/>
        <w:rPr>
          <w:rFonts w:ascii="Times New Roman" w:hAnsi="Times New Roman"/>
          <w:sz w:val="20"/>
        </w:rPr>
      </w:pPr>
      <w:r>
        <w:rPr>
          <w:rFonts w:ascii="Arial" w:hAnsi="Arial"/>
          <w:b/>
          <w:i/>
          <w:color w:val="000000"/>
          <w:sz w:val="20"/>
        </w:rPr>
        <w:t>Senior Notes</w:t>
      </w:r>
      <w:r>
        <w:rPr>
          <w:rFonts w:ascii="Times New Roman" w:hAnsi="Times New Roman"/>
          <w:color w:val="000000"/>
          <w:sz w:val="20"/>
        </w:rPr>
        <w:t xml:space="preserve"> </w:t>
      </w:r>
    </w:p>
    <w:p>
      <w:pPr>
        <w:pStyle w:val="TextBody"/>
        <w:bidi w:val="0"/>
        <w:spacing w:before="90" w:after="283"/>
        <w:jc w:val="left"/>
        <w:rPr>
          <w:rFonts w:ascii="Arial" w:hAnsi="Arial"/>
          <w:i/>
          <w:color w:val="000000"/>
          <w:sz w:val="20"/>
        </w:rPr>
      </w:pPr>
      <w:r>
        <w:rPr>
          <w:rFonts w:ascii="Arial" w:hAnsi="Arial"/>
          <w:i/>
          <w:color w:val="000000"/>
          <w:sz w:val="20"/>
        </w:rPr>
        <w:t>Senior Notes due 2025; Discharge of Indenture and Gain (Loss) on Extinguishment of Debt</w:t>
      </w:r>
    </w:p>
    <w:p>
      <w:pPr>
        <w:pStyle w:val="TextBody"/>
        <w:bidi w:val="0"/>
        <w:spacing w:before="80" w:after="283"/>
        <w:jc w:val="left"/>
        <w:rPr>
          <w:rFonts w:ascii="Times New Roman" w:hAnsi="Times New Roman"/>
          <w:sz w:val="20"/>
        </w:rPr>
      </w:pPr>
      <w:r>
        <w:rPr>
          <w:rFonts w:ascii="Arial" w:hAnsi="Arial"/>
          <w:color w:val="000000"/>
          <w:sz w:val="20"/>
        </w:rPr>
        <w:t>In September 2017, the Company issued $700.0</w:t>
      </w:r>
      <w:r>
        <w:rPr>
          <w:rFonts w:ascii="Times New Roman" w:hAnsi="Times New Roman"/>
          <w:color w:val="000000"/>
          <w:sz w:val="20"/>
        </w:rPr>
        <w:t xml:space="preserve"> </w:t>
      </w:r>
      <w:r>
        <w:rPr>
          <w:rFonts w:ascii="Arial" w:hAnsi="Arial"/>
          <w:color w:val="000000"/>
          <w:sz w:val="20"/>
        </w:rPr>
        <w:t>million in principal amount of Viasat's 5.625% Senior Notes due 2025 (2025</w:t>
      </w:r>
      <w:r>
        <w:rPr>
          <w:rFonts w:ascii="Times New Roman" w:hAnsi="Times New Roman"/>
          <w:color w:val="000000"/>
          <w:sz w:val="20"/>
        </w:rPr>
        <w:t xml:space="preserve"> </w:t>
      </w:r>
      <w:r>
        <w:rPr>
          <w:rFonts w:ascii="Arial" w:hAnsi="Arial"/>
          <w:color w:val="000000"/>
          <w:sz w:val="20"/>
        </w:rPr>
        <w:t>Notes) in a private placement to institutional buyers. During fiscal year 2025, the Company repurchased $257.5</w:t>
      </w:r>
      <w:r>
        <w:rPr>
          <w:rFonts w:ascii="Times New Roman" w:hAnsi="Times New Roman"/>
          <w:color w:val="000000"/>
          <w:sz w:val="20"/>
        </w:rPr>
        <w:t xml:space="preserve"> </w:t>
      </w:r>
      <w:r>
        <w:rPr>
          <w:rFonts w:ascii="Arial" w:hAnsi="Arial"/>
          <w:color w:val="000000"/>
          <w:sz w:val="20"/>
        </w:rPr>
        <w:t>million in aggregate principal amount of 2025 Notes in open market transactions, and during the first quarter of fiscal year 2026, the Company redeemed all of the remaining $442.6</w:t>
      </w:r>
      <w:r>
        <w:rPr>
          <w:rFonts w:ascii="Times New Roman" w:hAnsi="Times New Roman"/>
          <w:color w:val="000000"/>
          <w:sz w:val="20"/>
        </w:rPr>
        <w:t xml:space="preserve"> </w:t>
      </w:r>
      <w:r>
        <w:rPr>
          <w:rFonts w:ascii="Arial" w:hAnsi="Arial"/>
          <w:color w:val="000000"/>
          <w:sz w:val="20"/>
        </w:rPr>
        <w:t>million in principal amount of 2025 Notes at a redemption price of 100% of the principal amount so redeemed plus accrued and unpaid interest thereon to the redemption date, and the indenture governing the 2025 Notes was satisfied and discharged in accordance with its terms. As a result, the Company recorded an insignificant amount of loss in loss (gain) on extinguishment of debt, net in the condensed consolidated statement of operations and comprehensive income (loss) during the three months ended June 30, 2025.</w:t>
      </w:r>
    </w:p>
    <w:p>
      <w:pPr>
        <w:pStyle w:val="TextBody"/>
        <w:bidi w:val="0"/>
        <w:spacing w:before="270" w:after="283"/>
        <w:jc w:val="left"/>
        <w:rPr>
          <w:rFonts w:ascii="Arial" w:hAnsi="Arial"/>
          <w:i/>
          <w:color w:val="000000"/>
          <w:sz w:val="20"/>
        </w:rPr>
      </w:pPr>
      <w:r>
        <w:rPr>
          <w:rFonts w:ascii="Arial" w:hAnsi="Arial"/>
          <w:i/>
          <w:color w:val="000000"/>
          <w:sz w:val="20"/>
        </w:rPr>
        <w:t>Senior Secured Notes due 2027</w:t>
      </w:r>
    </w:p>
    <w:p>
      <w:pPr>
        <w:pStyle w:val="TextBody"/>
        <w:bidi w:val="0"/>
        <w:spacing w:before="90" w:after="283"/>
        <w:jc w:val="left"/>
        <w:rPr>
          <w:rFonts w:ascii="Times New Roman" w:hAnsi="Times New Roman"/>
          <w:sz w:val="20"/>
        </w:rPr>
      </w:pPr>
      <w:r>
        <w:rPr>
          <w:rFonts w:ascii="Arial" w:hAnsi="Arial"/>
          <w:color w:val="000000"/>
          <w:sz w:val="20"/>
        </w:rPr>
        <w:t>In March 2019, the Company issued $600.0</w:t>
      </w:r>
      <w:r>
        <w:rPr>
          <w:rFonts w:ascii="Times New Roman" w:hAnsi="Times New Roman"/>
          <w:color w:val="000000"/>
          <w:sz w:val="20"/>
        </w:rPr>
        <w:t xml:space="preserve"> </w:t>
      </w:r>
      <w:r>
        <w:rPr>
          <w:rFonts w:ascii="Arial" w:hAnsi="Arial"/>
          <w:color w:val="000000"/>
          <w:sz w:val="20"/>
        </w:rPr>
        <w:t>million in principal amount of 2027</w:t>
      </w:r>
      <w:r>
        <w:rPr>
          <w:rFonts w:ascii="Times New Roman" w:hAnsi="Times New Roman"/>
          <w:color w:val="000000"/>
          <w:sz w:val="20"/>
        </w:rPr>
        <w:t xml:space="preserve"> </w:t>
      </w:r>
      <w:r>
        <w:rPr>
          <w:rFonts w:ascii="Arial" w:hAnsi="Arial"/>
          <w:color w:val="000000"/>
          <w:sz w:val="20"/>
        </w:rPr>
        <w:t>Notes in a private placement to institutional buyers. The 2027 Notes were issued at face value and are recorded as current portion of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2027 Notes are required to be guaranteed on a senior secured basis by each of the Company’s existing and future subsidiaries that guarantees the Viasat Revolving Credit Facility. As of June 30, 2026, none of the Company’s subsidiaries guaranteed the 2027 Notes. The 2027 Notes are secured, equally and ratably with the 2022 Term Loan Facility, the 2023 Term Loan Facility, the Viasat Revolving Credit Facility and any future parity lien debt, by liens on substantially all of the Company’s and such subsidiaries' assets.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2028 Notes and the 2031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(such as the Inmarsat 2029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pStyle w:val="TextBody"/>
        <w:bidi w:val="0"/>
        <w:spacing w:before="180" w:after="283"/>
        <w:jc w:val="left"/>
        <w:rPr>
          <w:rFonts w:ascii="Times New Roman" w:hAnsi="Times New Roman"/>
          <w:sz w:val="20"/>
        </w:rPr>
      </w:pPr>
      <w:r>
        <w:rPr>
          <w:rFonts w:ascii="Arial" w:hAnsi="Arial"/>
          <w:color w:val="000000"/>
          <w:sz w:val="20"/>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2027 Notes may be redeemed, in whole or in part, at any time at a redemption price of 100% plus accrued and unpaid interest, if any, thereon to the redemption date.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r>
        <w:rPr>
          <w:rFonts w:ascii="Times New Roman" w:hAnsi="Times New Roman"/>
          <w:color w:val="000000"/>
          <w:sz w:val="20"/>
        </w:rPr>
        <w:t xml:space="preserve"> </w:t>
      </w:r>
    </w:p>
    <w:p>
      <w:pPr>
        <w:pStyle w:val="TextBody"/>
        <w:bidi w:val="0"/>
        <w:spacing w:before="270" w:after="283"/>
        <w:jc w:val="left"/>
        <w:rPr>
          <w:rFonts w:ascii="Arial" w:hAnsi="Arial"/>
          <w:i/>
          <w:color w:val="000000"/>
          <w:sz w:val="20"/>
        </w:rPr>
      </w:pPr>
      <w:r>
        <w:rPr>
          <w:rFonts w:ascii="Arial" w:hAnsi="Arial"/>
          <w:i/>
          <w:color w:val="000000"/>
          <w:sz w:val="20"/>
        </w:rPr>
        <w:t>Senior Notes due 2028</w:t>
      </w:r>
    </w:p>
    <w:p>
      <w:pPr>
        <w:pStyle w:val="TextBody"/>
        <w:bidi w:val="0"/>
        <w:spacing w:before="90" w:after="283"/>
        <w:jc w:val="left"/>
        <w:rPr>
          <w:rFonts w:ascii="Times New Roman" w:hAnsi="Times New Roman"/>
          <w:sz w:val="20"/>
        </w:rPr>
      </w:pPr>
      <w:r>
        <w:rPr>
          <w:rFonts w:ascii="Arial" w:hAnsi="Arial"/>
          <w:color w:val="000000"/>
          <w:sz w:val="20"/>
        </w:rPr>
        <w:t>In June 2020, the Company issued $400.0</w:t>
      </w:r>
      <w:r>
        <w:rPr>
          <w:rFonts w:ascii="Times New Roman" w:hAnsi="Times New Roman"/>
          <w:color w:val="000000"/>
          <w:sz w:val="20"/>
        </w:rPr>
        <w:t xml:space="preserve"> </w:t>
      </w:r>
      <w:r>
        <w:rPr>
          <w:rFonts w:ascii="Arial" w:hAnsi="Arial"/>
          <w:color w:val="000000"/>
          <w:sz w:val="20"/>
        </w:rPr>
        <w:t>million in principal amount of 2028</w:t>
      </w:r>
      <w:r>
        <w:rPr>
          <w:rFonts w:ascii="Times New Roman" w:hAnsi="Times New Roman"/>
          <w:color w:val="000000"/>
          <w:sz w:val="20"/>
        </w:rPr>
        <w:t xml:space="preserve"> </w:t>
      </w:r>
      <w:r>
        <w:rPr>
          <w:rFonts w:ascii="Arial" w:hAnsi="Arial"/>
          <w:color w:val="000000"/>
          <w:sz w:val="20"/>
        </w:rPr>
        <w:t>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2028 Notes are required to be guaranteed on an unsecured senior basis by each of the Company’s existing and future subsidiaries that guarantees the Viasat Revolving Credit Facility. As of June 30, 2026,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pStyle w:val="TextBody"/>
        <w:bidi w:val="0"/>
        <w:spacing w:before="180" w:after="283"/>
        <w:jc w:val="left"/>
        <w:rPr>
          <w:rFonts w:ascii="Arial" w:hAnsi="Arial"/>
          <w:color w:val="000000"/>
          <w:sz w:val="20"/>
        </w:rPr>
      </w:pPr>
      <w:r>
        <w:rPr>
          <w:rFonts w:ascii="Arial" w:hAnsi="Arial"/>
          <w:color w:val="000000"/>
          <w:sz w:val="20"/>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Arial" w:hAnsi="Arial"/>
          <w:color w:val="000000"/>
          <w:sz w:val="20"/>
        </w:rPr>
      </w:pPr>
      <w:r>
        <w:rPr>
          <w:rFonts w:ascii="Arial" w:hAnsi="Arial"/>
          <w:color w:val="000000"/>
          <w:sz w:val="20"/>
        </w:rPr>
        <w:t>The 2028 Notes may be redeemed, in whole or in part, at any time at a redemption price of 100% plus accrued and unpaid interest, if any, thereon to the redemption date.</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70" w:after="283"/>
        <w:jc w:val="left"/>
        <w:rPr>
          <w:rFonts w:ascii="Arial" w:hAnsi="Arial"/>
          <w:i/>
          <w:color w:val="000000"/>
          <w:sz w:val="20"/>
        </w:rPr>
      </w:pPr>
      <w:r>
        <w:rPr>
          <w:rFonts w:ascii="Arial" w:hAnsi="Arial"/>
          <w:i/>
          <w:color w:val="000000"/>
          <w:sz w:val="20"/>
        </w:rPr>
        <w:t>Inmarsat Senior Secured Notes due 2029</w:t>
      </w:r>
    </w:p>
    <w:p>
      <w:pPr>
        <w:pStyle w:val="TextBody"/>
        <w:bidi w:val="0"/>
        <w:spacing w:before="80" w:after="283"/>
        <w:jc w:val="left"/>
        <w:rPr>
          <w:rFonts w:ascii="Times New Roman" w:hAnsi="Times New Roman"/>
          <w:sz w:val="20"/>
        </w:rPr>
      </w:pPr>
      <w:r>
        <w:rPr>
          <w:rFonts w:ascii="Arial" w:hAnsi="Arial"/>
          <w:color w:val="000000"/>
          <w:sz w:val="20"/>
        </w:rPr>
        <w:t>In September 2024, certain subsidiaries of Inmarsat Holdings issued $1.975</w:t>
      </w:r>
      <w:r>
        <w:rPr>
          <w:rFonts w:ascii="Times New Roman" w:hAnsi="Times New Roman"/>
          <w:color w:val="000000"/>
          <w:sz w:val="20"/>
        </w:rPr>
        <w:t xml:space="preserve"> </w:t>
      </w:r>
      <w:r>
        <w:rPr>
          <w:rFonts w:ascii="Arial" w:hAnsi="Arial"/>
          <w:color w:val="000000"/>
          <w:sz w:val="20"/>
        </w:rPr>
        <w:t>billion in principal amount of Inmarsat 2029</w:t>
      </w:r>
      <w:r>
        <w:rPr>
          <w:rFonts w:ascii="Times New Roman" w:hAnsi="Times New Roman"/>
          <w:color w:val="000000"/>
          <w:sz w:val="20"/>
        </w:rPr>
        <w:t xml:space="preserve"> </w:t>
      </w:r>
      <w:r>
        <w:rPr>
          <w:rFonts w:ascii="Arial" w:hAnsi="Arial"/>
          <w:color w:val="000000"/>
          <w:sz w:val="20"/>
        </w:rPr>
        <w:t>Notes in a private placement to institutional buyers. The Inmarsat 2029 Notes were issued at face value and are recorded as long-term debt, net of debt issuance costs, in the Company’s condensed consolidated financial statements. The Inmarsat 2029 Notes bear interest at the rate of 9.000% per year, payable semi-annually in cash in arrears, which interest payments commenced in March 2025. Debt issuance costs associated with the issuance of the Inmarsat 2029 Notes are amortized to interest expense on a straight-line basis over the term of the Inmarsat 2029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Inmarsat 2029 Notes are secured by pari passu first priority liens on the collateral securing the Inmarsat Secured Credit Facilities, and are required to be guaranteed on a senior secured basis by the subsidiaries of Inmarsat Holdings guaranteeing the Inmarsat Secured Credit Facilities.</w:t>
      </w:r>
    </w:p>
    <w:p>
      <w:pPr>
        <w:pStyle w:val="TextBody"/>
        <w:bidi w:val="0"/>
        <w:spacing w:before="180" w:after="283"/>
        <w:jc w:val="left"/>
        <w:rPr>
          <w:rFonts w:ascii="Arial" w:hAnsi="Arial"/>
          <w:color w:val="000000"/>
          <w:sz w:val="20"/>
        </w:rPr>
      </w:pPr>
      <w:r>
        <w:rPr>
          <w:rFonts w:ascii="Arial" w:hAnsi="Arial"/>
          <w:color w:val="000000"/>
          <w:sz w:val="20"/>
        </w:rPr>
        <w:t>The indenture governing the Inmarsat 2029 Notes limits, among other things, the ability of the issuers and their restricted subsidiaries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and consolidate or merge with, or sell substantially all of their assets to, another person.</w:t>
      </w:r>
    </w:p>
    <w:p>
      <w:pPr>
        <w:pStyle w:val="TextBody"/>
        <w:bidi w:val="0"/>
        <w:spacing w:before="180" w:after="283"/>
        <w:jc w:val="left"/>
        <w:rPr>
          <w:rFonts w:ascii="Times New Roman" w:hAnsi="Times New Roman"/>
          <w:sz w:val="20"/>
        </w:rPr>
      </w:pPr>
      <w:r>
        <w:rPr>
          <w:rFonts w:ascii="Arial" w:hAnsi="Arial"/>
          <w:color w:val="000000"/>
          <w:sz w:val="20"/>
        </w:rPr>
        <w:t>Prior to September 15, 2026, the issuers may redeem up to 40% of the Inmarsat 2029 Notes at a redemption price 109.000% of the principal amount thereof, plus accrued and unpaid interest, if any, thereon to the redemption date, from the net cash proceeds of specified equity offerings so long as at least 50% of the aggregate principal amount of the Inmarsat 2029 Notes originally issued remains outstanding after such redemptions.</w:t>
      </w:r>
      <w:r>
        <w:rPr>
          <w:rFonts w:ascii="Times New Roman" w:hAnsi="Times New Roman"/>
          <w:color w:val="000000"/>
          <w:sz w:val="20"/>
        </w:rPr>
        <w:t xml:space="preserve"> </w:t>
      </w:r>
      <w:r>
        <w:rPr>
          <w:rFonts w:ascii="Arial" w:hAnsi="Arial"/>
          <w:color w:val="000000"/>
          <w:sz w:val="20"/>
        </w:rPr>
        <w:t>The issuers may also redeem the Inmarsat 2029 Notes prior to September 15, 2026, in whole or in part, at a redemption price equal to 100% of the principal amount thereof plus a “make-whole” premium and any accrued and unpaid interest, if any, thereon to the redemption date.</w:t>
      </w:r>
      <w:r>
        <w:rPr>
          <w:rFonts w:ascii="Times New Roman" w:hAnsi="Times New Roman"/>
          <w:color w:val="000000"/>
          <w:sz w:val="20"/>
        </w:rPr>
        <w:t xml:space="preserve"> </w:t>
      </w:r>
      <w:r>
        <w:rPr>
          <w:rFonts w:ascii="Arial" w:hAnsi="Arial"/>
          <w:color w:val="000000"/>
          <w:sz w:val="20"/>
        </w:rPr>
        <w:t>The Inmarsat 2029 Notes may be redeemed, in whole or in part, at any time during the 12 months beginning on September 15, 2026 at a redemption price of 104.500%, at any time during the 12 months beginning on September 15, 2027 at a redemption price of 102.250%, and at any time on or after September 15, 2028 at a redemption price of 100%, in each case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occurs (as defined in the indenture governing the Inmarsat 2029 Notes), each holder will have the right to require the issuers to repurchase all or a portion of such holder’s Inmarsat 2029 Notes at a purchase price in cash equal to 101% of the aggregate principal amount of the Inmarsat 2029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68" w:after="283"/>
        <w:jc w:val="left"/>
        <w:rPr>
          <w:rFonts w:ascii="Arial" w:hAnsi="Arial"/>
          <w:i/>
          <w:color w:val="000000"/>
          <w:sz w:val="20"/>
        </w:rPr>
      </w:pPr>
      <w:r>
        <w:rPr>
          <w:rFonts w:ascii="Arial" w:hAnsi="Arial"/>
          <w:i/>
          <w:color w:val="000000"/>
          <w:sz w:val="20"/>
        </w:rPr>
        <w:t>Senior Notes due 2031</w:t>
      </w:r>
    </w:p>
    <w:p>
      <w:pPr>
        <w:pStyle w:val="TextBody"/>
        <w:bidi w:val="0"/>
        <w:spacing w:before="80" w:after="283"/>
        <w:jc w:val="left"/>
        <w:rPr>
          <w:rFonts w:ascii="Times New Roman" w:hAnsi="Times New Roman"/>
          <w:sz w:val="20"/>
        </w:rPr>
      </w:pPr>
      <w:r>
        <w:rPr>
          <w:rFonts w:ascii="Arial" w:hAnsi="Arial"/>
          <w:color w:val="000000"/>
          <w:sz w:val="20"/>
        </w:rPr>
        <w:t>In September 2023, the Company issued $733.4</w:t>
      </w:r>
      <w:r>
        <w:rPr>
          <w:rFonts w:ascii="Times New Roman" w:hAnsi="Times New Roman"/>
          <w:color w:val="000000"/>
          <w:sz w:val="20"/>
        </w:rPr>
        <w:t xml:space="preserve"> </w:t>
      </w:r>
      <w:r>
        <w:rPr>
          <w:rFonts w:ascii="Arial" w:hAnsi="Arial"/>
          <w:color w:val="000000"/>
          <w:sz w:val="20"/>
        </w:rPr>
        <w:t>million in principal amount of 2031</w:t>
      </w:r>
      <w:r>
        <w:rPr>
          <w:rFonts w:ascii="Times New Roman" w:hAnsi="Times New Roman"/>
          <w:color w:val="000000"/>
          <w:sz w:val="20"/>
        </w:rPr>
        <w:t xml:space="preserve"> </w:t>
      </w:r>
      <w:r>
        <w:rPr>
          <w:rFonts w:ascii="Arial" w:hAnsi="Arial"/>
          <w:color w:val="000000"/>
          <w:sz w:val="20"/>
        </w:rPr>
        <w:t>Notes in a private placement to institutional buyers to replace the $733.4</w:t>
      </w:r>
      <w:r>
        <w:rPr>
          <w:rFonts w:ascii="Times New Roman" w:hAnsi="Times New Roman"/>
          <w:color w:val="000000"/>
          <w:sz w:val="20"/>
        </w:rPr>
        <w:t xml:space="preserve"> </w:t>
      </w:r>
      <w:r>
        <w:rPr>
          <w:rFonts w:ascii="Arial" w:hAnsi="Arial"/>
          <w:color w:val="000000"/>
          <w:sz w:val="20"/>
        </w:rPr>
        <w:t>million unsecured bridge loan facility that was entered into in connection with the closing of the Inmarsat Acquisition in May 2023. The 2031 Notes were issued at face value and are recorded as long-term debt, net of debt issuance costs, in the Company’s condensed</w:t>
      </w:r>
      <w:r>
        <w:rPr>
          <w:rFonts w:ascii="Times New Roman" w:hAnsi="Times New Roman"/>
          <w:color w:val="000000"/>
          <w:sz w:val="20"/>
        </w:rPr>
        <w:t xml:space="preserve"> </w:t>
      </w:r>
      <w:r>
        <w:rPr>
          <w:rFonts w:ascii="Arial" w:hAnsi="Arial"/>
          <w:color w:val="000000"/>
          <w:sz w:val="20"/>
        </w:rPr>
        <w:t>consolidated financial statements. The 2031 Notes bear interest at the rate of 7.500% per year, payable semi-annually in cash in arrears, which interest payments commenced in May 2024. Debt issuance costs associated with the issuance of the 2031 Notes are amortized to interest expense on a straight-line basis over the term of the 2031 Notes, the results of which are not materially different from the effective interest rate basis.</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2031 Notes are required to be guaranteed on an unsecured senior basis by each of the Company’s existing and future subsidiaries that guarantees the Viasat Revolving Credit Facility. As of June 30, 2026, none of the Company’s subsidiaries guaranteed the 2031 Notes. The 2031 Notes are the Company’s general senior unsecured obligations and rank equally in right of payment with all of the Company’s existing and future unsecured unsubordinated debt. The 2031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2031 Notes, and are senior in right of payment to all of the Company’s existing and future subordinated indebtedness.</w:t>
      </w:r>
    </w:p>
    <w:p>
      <w:pPr>
        <w:pStyle w:val="TextBody"/>
        <w:bidi w:val="0"/>
        <w:spacing w:before="180" w:after="283"/>
        <w:jc w:val="left"/>
        <w:rPr>
          <w:rFonts w:ascii="Arial" w:hAnsi="Arial"/>
          <w:color w:val="000000"/>
          <w:sz w:val="20"/>
        </w:rPr>
      </w:pPr>
      <w:r>
        <w:rPr>
          <w:rFonts w:ascii="Arial" w:hAnsi="Arial"/>
          <w:color w:val="000000"/>
          <w:sz w:val="20"/>
        </w:rPr>
        <w:t>The indenture governing the 2031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Arial" w:hAnsi="Arial"/>
          <w:color w:val="000000"/>
          <w:sz w:val="20"/>
        </w:rPr>
      </w:pPr>
      <w:r>
        <w:rPr>
          <w:rFonts w:ascii="Arial" w:hAnsi="Arial"/>
          <w:color w:val="000000"/>
          <w:sz w:val="20"/>
        </w:rPr>
        <w:t>The 2031 Notes may be redeemed, in whole or in part, at any time during the 12 months beginning on May 30, 2026 at a redemption price of 103.750%, during the 12 months beginning on May 30, 2027 at a redemption price of 101.875%, and at any time on or after May 30, 2028 at a redemption price of 100%, in each case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triggering event occurs (as defined in the indenture governing the 2031 Notes), each holder will have the right to require the Company to repurchase all or any part of such holder’s 2031 Notes at a purchase price in cash equal to 101% of the aggregate principal amount of the 2031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80" w:after="283"/>
        <w:jc w:val="left"/>
        <w:rPr>
          <w:rFonts w:ascii="Times New Roman" w:hAnsi="Times New Roman"/>
          <w:sz w:val="20"/>
        </w:rPr>
      </w:pPr>
      <w:r>
        <w:rPr>
          <w:rFonts w:ascii="Arial" w:hAnsi="Arial"/>
          <w:b/>
          <w:color w:val="000000"/>
          <w:sz w:val="20"/>
        </w:rPr>
        <w:t>Note 7 — Related-Party Transactions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the normal course of business, the Company engages in transactions with its equity method investment (JSAT Mobile), which are considered related-party transactions. The Company engaged in related-party transactions with its former equity method investment (Navarino UK) until March 2026, when the Company sold all of its interests in Navarino UK.</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Company recognized revenue from related-party transactions for the three months ended June 30, 2026 and 2025 in the amounts</w:t>
      </w:r>
      <w:r>
        <w:rPr>
          <w:rFonts w:ascii="Times New Roman" w:hAnsi="Times New Roman"/>
          <w:color w:val="000000"/>
          <w:sz w:val="20"/>
        </w:rPr>
        <w:t xml:space="preserve"> </w:t>
      </w:r>
      <w:r>
        <w:rPr>
          <w:rFonts w:ascii="Arial" w:hAnsi="Arial"/>
          <w:color w:val="000000"/>
          <w:sz w:val="20"/>
        </w:rPr>
        <w:t>of $7.2</w:t>
      </w:r>
      <w:r>
        <w:rPr>
          <w:rFonts w:ascii="Times New Roman" w:hAnsi="Times New Roman"/>
          <w:color w:val="000000"/>
          <w:sz w:val="20"/>
        </w:rPr>
        <w:t xml:space="preserve"> </w:t>
      </w:r>
      <w:r>
        <w:rPr>
          <w:rFonts w:ascii="Arial" w:hAnsi="Arial"/>
          <w:color w:val="000000"/>
          <w:sz w:val="20"/>
        </w:rPr>
        <w:t>million and $16.9</w:t>
      </w:r>
      <w:r>
        <w:rPr>
          <w:rFonts w:ascii="Times New Roman" w:hAnsi="Times New Roman"/>
          <w:color w:val="000000"/>
          <w:sz w:val="20"/>
        </w:rPr>
        <w:t xml:space="preserve"> </w:t>
      </w:r>
      <w:r>
        <w:rPr>
          <w:rFonts w:ascii="Arial" w:hAnsi="Arial"/>
          <w:color w:val="000000"/>
          <w:sz w:val="20"/>
        </w:rPr>
        <w:t>million, respectively. The Company received cash of $7.1</w:t>
      </w:r>
      <w:r>
        <w:rPr>
          <w:rFonts w:ascii="Times New Roman" w:hAnsi="Times New Roman"/>
          <w:color w:val="000000"/>
          <w:sz w:val="20"/>
        </w:rPr>
        <w:t xml:space="preserve"> </w:t>
      </w:r>
      <w:r>
        <w:rPr>
          <w:rFonts w:ascii="Arial" w:hAnsi="Arial"/>
          <w:color w:val="000000"/>
          <w:sz w:val="20"/>
        </w:rPr>
        <w:t>million and $15.3</w:t>
      </w:r>
      <w:r>
        <w:rPr>
          <w:rFonts w:ascii="Times New Roman" w:hAnsi="Times New Roman"/>
          <w:color w:val="000000"/>
          <w:sz w:val="20"/>
        </w:rPr>
        <w:t xml:space="preserve"> </w:t>
      </w:r>
      <w:r>
        <w:rPr>
          <w:rFonts w:ascii="Arial" w:hAnsi="Arial"/>
          <w:color w:val="000000"/>
          <w:sz w:val="20"/>
        </w:rPr>
        <w:t>million from related-party transactions for the three months ended June 30, 2026 and 2025, respectively. Accounts receivable from related-party transactions as of June 30, 2026 and March 31, 2026</w:t>
      </w:r>
      <w:r>
        <w:rPr>
          <w:rFonts w:ascii="Times New Roman" w:hAnsi="Times New Roman"/>
          <w:color w:val="000000"/>
          <w:sz w:val="20"/>
        </w:rPr>
        <w:t xml:space="preserve"> </w:t>
      </w:r>
      <w:r>
        <w:rPr>
          <w:rFonts w:ascii="Arial" w:hAnsi="Arial"/>
          <w:color w:val="000000"/>
          <w:sz w:val="20"/>
        </w:rPr>
        <w:t>was $2.6</w:t>
      </w:r>
      <w:r>
        <w:rPr>
          <w:rFonts w:ascii="Times New Roman" w:hAnsi="Times New Roman"/>
          <w:color w:val="000000"/>
          <w:sz w:val="20"/>
        </w:rPr>
        <w:t xml:space="preserve"> </w:t>
      </w:r>
      <w:r>
        <w:rPr>
          <w:rFonts w:ascii="Arial" w:hAnsi="Arial"/>
          <w:color w:val="000000"/>
          <w:sz w:val="20"/>
        </w:rPr>
        <w:t>million and $2.5</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80" w:after="283"/>
        <w:jc w:val="left"/>
        <w:rPr>
          <w:rFonts w:ascii="Times New Roman" w:hAnsi="Times New Roman"/>
          <w:sz w:val="20"/>
        </w:rPr>
      </w:pPr>
      <w:r>
        <w:rPr>
          <w:rFonts w:ascii="Arial" w:hAnsi="Arial"/>
          <w:b/>
          <w:color w:val="000000"/>
          <w:sz w:val="20"/>
        </w:rPr>
        <w:t>Note 8 — Commitments and Contingencies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From time to time, the Company enters into satellite construction agreements as well as various other satellite-related purchase commitments, including with respect to the provision of launch services, operation of its satellites and satellite insurance. See Note 13 — Commitments to the consolidated financial statements included in the Company’s Annual Report on Form 10-K for the year ended March 31, 2026 for information regarding the Company’s future minimum payments under its satellite construction contracts and other satellite-related purchase commitments.</w:t>
      </w:r>
    </w:p>
    <w:p>
      <w:pPr>
        <w:pStyle w:val="TextBody"/>
        <w:bidi w:val="0"/>
        <w:spacing w:before="180" w:after="283"/>
        <w:jc w:val="left"/>
        <w:rPr>
          <w:rFonts w:ascii="Arial" w:hAnsi="Arial"/>
          <w:color w:val="000000"/>
          <w:sz w:val="20"/>
        </w:rPr>
      </w:pPr>
      <w:r>
        <w:rPr>
          <w:rFonts w:ascii="Arial" w:hAnsi="Arial"/>
          <w:color w:val="000000"/>
          <w:sz w:val="20"/>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As of June 30, 2026, the DCMA had approved the Company’s incurred costs through fiscal year 2023. The DCAA is currently auditing the Company's fiscal year 2025 recurring incurred cost submission. The Company's cost accounting practices are examined for compliance with the applicable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both June 30, 2026 and March 31, 2026, the Company had $15.1</w:t>
      </w:r>
      <w:r>
        <w:rPr>
          <w:rFonts w:ascii="Times New Roman" w:hAnsi="Times New Roman"/>
          <w:color w:val="000000"/>
          <w:sz w:val="20"/>
        </w:rPr>
        <w:t xml:space="preserve"> </w:t>
      </w:r>
      <w:r>
        <w:rPr>
          <w:rFonts w:ascii="Arial" w:hAnsi="Arial"/>
          <w:color w:val="000000"/>
          <w:sz w:val="20"/>
        </w:rPr>
        <w:t>million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pStyle w:val="TextBody"/>
        <w:bidi w:val="0"/>
        <w:spacing w:before="180" w:after="283"/>
        <w:jc w:val="left"/>
        <w:rPr>
          <w:rFonts w:ascii="Times New Roman" w:hAnsi="Times New Roman"/>
          <w:sz w:val="20"/>
        </w:rPr>
      </w:pPr>
      <w:r>
        <w:rPr>
          <w:rFonts w:ascii="Arial" w:hAnsi="Arial"/>
          <w:color w:val="000000"/>
          <w:sz w:val="20"/>
        </w:rPr>
        <w:t>In June 2025, Inmarsat agreed to a binding term sheet with Ligado Networks (Ligado) and AST &amp; Science, LLC to settle Inmarsat's opposition to Ligado’s planned restructuring. Under the conditions set forth in the term sheet, the Company expected to receive an aggregate of $568</w:t>
      </w:r>
      <w:r>
        <w:rPr>
          <w:rFonts w:ascii="Times New Roman" w:hAnsi="Times New Roman"/>
          <w:color w:val="000000"/>
          <w:sz w:val="20"/>
        </w:rPr>
        <w:t xml:space="preserve"> </w:t>
      </w:r>
      <w:r>
        <w:rPr>
          <w:rFonts w:ascii="Arial" w:hAnsi="Arial"/>
          <w:color w:val="000000"/>
          <w:sz w:val="20"/>
        </w:rPr>
        <w:t>million from Ligado in fiscal year 2026, consisting of (i) a $420</w:t>
      </w:r>
      <w:r>
        <w:rPr>
          <w:rFonts w:ascii="Times New Roman" w:hAnsi="Times New Roman"/>
          <w:color w:val="000000"/>
          <w:sz w:val="20"/>
        </w:rPr>
        <w:t xml:space="preserve"> </w:t>
      </w:r>
      <w:r>
        <w:rPr>
          <w:rFonts w:ascii="Arial" w:hAnsi="Arial"/>
          <w:color w:val="000000"/>
          <w:sz w:val="20"/>
        </w:rPr>
        <w:t>million lump sum payment which was received in October 2025, (ii) a $100</w:t>
      </w:r>
      <w:r>
        <w:rPr>
          <w:rFonts w:ascii="Times New Roman" w:hAnsi="Times New Roman"/>
          <w:color w:val="000000"/>
          <w:sz w:val="20"/>
        </w:rPr>
        <w:t xml:space="preserve"> </w:t>
      </w:r>
      <w:r>
        <w:rPr>
          <w:rFonts w:ascii="Arial" w:hAnsi="Arial"/>
          <w:color w:val="000000"/>
          <w:sz w:val="20"/>
        </w:rPr>
        <w:t>million lump sum payment that was due in March 2026 that remains outstanding pending resolution of certain matters, and (iii) a resumption of quarterly payments of approximately $16</w:t>
      </w:r>
      <w:r>
        <w:rPr>
          <w:rFonts w:ascii="Times New Roman" w:hAnsi="Times New Roman"/>
          <w:color w:val="000000"/>
          <w:sz w:val="20"/>
        </w:rPr>
        <w:t xml:space="preserve"> </w:t>
      </w:r>
      <w:r>
        <w:rPr>
          <w:rFonts w:ascii="Arial" w:hAnsi="Arial"/>
          <w:color w:val="000000"/>
          <w:sz w:val="20"/>
        </w:rPr>
        <w:t>million, which started on September 30, 2025, with an annual escalator of 3% for the life of the contract (through 2107).</w:t>
      </w:r>
    </w:p>
    <w:p>
      <w:pPr>
        <w:pStyle w:val="TextBody"/>
        <w:bidi w:val="0"/>
        <w:spacing w:before="180" w:after="283"/>
        <w:jc w:val="left"/>
        <w:rPr>
          <w:rFonts w:ascii="Times New Roman" w:hAnsi="Times New Roman"/>
          <w:sz w:val="20"/>
        </w:rPr>
      </w:pPr>
      <w:r>
        <w:rPr>
          <w:rFonts w:ascii="Arial" w:hAnsi="Arial"/>
          <w:color w:val="000000"/>
          <w:sz w:val="20"/>
        </w:rPr>
        <w:t>In September 2023, the Company settled certain pending litigation. Under the terms of the settlement and licensing agreement, the Company receives certain payments, which may vary based on sales of licensed products. During the three months ended June 30, 2026 and 2025, the Company received payments of approximately $12.3</w:t>
      </w:r>
      <w:r>
        <w:rPr>
          <w:rFonts w:ascii="Times New Roman" w:hAnsi="Times New Roman"/>
          <w:color w:val="000000"/>
          <w:sz w:val="20"/>
        </w:rPr>
        <w:t xml:space="preserve"> </w:t>
      </w:r>
      <w:r>
        <w:rPr>
          <w:rFonts w:ascii="Arial" w:hAnsi="Arial"/>
          <w:color w:val="000000"/>
          <w:sz w:val="20"/>
        </w:rPr>
        <w:t>million and $30.8</w:t>
      </w:r>
      <w:r>
        <w:rPr>
          <w:rFonts w:ascii="Times New Roman" w:hAnsi="Times New Roman"/>
          <w:color w:val="000000"/>
          <w:sz w:val="20"/>
        </w:rPr>
        <w:t xml:space="preserve"> </w:t>
      </w:r>
      <w:r>
        <w:rPr>
          <w:rFonts w:ascii="Arial" w:hAnsi="Arial"/>
          <w:color w:val="000000"/>
          <w:sz w:val="20"/>
        </w:rPr>
        <w:t>million, respectively, which were recognized as product revenues in the Company’s defense and advanced technologies segment for such periods. The Company may from time to time receive additional licensing and royalty payments under the settlement and licensing agreement.</w:t>
      </w:r>
    </w:p>
    <w:p>
      <w:pPr>
        <w:pStyle w:val="TextBody"/>
        <w:bidi w:val="0"/>
        <w:jc w:val="left"/>
        <w:rPr/>
      </w:pPr>
      <w:r>
        <w:rPr/>
        <w:t> </w:t>
      </w:r>
    </w:p>
    <w:p>
      <w:pPr>
        <w:pStyle w:val="TextBody"/>
        <w:bidi w:val="0"/>
        <w:spacing w:before="280" w:after="283"/>
        <w:jc w:val="left"/>
        <w:rPr>
          <w:rFonts w:ascii="Arial" w:hAnsi="Arial"/>
          <w:b/>
          <w:color w:val="000000"/>
          <w:sz w:val="20"/>
        </w:rPr>
      </w:pPr>
      <w:r>
        <w:rPr>
          <w:rFonts w:ascii="Arial" w:hAnsi="Arial"/>
          <w:b/>
          <w:color w:val="000000"/>
          <w:sz w:val="20"/>
        </w:rPr>
        <w:t>Note 9 — Income Taxes</w:t>
      </w:r>
    </w:p>
    <w:p>
      <w:pPr>
        <w:pStyle w:val="TextBody"/>
        <w:bidi w:val="0"/>
        <w:spacing w:before="80" w:after="283"/>
        <w:jc w:val="left"/>
        <w:rPr>
          <w:rFonts w:ascii="Times New Roman" w:hAnsi="Times New Roman"/>
          <w:sz w:val="20"/>
        </w:rPr>
      </w:pPr>
      <w:r>
        <w:rPr>
          <w:rFonts w:ascii="Arial" w:hAnsi="Arial"/>
          <w:color w:val="000000"/>
          <w:sz w:val="20"/>
        </w:rPr>
        <w:t>For the three months ended June 30, 2026, the Company recorded an income tax provision of $23.1</w:t>
      </w:r>
      <w:r>
        <w:rPr>
          <w:rFonts w:ascii="Times New Roman" w:hAnsi="Times New Roman"/>
          <w:color w:val="000000"/>
          <w:sz w:val="20"/>
        </w:rPr>
        <w:t xml:space="preserve"> </w:t>
      </w:r>
      <w:r>
        <w:rPr>
          <w:rFonts w:ascii="Arial" w:hAnsi="Arial"/>
          <w:color w:val="000000"/>
          <w:sz w:val="20"/>
        </w:rPr>
        <w:t>million, resulting in an effective tax rate of negative 116%. The effective tax rate for the period differed from the U.S. statutory rate primarily due to a U.S. valuation allowance, foreign tax rate differences and foreign tax audit adjustments.</w:t>
      </w:r>
    </w:p>
    <w:p>
      <w:pPr>
        <w:pStyle w:val="TextBody"/>
        <w:bidi w:val="0"/>
        <w:jc w:val="left"/>
        <w:rPr/>
      </w:pPr>
      <w:r>
        <w:rPr/>
        <w:t> </w:t>
      </w:r>
    </w:p>
    <w:p>
      <w:pPr>
        <w:pStyle w:val="TextBody"/>
        <w:bidi w:val="0"/>
        <w:spacing w:before="80" w:after="283"/>
        <w:jc w:val="left"/>
        <w:rPr>
          <w:rFonts w:ascii="Times New Roman" w:hAnsi="Times New Roman"/>
          <w:sz w:val="20"/>
        </w:rPr>
      </w:pPr>
      <w:r>
        <w:rPr>
          <w:rFonts w:ascii="Arial" w:hAnsi="Arial"/>
          <w:color w:val="000000"/>
          <w:sz w:val="20"/>
        </w:rPr>
        <w:t>For the three months ended June 30, 2025, the Company recorded an income tax provision of $6.6</w:t>
      </w:r>
      <w:r>
        <w:rPr>
          <w:rFonts w:ascii="Times New Roman" w:hAnsi="Times New Roman"/>
          <w:color w:val="000000"/>
          <w:sz w:val="20"/>
        </w:rPr>
        <w:t xml:space="preserve"> </w:t>
      </w:r>
      <w:r>
        <w:rPr>
          <w:rFonts w:ascii="Arial" w:hAnsi="Arial"/>
          <w:color w:val="000000"/>
          <w:sz w:val="20"/>
        </w:rPr>
        <w:t>million, resulting in an effective tax rate of negative 15%. The effective tax rate for the period differed from the U.S. statutory rate primarily due to a U.S. valuation allowance and foreign tax rate differences.</w:t>
      </w:r>
    </w:p>
    <w:p>
      <w:pPr>
        <w:pStyle w:val="TextBody"/>
        <w:bidi w:val="0"/>
        <w:spacing w:before="180" w:after="283"/>
        <w:jc w:val="left"/>
        <w:rPr>
          <w:rFonts w:ascii="Times New Roman" w:hAnsi="Times New Roman"/>
          <w:sz w:val="20"/>
        </w:rPr>
      </w:pPr>
      <w:r>
        <w:rPr>
          <w:rFonts w:ascii="Arial" w:hAnsi="Arial"/>
          <w:color w:val="000000"/>
          <w:sz w:val="20"/>
        </w:rPr>
        <w:t>The Company's total valuation allowance increased from $435.0</w:t>
      </w:r>
      <w:r>
        <w:rPr>
          <w:rFonts w:ascii="Times New Roman" w:hAnsi="Times New Roman"/>
          <w:color w:val="000000"/>
          <w:sz w:val="20"/>
        </w:rPr>
        <w:t xml:space="preserve"> </w:t>
      </w:r>
      <w:r>
        <w:rPr>
          <w:rFonts w:ascii="Arial" w:hAnsi="Arial"/>
          <w:color w:val="000000"/>
          <w:sz w:val="20"/>
        </w:rPr>
        <w:t>million at March 31, 2026</w:t>
      </w:r>
      <w:r>
        <w:rPr>
          <w:rFonts w:ascii="Times New Roman" w:hAnsi="Times New Roman"/>
          <w:color w:val="000000"/>
          <w:sz w:val="20"/>
        </w:rPr>
        <w:t xml:space="preserve"> </w:t>
      </w:r>
      <w:r>
        <w:rPr>
          <w:rFonts w:ascii="Arial" w:hAnsi="Arial"/>
          <w:color w:val="000000"/>
          <w:sz w:val="20"/>
        </w:rPr>
        <w:t>to $459.6</w:t>
      </w:r>
      <w:r>
        <w:rPr>
          <w:rFonts w:ascii="Times New Roman" w:hAnsi="Times New Roman"/>
          <w:color w:val="000000"/>
          <w:sz w:val="20"/>
        </w:rPr>
        <w:t xml:space="preserve"> </w:t>
      </w:r>
      <w:r>
        <w:rPr>
          <w:rFonts w:ascii="Arial" w:hAnsi="Arial"/>
          <w:color w:val="000000"/>
          <w:sz w:val="20"/>
        </w:rPr>
        <w:t>million at June 30, 2026, relating to carryforwards of federal, state and foreign net operating losses, federal and state research and development tax credits, and foreign tax credits.</w:t>
      </w:r>
    </w:p>
    <w:p>
      <w:pPr>
        <w:pStyle w:val="TextBody"/>
        <w:bidi w:val="0"/>
        <w:spacing w:before="180" w:after="283"/>
        <w:jc w:val="left"/>
        <w:rPr>
          <w:rFonts w:ascii="Times New Roman" w:hAnsi="Times New Roman"/>
          <w:sz w:val="20"/>
        </w:rPr>
      </w:pPr>
      <w:r>
        <w:rPr>
          <w:rFonts w:ascii="Arial" w:hAnsi="Arial"/>
          <w:color w:val="000000"/>
          <w:sz w:val="20"/>
        </w:rPr>
        <w:t>For the three months ended June 30, 2026, the Company’s unrecognized tax benefits increased by $3.8</w:t>
      </w:r>
      <w:r>
        <w:rPr>
          <w:rFonts w:ascii="Times New Roman" w:hAnsi="Times New Roman"/>
          <w:color w:val="000000"/>
          <w:sz w:val="20"/>
        </w:rPr>
        <w:t xml:space="preserve"> </w:t>
      </w:r>
      <w:r>
        <w:rPr>
          <w:rFonts w:ascii="Arial" w:hAnsi="Arial"/>
          <w:color w:val="000000"/>
          <w:sz w:val="20"/>
        </w:rPr>
        <w:t>million, and interest and penalties increased by $11.8</w:t>
      </w:r>
      <w:r>
        <w:rPr>
          <w:rFonts w:ascii="Times New Roman" w:hAnsi="Times New Roman"/>
          <w:color w:val="000000"/>
          <w:sz w:val="20"/>
        </w:rPr>
        <w:t xml:space="preserve"> </w:t>
      </w:r>
      <w:r>
        <w:rPr>
          <w:rFonts w:ascii="Arial" w:hAnsi="Arial"/>
          <w:color w:val="000000"/>
          <w:sz w:val="20"/>
        </w:rPr>
        <w:t>million. Of the total $230.9</w:t>
      </w:r>
      <w:r>
        <w:rPr>
          <w:rFonts w:ascii="Times New Roman" w:hAnsi="Times New Roman"/>
          <w:color w:val="000000"/>
          <w:sz w:val="20"/>
        </w:rPr>
        <w:t xml:space="preserve"> </w:t>
      </w:r>
      <w:r>
        <w:rPr>
          <w:rFonts w:ascii="Arial" w:hAnsi="Arial"/>
          <w:color w:val="000000"/>
          <w:sz w:val="20"/>
        </w:rPr>
        <w:t>million unrecognized tax benefits at June 30, 2026, $15.0</w:t>
      </w:r>
      <w:r>
        <w:rPr>
          <w:rFonts w:ascii="Times New Roman" w:hAnsi="Times New Roman"/>
          <w:color w:val="000000"/>
          <w:sz w:val="20"/>
        </w:rPr>
        <w:t xml:space="preserve"> </w:t>
      </w:r>
      <w:r>
        <w:rPr>
          <w:rFonts w:ascii="Arial" w:hAnsi="Arial"/>
          <w:color w:val="000000"/>
          <w:sz w:val="20"/>
        </w:rPr>
        <w:t>million would reduce the Company's annual effective tax rate if recognized based on the Company's valuation allowance position at June 30, 2026.</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10 — Segment Information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Company reports its results in two</w:t>
      </w:r>
      <w:r>
        <w:rPr>
          <w:rFonts w:ascii="Times New Roman" w:hAnsi="Times New Roman"/>
          <w:color w:val="000000"/>
          <w:sz w:val="20"/>
        </w:rPr>
        <w:t xml:space="preserve"> </w:t>
      </w:r>
      <w:r>
        <w:rPr>
          <w:rFonts w:ascii="Arial" w:hAnsi="Arial"/>
          <w:color w:val="000000"/>
          <w:sz w:val="20"/>
        </w:rPr>
        <w:t>separate segments consisting of communication services and defense and advanced technologies. The Company's segments are determined consistent with the way management currently organizes and evaluates financial information internally for making operating decisions and assessing performance.</w:t>
      </w:r>
    </w:p>
    <w:p>
      <w:pPr>
        <w:pStyle w:val="TextBody"/>
        <w:bidi w:val="0"/>
        <w:spacing w:before="80" w:after="283"/>
        <w:jc w:val="left"/>
        <w:rPr>
          <w:rFonts w:ascii="Times New Roman" w:hAnsi="Times New Roman"/>
          <w:sz w:val="20"/>
        </w:rPr>
      </w:pPr>
      <w:r>
        <w:rPr>
          <w:rFonts w:ascii="Arial" w:hAnsi="Arial"/>
          <w:color w:val="000000"/>
          <w:sz w:val="20"/>
        </w:rPr>
        <w:t>The Company’s reportable segments (communication services and defense and advanced technologies) have been determined based upon their market and economic characteristics while also giving consideration to the structure and management of various business lines. The reportable segments are primarily determined based upon industry categories and core competencies relating to product or service end market distribution, operations, and servicing and distinguished by the type of customer and, to a lesser extent, the related contractual requirements.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Company’s communication services segment provides a wide range of broadband and narrowband communications solutions across government and commercial mobility markets, as well as for residential and enterprise fixed broadband customers. The Company’s communication services segment revenues are primarily derived from the Company’s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pStyle w:val="TextBody"/>
        <w:bidi w:val="0"/>
        <w:spacing w:before="80" w:after="283"/>
        <w:jc w:val="left"/>
        <w:rPr>
          <w:rFonts w:ascii="Arial" w:hAnsi="Arial"/>
          <w:color w:val="000000"/>
          <w:sz w:val="20"/>
        </w:rPr>
      </w:pPr>
      <w:r>
        <w:rPr>
          <w:rFonts w:ascii="Arial" w:hAnsi="Arial"/>
          <w:color w:val="000000"/>
          <w:sz w:val="20"/>
        </w:rPr>
        <w:t>The Company’s defense and advanced technologies segment develops and offers a diverse array of resilient, vertically integrated solutions to government and commercial customers, leveraging the Company’s technical competencies in encryption, cyber security, tactical gateways, modems and waveforms. The more regulated government environment for defense, encryption and other products is subject to unique contractual requirements and possesses economic characteristics that differ from the communication services segment. The Company’s defense and advanced technologies segment revenues are primarily derived from products and services in the Company’s information security and cyber defense, space and mission systems, tactical networking, and advanced technologies and other business lines, which are provided to government and commercial customers.</w:t>
      </w:r>
    </w:p>
    <w:p>
      <w:pPr>
        <w:pStyle w:val="TextBody"/>
        <w:bidi w:val="0"/>
        <w:spacing w:before="80" w:after="283"/>
        <w:jc w:val="left"/>
        <w:rPr>
          <w:rFonts w:ascii="Arial" w:hAnsi="Arial"/>
          <w:color w:val="000000"/>
          <w:sz w:val="20"/>
        </w:rPr>
      </w:pPr>
      <w:r>
        <w:rPr>
          <w:rFonts w:ascii="Arial" w:hAnsi="Arial"/>
          <w:color w:val="000000"/>
          <w:sz w:val="20"/>
        </w:rPr>
        <w:t>The Company's Chief Operating Decision Maker (CODM) is the Company's Chairman of the Board and Chief Executive Officer. Segment operating profits (losses) are the primary measure used by the Company's CODM to evaluate segment operating performance. The CODM regularly reviews budget-to-actual variances of segment operating profits (losses) when evaluating segment performance and allocating resources to each segment.</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Segment revenues, expenses and operating profits (losses) for the three months ended June 30, 2026 and 2025 were as follows:</w:t>
      </w:r>
    </w:p>
    <w:tbl>
      <w:tblPr>
        <w:tblW w:w="9475" w:type="dxa"/>
        <w:jc w:val="left"/>
        <w:tblInd w:w="0" w:type="dxa"/>
        <w:tblLayout w:type="fixed"/>
        <w:tblCellMar>
          <w:top w:w="28" w:type="dxa"/>
          <w:left w:w="28" w:type="dxa"/>
          <w:bottom w:w="28" w:type="dxa"/>
          <w:right w:w="28" w:type="dxa"/>
        </w:tblCellMar>
      </w:tblPr>
      <w:tblGrid>
        <w:gridCol w:w="5376"/>
        <w:gridCol w:w="346"/>
        <w:gridCol w:w="211"/>
        <w:gridCol w:w="931"/>
        <w:gridCol w:w="166"/>
        <w:gridCol w:w="146"/>
        <w:gridCol w:w="211"/>
        <w:gridCol w:w="931"/>
        <w:gridCol w:w="166"/>
        <w:gridCol w:w="991"/>
      </w:tblGrid>
      <w:tr>
        <w:trPr/>
        <w:tc>
          <w:tcPr>
            <w:tcW w:w="5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 thousands)</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Communication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Aviation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292,892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Government satcom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Maritime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Fixed services and other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Total communication services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825,083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827,371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Defense and advanced technologies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Information security and cyber defense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Space and mission systems products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Tactical networking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Advanced technologies and other products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Total defense and advanced technologies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Elimination of intersegment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1,156,543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1,171,054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Communication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Depreciation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Other than acquired intangible assets amortization </w:t>
            </w:r>
            <w:r>
              <w:rPr>
                <w:rFonts w:ascii="Arial" w:hAnsi="Arial"/>
                <w:color w:val="000000"/>
                <w:sz w:val="12"/>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Acquisition and transaction related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Other segment items </w:t>
            </w:r>
            <w:r>
              <w:rPr>
                <w:rFonts w:ascii="Arial" w:hAnsi="Arial"/>
                <w:color w:val="000000"/>
                <w:sz w:val="12"/>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8"/>
              </w:rPr>
            </w:pPr>
            <w:r>
              <w:rPr>
                <w:rFonts w:ascii="Arial" w:hAnsi="Arial"/>
                <w:color w:val="000000"/>
                <w:sz w:val="18"/>
              </w:rPr>
              <w:t xml:space="preserve">Total communication services expenses </w:t>
            </w:r>
            <w:r>
              <w:rPr>
                <w:rFonts w:ascii="Arial" w:hAnsi="Arial"/>
                <w:color w:val="000000"/>
                <w:sz w:val="12"/>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762,654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786,495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Defense and advanced technologies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Depreciation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Stock-based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Other than acquired intangible assets amortization </w:t>
            </w:r>
            <w:r>
              <w:rPr>
                <w:rFonts w:ascii="Arial" w:hAnsi="Arial"/>
                <w:color w:val="000000"/>
                <w:sz w:val="12"/>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Acquisition and transaction related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Other segment items </w:t>
            </w:r>
            <w:r>
              <w:rPr>
                <w:rFonts w:ascii="Arial" w:hAnsi="Arial"/>
                <w:color w:val="000000"/>
                <w:sz w:val="12"/>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8"/>
              </w:rPr>
            </w:pPr>
            <w:r>
              <w:rPr>
                <w:rFonts w:ascii="Arial" w:hAnsi="Arial"/>
                <w:color w:val="000000"/>
                <w:sz w:val="18"/>
              </w:rPr>
              <w:t xml:space="preserve">Total defense and advanced technologies expenses </w:t>
            </w:r>
            <w:r>
              <w:rPr>
                <w:rFonts w:ascii="Arial" w:hAnsi="Arial"/>
                <w:color w:val="000000"/>
                <w:sz w:val="12"/>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1,058,641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profits (losses):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Communication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Defense and advanced technologies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Elimination of intersegment operating profits (losses)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Segment operating profit (loss) before corporate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Amortization of acquired intangible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(Loss) gain on extinguishment of debt,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(loss)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Including amortization of capitalized cloud computing implementation costs.</w:t>
      </w:r>
    </w:p>
    <w:p>
      <w:pPr>
        <w:pStyle w:val="TextBody"/>
        <w:bidi w:val="0"/>
        <w:spacing w:before="40" w:after="283"/>
        <w:jc w:val="left"/>
        <w:rPr>
          <w:rFonts w:ascii="Arial" w:hAnsi="Arial"/>
          <w:color w:val="000000"/>
          <w:sz w:val="20"/>
        </w:rPr>
      </w:pPr>
      <w:r>
        <w:rPr>
          <w:rFonts w:ascii="Arial" w:hAnsi="Arial"/>
          <w:color w:val="000000"/>
          <w:sz w:val="20"/>
        </w:rPr>
        <w:t>(2)</w:t>
      </w:r>
    </w:p>
    <w:p>
      <w:pPr>
        <w:pStyle w:val="TextBody"/>
        <w:bidi w:val="0"/>
        <w:spacing w:before="40" w:after="283"/>
        <w:jc w:val="left"/>
        <w:rPr>
          <w:rFonts w:ascii="Arial" w:hAnsi="Arial"/>
          <w:color w:val="000000"/>
          <w:sz w:val="20"/>
        </w:rPr>
      </w:pPr>
      <w:r>
        <w:rPr>
          <w:rFonts w:ascii="Arial" w:hAnsi="Arial"/>
          <w:color w:val="000000"/>
          <w:sz w:val="20"/>
        </w:rPr>
        <w:t>Other segment items include operating expenses such as cost of service and product revenues, selling, general and administrative expenses, IR&amp;D expenses and related activities excluding allocable portion of depreciation, other than acquired intangibles amortization, stock-based compensation, and certain significant items that are disclosed under each segment.</w:t>
      </w:r>
    </w:p>
    <w:p>
      <w:pPr>
        <w:pStyle w:val="TextBody"/>
        <w:bidi w:val="0"/>
        <w:spacing w:before="40" w:after="283"/>
        <w:jc w:val="left"/>
        <w:rPr>
          <w:rFonts w:ascii="Arial" w:hAnsi="Arial"/>
          <w:color w:val="000000"/>
          <w:sz w:val="20"/>
        </w:rPr>
      </w:pPr>
      <w:r>
        <w:rPr>
          <w:rFonts w:ascii="Arial" w:hAnsi="Arial"/>
          <w:color w:val="000000"/>
          <w:sz w:val="20"/>
        </w:rPr>
        <w:t>(3)</w:t>
      </w:r>
    </w:p>
    <w:p>
      <w:pPr>
        <w:pStyle w:val="TextBody"/>
        <w:bidi w:val="0"/>
        <w:spacing w:before="40" w:after="283"/>
        <w:jc w:val="left"/>
        <w:rPr>
          <w:rFonts w:ascii="Arial" w:hAnsi="Arial"/>
          <w:color w:val="000000"/>
          <w:sz w:val="20"/>
        </w:rPr>
      </w:pPr>
      <w:r>
        <w:rPr>
          <w:rFonts w:ascii="Arial" w:hAnsi="Arial"/>
          <w:color w:val="000000"/>
          <w:sz w:val="20"/>
        </w:rPr>
        <w:t>For the three months ended June 30, 2026 and 2025, IR&amp;D expense and related activities, including allocable depreciation, stock-based compensation and other expenses were $28.4 million and $19.2 million, respectively, for the communication services segment, and $17.1 million and $15.0 million, respectively, for the defense and advanced technologies segment.</w:t>
      </w:r>
    </w:p>
    <w:p>
      <w:pPr>
        <w:pStyle w:val="TextBody"/>
        <w:bidi w:val="0"/>
        <w:spacing w:before="180" w:after="283"/>
        <w:jc w:val="left"/>
        <w:rPr>
          <w:rFonts w:ascii="Arial" w:hAnsi="Arial"/>
          <w:color w:val="000000"/>
          <w:sz w:val="20"/>
        </w:rPr>
      </w:pPr>
      <w:r>
        <w:rPr>
          <w:rFonts w:ascii="Arial" w:hAnsi="Arial"/>
          <w:color w:val="000000"/>
          <w:sz w:val="20"/>
        </w:rPr>
        <w:t>The CODM is not regularly provided assets on a segment basis, therefore, such information is not presented.</w:t>
      </w:r>
    </w:p>
    <w:p>
      <w:pPr>
        <w:pStyle w:val="TextBody"/>
        <w:bidi w:val="0"/>
        <w:spacing w:before="268" w:after="283"/>
        <w:jc w:val="left"/>
        <w:rPr>
          <w:rFonts w:ascii="Arial" w:hAnsi="Arial"/>
          <w:color w:val="000000"/>
          <w:sz w:val="20"/>
        </w:rPr>
      </w:pPr>
      <w:r>
        <w:rPr>
          <w:rFonts w:ascii="Arial" w:hAnsi="Arial"/>
          <w:color w:val="000000"/>
          <w:sz w:val="20"/>
        </w:rPr>
        <w:t>The Company distinguishes revenues from external customers by geographic area based on customer location. Revenues by geographic area for the three months ended June 30, 2026 and 2025 were as follows:</w:t>
      </w:r>
    </w:p>
    <w:p>
      <w:pPr>
        <w:pStyle w:val="TextBody"/>
        <w:bidi w:val="0"/>
        <w:jc w:val="left"/>
        <w:rPr/>
      </w:pPr>
      <w:r>
        <w:rPr/>
        <w:t> </w:t>
      </w:r>
    </w:p>
    <w:tbl>
      <w:tblPr>
        <w:tblW w:w="8284" w:type="dxa"/>
        <w:jc w:val="left"/>
        <w:tblInd w:w="0" w:type="dxa"/>
        <w:tblLayout w:type="fixed"/>
        <w:tblCellMar>
          <w:top w:w="28" w:type="dxa"/>
          <w:left w:w="28" w:type="dxa"/>
          <w:bottom w:w="28" w:type="dxa"/>
          <w:right w:w="28" w:type="dxa"/>
        </w:tblCellMar>
      </w:tblPr>
      <w:tblGrid>
        <w:gridCol w:w="5311"/>
        <w:gridCol w:w="146"/>
        <w:gridCol w:w="211"/>
        <w:gridCol w:w="961"/>
        <w:gridCol w:w="146"/>
        <w:gridCol w:w="146"/>
        <w:gridCol w:w="211"/>
        <w:gridCol w:w="961"/>
        <w:gridCol w:w="1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788,423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815,333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Non-U.S. customers (each country individually insignificant)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355,721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1,156,543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1,171,054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68" w:after="283"/>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w:t>
      </w:r>
      <w:r>
        <w:rPr>
          <w:rFonts w:ascii="Times New Roman" w:hAnsi="Times New Roman"/>
          <w:color w:val="000000"/>
          <w:sz w:val="20"/>
        </w:rPr>
        <w:t xml:space="preserve"> </w:t>
      </w:r>
      <w:r>
        <w:rPr>
          <w:rFonts w:ascii="Arial" w:hAnsi="Arial"/>
          <w:b/>
          <w:color w:val="000000"/>
          <w:sz w:val="20"/>
        </w:rPr>
        <w:t>Financial Condition and Results of Operations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b/>
          <w:color w:val="000000"/>
          <w:sz w:val="20"/>
        </w:rPr>
        <w:t>Forward-Looking Statements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regarding projections of earnings, revenue, costs or other financial items; anticipated trends in our business or key markets; growth opportunities; the ability to successfully compete in our target markets and durability or strengthening of competitive advantages; the construction, completion, testing, launch, commencement of commercial service, expected performance and benefits of satellites and satellite payloads (including satellites planned or under construction) and the timing thereof; the expected capacity, coverage, service speeds and other features of our satellites, and the cost, economics and benefits associated therewith; anticipated subscriber growth; introduction and integration of multi-orbit capabilities; future economic conditions; the development, customer acceptance and anticipated performance of our technologies, products or services; plans, objectives and strategies for future operations; ability to drive capital efficiency and improved resource utilization; the number of additional aircraft or vessels anticipated to be put into service with our connectivity systems; expected revenue from the Ligado settlement;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any existing or future satellite; unexpected expenses related to our satellite projects; risks associated with the construction, launch and operation of satellites, including the effect of any anomaly, launch, operational or deployment failure or degradation in satellite performance; capacity constraints in our business in the lead-up to the launch of services on new satellites; increasing levels of competition in our target markets; our ability to successfully implement our business plan on our anticipated timeline or at all; our ability to successfully develop, introduce and sell new technologies, products and services; audits by the U.S. Government; changes in the global business environment and economic conditions (including U.S. Government shutdowns);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any dispute with Ligado regarding the terms of the Ligado settlement; our dependence on a limited number of key employees; and other factors identified under the heading “Risk Factors” in Part I, Item 1A of our Annual Report on Form 10-K for the fiscal year ended March 31, 2026 and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Company Overview</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are an innovative, global provider of communications technologies and services, focused on making connectivity accessible, available and secure for current and future customers worldwide. By leveraging our own satellite fleet and its advantages, existing national operator partnerships, plus coverage and capacity from leading third-party satellites and constellations, our services are designed to provide customers with the essential capacity density, market access, speed, bandwidth and responsiveness they need.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We conduct our business through two reportable segments: communication services and defense and advanced technologies. Viasat, Inc. (Viasat) was incorporated in California in 1986, and reincorporated as a Delaware corporation in 1996.</w:t>
      </w:r>
    </w:p>
    <w:p>
      <w:pPr>
        <w:pStyle w:val="TextBody"/>
        <w:bidi w:val="0"/>
        <w:spacing w:before="280" w:after="283"/>
        <w:jc w:val="left"/>
        <w:rPr>
          <w:rFonts w:ascii="Arial" w:hAnsi="Arial"/>
          <w:b/>
          <w:color w:val="000000"/>
          <w:sz w:val="20"/>
        </w:rPr>
      </w:pPr>
      <w:r>
        <w:rPr>
          <w:rFonts w:ascii="Arial" w:hAnsi="Arial"/>
          <w:b/>
          <w:color w:val="000000"/>
          <w:sz w:val="20"/>
        </w:rPr>
        <w:t>Communication Services</w:t>
      </w:r>
    </w:p>
    <w:p>
      <w:pPr>
        <w:pStyle w:val="TextBody"/>
        <w:bidi w:val="0"/>
        <w:spacing w:before="80" w:after="283"/>
        <w:jc w:val="left"/>
        <w:rPr>
          <w:rFonts w:ascii="Times New Roman" w:hAnsi="Times New Roman"/>
          <w:sz w:val="20"/>
        </w:rPr>
      </w:pPr>
      <w:r>
        <w:rPr>
          <w:rFonts w:ascii="Arial" w:hAnsi="Arial"/>
          <w:color w:val="000000"/>
          <w:sz w:val="20"/>
        </w:rPr>
        <w:t>Our communication services segment provides a wide range of broadband and narrowband communications solutions across government and commercial mobility markets, as well as for residential and enterprise fixed broadband customers. In addition, this segment includes the development and sale of a wide array of advanced satellite and wireless products and terminals that support or enable the provision of fixed and mobile broadband and narrowband services. We design, develop and produce space system solutions for multiple orbital regimes, including geostationary earth orbit (GEO), medium earth orbit (MEO) and low earth orbit (LEO).</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following are the primary business lines in our communication services segment: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Aviation, which includes industry-leading in-flight connectivity (IFC) services, narrowband safety operational data services and other complementary services and applications for commercial aircraft, business jets and unmanned aircraft. As of June 30, 2026, we had our IFC systems installed and in service on approximately 4,630 commercial aircraft, of which approximately 100 were inactive at quarter end (mostly due to standard aircraft maintenance), and approximately 2,080 business jets with Ka-band communication services. We anticipate that approximately 850 additional commercial aircraft will be put into service with our IFC systems under existing customer agreements with commercial airlines. However, due to the nature of commercial airline contracts and other factors, such as increased competition and original equipment manufacturer (OEM) delays, there can be no assurance that anticipated IFC services will be activated on all such additional commercial aircraft.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Government satcom, which includes various broadband and narrowband products and services for both fixed and mobile communications that provide military and government users with secure, high-speed, real-time broadband and multimedia connectivity in key regions of the world, as well as tactical line-of-sight and beyond-line-of-sight communications, Intelligence Surveillance and Reconnaissance services and L-band Advanced Communications Element terminals.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Maritime, which includes high-quality, resilient satellite-based broadband and narrowband communications services around the globe to commercial shipping fleets, offshore service vessel operators and commercial fishing companies, as well as NexusWave, a fully managed multi-layer connectivity service for merchant shipping companies. As of June 30, 2026, we provided Ka-band communication services to approximately 12,900 vessels.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Fixed services and other, which includes high-speed, high-quality, reliable fixed broadband internet services to businesses and residential users (primarily in the United States as well as in various countries in Europe and Latin America), enterprise connectivity solutions, Internet-of-Things and other narrowband services (such as L-band managed services that enable real-time machine-to-machine position or high-value asset tracking), energy services, and prepaid internet services that provide innovative, affordable, satellite-based connectivity in communities that have little or no access to the internet. As of June 30, 2026, our U.S. fixed broadband business had approximately 115,000 subscribers with an average monthly revenue per user of $111.</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Defense and Advanced Technologies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Our defense and advanced technologies segment develops and offers a diverse array of resilient, vertically integrated solutions to government and commercial customers, leveraging our core technical competencies in encryption, cyber security, tactical gateways, modems and waveforms.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following are the primary business lines in our defense and advanced technologies segment: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Information security and cyber defense, which comprises a variety of high-quality networking, cybersecurity and information assurance products and services that provide advanced, high-speed IP-based “Type 1” and High Assurance Internet Protocol Encryption (HAIPE®)-compliant encryption solutions that enable military and government users to communicate information securely, and that protect the integrity of data stored on computers and storage devices. Information security and cyber defense also includes our Move Out/Jump Off expeditionary tactical gateway family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Space and mission systems, which includes specialized design and technology services covering all aspects of satellite communication system architecture, networks and technology, including state-of-the-art government satellite communication systems, mobile and fixed broadband modems, ground and airborne terminals, antennas and gateways for terrestrial and satellite customer applications, Ka-band earth stations and other multi-band/multi-function antennas, as well as products designed for manpacks, aircraft, unmanned aerial vehicles, seagoing vessels, ground-mobile vehicles, space-based systems and fixed applications. Space and mission systems also includes the design and development of the architecture of high-capacity Ka-band GEO satellites and the associated satellite payload and antenna technologies (both for our own satellite fleet as well as for third parties), and special purpose LEO and MEO satellites and other small satellite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Tactical networking, which provides resilient communications designed for on-the-move or on-the-pause operations in a multi-domain battlespace with friendly force tracking and narrowband solutions. Tactical networking includes the products and services offered by TrellisWare Technologies, Inc.</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Advanced technologies and other, which includes commercial communication satellite product development, orchestration of sovereign and multi-orbit solutions, products focused on emerging growth markets (such as direct-to-device) and intellectual property licensing revenues.</w:t>
      </w:r>
    </w:p>
    <w:p>
      <w:pPr>
        <w:pStyle w:val="TextBody"/>
        <w:bidi w:val="0"/>
        <w:spacing w:before="280" w:after="283"/>
        <w:jc w:val="left"/>
        <w:rPr>
          <w:rFonts w:ascii="Times New Roman" w:hAnsi="Times New Roman"/>
          <w:sz w:val="20"/>
        </w:rPr>
      </w:pPr>
      <w:r>
        <w:rPr>
          <w:rFonts w:ascii="Arial" w:hAnsi="Arial"/>
          <w:b/>
          <w:color w:val="000000"/>
          <w:sz w:val="20"/>
        </w:rPr>
        <w:t>Factors and Trends Affecting our Results of Operations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For a summary of factors and trends affecting our results of operations, see Part II, Item 7, "Factors and Trends Affecting our Results of Operations" in our Annual Report on Form 10-K for the year ended March 31, 2026.</w:t>
      </w:r>
    </w:p>
    <w:p>
      <w:pPr>
        <w:pStyle w:val="TextBody"/>
        <w:bidi w:val="0"/>
        <w:spacing w:before="280" w:after="283"/>
        <w:jc w:val="left"/>
        <w:rPr>
          <w:rFonts w:ascii="Times New Roman" w:hAnsi="Times New Roman"/>
          <w:sz w:val="20"/>
        </w:rPr>
      </w:pPr>
      <w:r>
        <w:rPr>
          <w:rFonts w:ascii="Arial" w:hAnsi="Arial"/>
          <w:b/>
          <w:color w:val="000000"/>
          <w:sz w:val="20"/>
        </w:rPr>
        <w:t>Sources of Revenues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Our communication services segment revenues are primarily derived from our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pStyle w:val="TextBody"/>
        <w:bidi w:val="0"/>
        <w:spacing w:before="80" w:after="283"/>
        <w:jc w:val="left"/>
        <w:rPr>
          <w:rFonts w:ascii="Arial" w:hAnsi="Arial"/>
          <w:color w:val="000000"/>
          <w:sz w:val="20"/>
        </w:rPr>
      </w:pPr>
      <w:r>
        <w:rPr>
          <w:rFonts w:ascii="Arial" w:hAnsi="Arial"/>
          <w:color w:val="000000"/>
          <w:sz w:val="20"/>
        </w:rPr>
        <w:t>Our defense and advanced technologies segment revenues are primarily derived from products and services in our information security and cyber defense, space and mission systems, tactical networking, and advanced technologies and other business lines, which are provided to government and commercial customers.</w:t>
      </w:r>
    </w:p>
    <w:p>
      <w:pPr>
        <w:pStyle w:val="TextBody"/>
        <w:bidi w:val="0"/>
        <w:spacing w:before="80" w:after="283"/>
        <w:jc w:val="left"/>
        <w:rPr>
          <w:rFonts w:ascii="Arial" w:hAnsi="Arial"/>
          <w:color w:val="000000"/>
          <w:sz w:val="20"/>
        </w:rPr>
      </w:pPr>
      <w:r>
        <w:rPr>
          <w:rFonts w:ascii="Arial" w:hAnsi="Arial"/>
          <w:color w:val="000000"/>
          <w:sz w:val="20"/>
        </w:rPr>
        <w:t>Almost all of our revenues are derived from fixed-price contracts (which require us to provide products and services under a contract at a specified price), which are reported in both of our segments. The remainder of our revenues is primarily from cost-reimbursement contracts (under which we are reimbursed for all actual costs incurred in performing the contract to the extent such costs are within the contract ceiling and allowable under the terms of the contract, plus a fee or profit), which are mainly reported within our defense and advanced technologies segment.</w:t>
      </w:r>
    </w:p>
    <w:p>
      <w:pPr>
        <w:pStyle w:val="TextBody"/>
        <w:bidi w:val="0"/>
        <w:spacing w:before="180" w:after="283"/>
        <w:jc w:val="left"/>
        <w:rPr>
          <w:rFonts w:ascii="Arial" w:hAnsi="Arial"/>
          <w:color w:val="000000"/>
          <w:sz w:val="20"/>
        </w:rPr>
      </w:pPr>
      <w:r>
        <w:rPr>
          <w:rFonts w:ascii="Arial" w:hAnsi="Arial"/>
          <w:color w:val="000000"/>
          <w:sz w:val="20"/>
        </w:rPr>
        <w:t>Historically, a portion of our revenues has been derived from customer contracts that include the development of products, mainly reported within the defense and advanced technologies segment.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 Basis of Presentation to our condensed consolidated financial statements for additional information.</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To date, our ability to grow and maintain our revenues in each of our communication services and defense and advanced technologies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Revenue recognition</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our revenues, such as sales taxes and value added taxes, are excluded from net sales.</w:t>
      </w:r>
    </w:p>
    <w:p>
      <w:pPr>
        <w:pStyle w:val="TextBody"/>
        <w:bidi w:val="0"/>
        <w:spacing w:before="180" w:after="283"/>
        <w:jc w:val="left"/>
        <w:rPr>
          <w:rFonts w:ascii="Times New Roman" w:hAnsi="Times New Roman"/>
          <w:sz w:val="20"/>
        </w:rPr>
      </w:pPr>
      <w:r>
        <w:rPr>
          <w:rFonts w:ascii="Arial" w:hAnsi="Arial"/>
          <w:color w:val="000000"/>
          <w:sz w:val="20"/>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customers as part of the delivery of connectivity services represents a lease in accordance with the authoritative guidance for leases (Accounting Standards Codification (ASC) 842). As discussed in Note 1 — Basis of Presentation –</w:t>
      </w:r>
      <w:r>
        <w:rPr>
          <w:rFonts w:ascii="Times New Roman" w:hAnsi="Times New Roman"/>
          <w:color w:val="000000"/>
          <w:sz w:val="20"/>
        </w:rPr>
        <w:t xml:space="preserve"> </w:t>
      </w:r>
      <w:r>
        <w:rPr>
          <w:rFonts w:ascii="Arial" w:hAnsi="Arial"/>
          <w:color w:val="000000"/>
          <w:sz w:val="20"/>
        </w:rPr>
        <w:t>Leases</w:t>
      </w:r>
      <w:r>
        <w:rPr>
          <w:rFonts w:ascii="Times New Roman" w:hAnsi="Times New Roman"/>
          <w:color w:val="000000"/>
          <w:sz w:val="20"/>
        </w:rPr>
        <w:t xml:space="preserve"> </w:t>
      </w:r>
      <w:r>
        <w:rPr>
          <w:rFonts w:ascii="Arial" w:hAnsi="Arial"/>
          <w:color w:val="000000"/>
          <w:sz w:val="20"/>
        </w:rPr>
        <w:t>to our condensed consolidated financial statements, for broadband equipment leased to customers in conjunction with the delivery of connectivity services, we account for the lease and non-lease components of connectivity service arrangements as a single performance obligation as the connectivity services represent the predominant component.</w:t>
      </w:r>
    </w:p>
    <w:p>
      <w:pPr>
        <w:pStyle w:val="TextBody"/>
        <w:bidi w:val="0"/>
        <w:spacing w:before="180" w:after="283"/>
        <w:jc w:val="left"/>
        <w:rPr>
          <w:rFonts w:ascii="Arial" w:hAnsi="Arial"/>
          <w:color w:val="000000"/>
          <w:sz w:val="20"/>
        </w:rPr>
      </w:pPr>
      <w:r>
        <w:rPr>
          <w:rFonts w:ascii="Arial" w:hAnsi="Arial"/>
          <w:color w:val="000000"/>
          <w:sz w:val="20"/>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pStyle w:val="TextBody"/>
        <w:bidi w:val="0"/>
        <w:spacing w:before="180" w:after="283"/>
        <w:jc w:val="left"/>
        <w:rPr>
          <w:rFonts w:ascii="Arial" w:hAnsi="Arial"/>
          <w:color w:val="000000"/>
          <w:sz w:val="20"/>
        </w:rPr>
      </w:pPr>
      <w:r>
        <w:rPr>
          <w:rFonts w:ascii="Arial" w:hAnsi="Arial"/>
          <w:color w:val="000000"/>
          <w:sz w:val="20"/>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June 30, 2026 would change our income (loss) before income taxes by an insignificant amount.</w:t>
      </w:r>
    </w:p>
    <w:p>
      <w:pPr>
        <w:pStyle w:val="TextBody"/>
        <w:bidi w:val="0"/>
        <w:spacing w:before="180" w:after="283"/>
        <w:jc w:val="left"/>
        <w:rPr>
          <w:rFonts w:ascii="Arial" w:hAnsi="Arial"/>
          <w:color w:val="000000"/>
          <w:sz w:val="20"/>
        </w:rPr>
      </w:pPr>
      <w:r>
        <w:rPr>
          <w:rFonts w:ascii="Arial" w:hAnsi="Arial"/>
          <w:color w:val="000000"/>
          <w:sz w:val="20"/>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pStyle w:val="TextBody"/>
        <w:bidi w:val="0"/>
        <w:spacing w:before="280" w:after="283"/>
        <w:jc w:val="left"/>
        <w:rPr>
          <w:rFonts w:ascii="Times New Roman" w:hAnsi="Times New Roman"/>
          <w:sz w:val="20"/>
        </w:rPr>
      </w:pPr>
      <w:r>
        <w:rPr>
          <w:rFonts w:ascii="Arial" w:hAnsi="Arial"/>
          <w:b/>
          <w:i/>
          <w:color w:val="000000"/>
          <w:sz w:val="20"/>
        </w:rPr>
        <w:t>Property, equipment and satellites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Property, equipment and satellites, net includes our owned and leased satellites and the associated earth stations and networking equipment, as well as the customer premise equipment units which are leased to customers as part of our communication services segment.</w:t>
      </w:r>
    </w:p>
    <w:p>
      <w:pPr>
        <w:pStyle w:val="TextBody"/>
        <w:bidi w:val="0"/>
        <w:spacing w:before="180" w:after="283"/>
        <w:jc w:val="left"/>
        <w:rPr>
          <w:rFonts w:ascii="Arial" w:hAnsi="Arial"/>
          <w:color w:val="000000"/>
          <w:sz w:val="20"/>
        </w:rPr>
      </w:pPr>
      <w:r>
        <w:rPr>
          <w:rFonts w:ascii="Arial" w:hAnsi="Arial"/>
          <w:color w:val="000000"/>
          <w:sz w:val="20"/>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commercial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pStyle w:val="TextBody"/>
        <w:bidi w:val="0"/>
        <w:spacing w:before="280" w:after="283"/>
        <w:jc w:val="left"/>
        <w:rPr>
          <w:rFonts w:ascii="Arial" w:hAnsi="Arial"/>
          <w:b/>
          <w:i/>
          <w:color w:val="000000"/>
          <w:sz w:val="20"/>
        </w:rPr>
      </w:pPr>
      <w:r>
        <w:rPr>
          <w:rFonts w:ascii="Arial" w:hAnsi="Arial"/>
          <w:b/>
          <w:i/>
          <w:color w:val="000000"/>
          <w:sz w:val="20"/>
        </w:rPr>
        <w:t>Leases</w:t>
      </w:r>
    </w:p>
    <w:p>
      <w:pPr>
        <w:pStyle w:val="TextBody"/>
        <w:bidi w:val="0"/>
        <w:spacing w:before="80" w:after="283"/>
        <w:jc w:val="left"/>
        <w:rPr>
          <w:rFonts w:ascii="Times New Roman" w:hAnsi="Times New Roman"/>
          <w:sz w:val="20"/>
        </w:rPr>
      </w:pPr>
      <w:r>
        <w:rPr>
          <w:rFonts w:ascii="Arial" w:hAnsi="Arial"/>
          <w:color w:val="000000"/>
          <w:sz w:val="20"/>
        </w:rPr>
        <w:t>In accordance with the authoritative guidance for leases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For broadband equipment leased to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with ASC 606. We are also a lessor for certain insignificant communications equipment. These leases meet the criteria for operating lease classification. Lease income associated with these leases is not material.</w:t>
      </w:r>
    </w:p>
    <w:p>
      <w:pPr>
        <w:pStyle w:val="TextBody"/>
        <w:bidi w:val="0"/>
        <w:spacing w:before="280" w:after="283"/>
        <w:jc w:val="left"/>
        <w:rPr>
          <w:rFonts w:ascii="Times New Roman" w:hAnsi="Times New Roman"/>
          <w:sz w:val="20"/>
        </w:rPr>
      </w:pPr>
      <w:r>
        <w:rPr>
          <w:rFonts w:ascii="Arial" w:hAnsi="Arial"/>
          <w:b/>
          <w:i/>
          <w:color w:val="000000"/>
          <w:sz w:val="20"/>
        </w:rPr>
        <w:t>Impairment of long-lived and other long-term assets (property, equipment and satellites, and other assets, including goodwill)</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for the three months ended June 30, 2026 and 2025.</w:t>
      </w:r>
    </w:p>
    <w:p>
      <w:pPr>
        <w:pStyle w:val="TextBody"/>
        <w:bidi w:val="0"/>
        <w:spacing w:before="180" w:after="283"/>
        <w:jc w:val="left"/>
        <w:rPr>
          <w:rFonts w:ascii="Arial" w:hAnsi="Arial"/>
          <w:color w:val="000000"/>
          <w:sz w:val="20"/>
        </w:rPr>
      </w:pPr>
      <w:r>
        <w:rPr>
          <w:rFonts w:ascii="Arial" w:hAnsi="Arial"/>
          <w:color w:val="000000"/>
          <w:sz w:val="20"/>
        </w:rPr>
        <w:t>We account for our goodwill under the authoritative guidance for goodwill and other intangible assets (ASC 350).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pStyle w:val="TextBody"/>
        <w:bidi w:val="0"/>
        <w:spacing w:before="180" w:after="283"/>
        <w:jc w:val="left"/>
        <w:rPr>
          <w:rFonts w:ascii="Arial" w:hAnsi="Arial"/>
          <w:color w:val="000000"/>
          <w:sz w:val="20"/>
        </w:rPr>
      </w:pPr>
      <w:r>
        <w:rPr>
          <w:rFonts w:ascii="Arial" w:hAnsi="Arial"/>
          <w:color w:val="000000"/>
          <w:sz w:val="20"/>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pStyle w:val="TextBody"/>
        <w:bidi w:val="0"/>
        <w:spacing w:before="180" w:after="283"/>
        <w:jc w:val="left"/>
        <w:rPr>
          <w:rFonts w:ascii="Times New Roman" w:hAnsi="Times New Roman"/>
          <w:sz w:val="20"/>
        </w:rPr>
      </w:pPr>
      <w:r>
        <w:rPr>
          <w:rFonts w:ascii="Arial" w:hAnsi="Arial"/>
          <w:color w:val="000000"/>
          <w:sz w:val="20"/>
        </w:rPr>
        <w:t>Based on our qualitative assessment performed during the fourth quarter of fiscal year 2026, we concluded that it was more likely than not that the estimated fair value of each of our reporting units exceeded their related carrying value as of March 31, 2026.</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Income taxes and valuation allowance on deferred tax assets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w:t>
      </w:r>
    </w:p>
    <w:p>
      <w:pPr>
        <w:pStyle w:val="TextBody"/>
        <w:bidi w:val="0"/>
        <w:spacing w:before="180" w:after="283"/>
        <w:jc w:val="left"/>
        <w:rPr>
          <w:rFonts w:ascii="Arial" w:hAnsi="Arial"/>
          <w:color w:val="000000"/>
          <w:sz w:val="20"/>
        </w:rPr>
      </w:pPr>
      <w:r>
        <w:rPr>
          <w:rFonts w:ascii="Arial" w:hAnsi="Arial"/>
          <w:color w:val="000000"/>
          <w:sz w:val="20"/>
        </w:rPr>
        <w:t>Our analysis of the need for a valuation allowance on deferred tax assets considered historical as well as forecasted future operating results, the reversal of temporary differences, taxable income in prior carryback years (if permitted), and the availability of tax planning strategies. Additionally, in our analysis, we also considered the fact that ASC 740 places more weight on the objectively verifiable evidence of current pre-tax losses and recent events than forecasts of future profitability.</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Accruals for uncertain tax positions are provided for in accordance with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pStyle w:val="TextBody"/>
        <w:bidi w:val="0"/>
        <w:spacing w:before="180" w:after="283"/>
        <w:jc w:val="left"/>
        <w:rPr>
          <w:rFonts w:ascii="Times New Roman" w:hAnsi="Times New Roman"/>
          <w:sz w:val="20"/>
        </w:rPr>
      </w:pPr>
      <w:r>
        <w:rPr>
          <w:rFonts w:ascii="Arial" w:hAnsi="Arial"/>
          <w:color w:val="000000"/>
          <w:sz w:val="20"/>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following table presents, as a percentage of total revenues, income statement data for the periods indicated:</w:t>
      </w:r>
      <w:r>
        <w:rPr>
          <w:rFonts w:ascii="Times New Roman" w:hAnsi="Times New Roman"/>
          <w:color w:val="000000"/>
          <w:sz w:val="20"/>
        </w:rPr>
        <w:t xml:space="preserve"> </w:t>
      </w:r>
    </w:p>
    <w:p>
      <w:pPr>
        <w:pStyle w:val="TextBody"/>
        <w:bidi w:val="0"/>
        <w:jc w:val="left"/>
        <w:rPr/>
      </w:pPr>
      <w:r>
        <w:rPr/>
        <w:t> </w:t>
      </w:r>
    </w:p>
    <w:tbl>
      <w:tblPr>
        <w:tblW w:w="7626" w:type="dxa"/>
        <w:jc w:val="left"/>
        <w:tblInd w:w="0" w:type="dxa"/>
        <w:tblLayout w:type="fixed"/>
        <w:tblCellMar>
          <w:top w:w="28" w:type="dxa"/>
          <w:left w:w="28" w:type="dxa"/>
          <w:bottom w:w="28" w:type="dxa"/>
          <w:right w:w="28" w:type="dxa"/>
        </w:tblCellMar>
      </w:tblPr>
      <w:tblGrid>
        <w:gridCol w:w="4046"/>
        <w:gridCol w:w="146"/>
        <w:gridCol w:w="300"/>
        <w:gridCol w:w="870"/>
        <w:gridCol w:w="320"/>
        <w:gridCol w:w="163"/>
        <w:gridCol w:w="300"/>
        <w:gridCol w:w="870"/>
        <w:gridCol w:w="611"/>
      </w:tblGrid>
      <w:tr>
        <w:trPr/>
        <w:tc>
          <w:tcPr>
            <w:tcW w:w="4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Independent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Viasat,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90" w:after="283"/>
        <w:jc w:val="left"/>
        <w:rPr>
          <w:rFonts w:ascii="Arial" w:hAnsi="Arial"/>
          <w:b/>
          <w:color w:val="000000"/>
          <w:sz w:val="20"/>
        </w:rPr>
      </w:pPr>
      <w:r>
        <w:rPr>
          <w:rFonts w:ascii="Arial" w:hAnsi="Arial"/>
          <w:b/>
          <w:color w:val="000000"/>
          <w:sz w:val="20"/>
        </w:rPr>
        <w:t>Three Months Ended June 30, 2026 vs. Three Months Ended June 30, 2025</w:t>
      </w:r>
    </w:p>
    <w:p>
      <w:pPr>
        <w:pStyle w:val="TextBody"/>
        <w:bidi w:val="0"/>
        <w:spacing w:before="9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7994" w:type="dxa"/>
        <w:jc w:val="left"/>
        <w:tblInd w:w="0" w:type="dxa"/>
        <w:tblLayout w:type="fixed"/>
        <w:tblCellMar>
          <w:top w:w="28" w:type="dxa"/>
          <w:left w:w="28" w:type="dxa"/>
          <w:bottom w:w="28" w:type="dxa"/>
          <w:right w:w="28" w:type="dxa"/>
        </w:tblCellMar>
      </w:tblPr>
      <w:tblGrid>
        <w:gridCol w:w="2701"/>
        <w:gridCol w:w="146"/>
        <w:gridCol w:w="211"/>
        <w:gridCol w:w="751"/>
        <w:gridCol w:w="146"/>
        <w:gridCol w:w="146"/>
        <w:gridCol w:w="211"/>
        <w:gridCol w:w="751"/>
        <w:gridCol w:w="146"/>
        <w:gridCol w:w="146"/>
        <w:gridCol w:w="264"/>
        <w:gridCol w:w="681"/>
        <w:gridCol w:w="166"/>
        <w:gridCol w:w="146"/>
        <w:gridCol w:w="346"/>
        <w:gridCol w:w="645"/>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total revenues decreased by $14.5 million as a result of a $20.6 million decrease in product revenues, partially offset by a $6.1 million increase in service revenues. The decrease in product revenues was primarily driven by a $22.4 million decrease in our defense and advanced technologies segment, partially offset by a $1.9 million increase in our communication services segment. The increase in service revenues was primarily driven by a $10.2 million increase in our defense and advanced technologies segment, partially offset by a $4.2 million decrease in our communication services segment.</w:t>
      </w:r>
    </w:p>
    <w:p>
      <w:pPr>
        <w:pStyle w:val="TextBody"/>
        <w:bidi w:val="0"/>
        <w:spacing w:before="280" w:after="283"/>
        <w:jc w:val="left"/>
        <w:rPr>
          <w:rFonts w:ascii="Times New Roman" w:hAnsi="Times New Roman"/>
          <w:sz w:val="20"/>
        </w:rPr>
      </w:pPr>
      <w:r>
        <w:rPr>
          <w:rFonts w:ascii="Arial" w:hAnsi="Arial"/>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7664" w:type="dxa"/>
        <w:jc w:val="left"/>
        <w:tblInd w:w="0" w:type="dxa"/>
        <w:tblLayout w:type="fixed"/>
        <w:tblCellMar>
          <w:top w:w="28" w:type="dxa"/>
          <w:left w:w="28" w:type="dxa"/>
          <w:bottom w:w="28" w:type="dxa"/>
          <w:right w:w="28" w:type="dxa"/>
        </w:tblCellMar>
      </w:tblPr>
      <w:tblGrid>
        <w:gridCol w:w="2701"/>
        <w:gridCol w:w="146"/>
        <w:gridCol w:w="211"/>
        <w:gridCol w:w="586"/>
        <w:gridCol w:w="146"/>
        <w:gridCol w:w="146"/>
        <w:gridCol w:w="211"/>
        <w:gridCol w:w="586"/>
        <w:gridCol w:w="146"/>
        <w:gridCol w:w="146"/>
        <w:gridCol w:w="264"/>
        <w:gridCol w:w="681"/>
        <w:gridCol w:w="166"/>
        <w:gridCol w:w="146"/>
        <w:gridCol w:w="346"/>
        <w:gridCol w:w="645"/>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Cost of revenues decreased by $17.9 million due to decreases of $15.1 million in cost of service revenues and $2.8 million in cost of product revenues. The decrease in cost of service revenues was primarily driven by improved margins, mainly in our communication services segment. The decrease in cost of product revenues was due to product revenue decline, partially offset by a change in margins, mainly in our defense and advanced technologies segment, as product revenues in this segment included a higher percentage of intellectual property licensing and royalty-based revenues in the prior year period, which had relatively low costs of product revenues.</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i/>
          <w:color w:val="000000"/>
          <w:sz w:val="20"/>
        </w:rPr>
        <w:t>Selling, general and administrative expenses</w:t>
      </w:r>
      <w:r>
        <w:rPr>
          <w:rFonts w:ascii="Times New Roman" w:hAnsi="Times New Roman"/>
          <w:color w:val="000000"/>
          <w:sz w:val="20"/>
        </w:rPr>
        <w:t xml:space="preserve"> </w:t>
      </w:r>
    </w:p>
    <w:p>
      <w:pPr>
        <w:pStyle w:val="TextBody"/>
        <w:bidi w:val="0"/>
        <w:jc w:val="left"/>
        <w:rPr/>
      </w:pPr>
      <w:r>
        <w:rPr/>
        <w:t> </w:t>
      </w:r>
    </w:p>
    <w:tbl>
      <w:tblPr>
        <w:tblW w:w="8069" w:type="dxa"/>
        <w:jc w:val="left"/>
        <w:tblInd w:w="0" w:type="dxa"/>
        <w:tblLayout w:type="fixed"/>
        <w:tblCellMar>
          <w:top w:w="28" w:type="dxa"/>
          <w:left w:w="28" w:type="dxa"/>
          <w:bottom w:w="28" w:type="dxa"/>
          <w:right w:w="28" w:type="dxa"/>
        </w:tblCellMar>
      </w:tblPr>
      <w:tblGrid>
        <w:gridCol w:w="3106"/>
        <w:gridCol w:w="146"/>
        <w:gridCol w:w="211"/>
        <w:gridCol w:w="586"/>
        <w:gridCol w:w="146"/>
        <w:gridCol w:w="146"/>
        <w:gridCol w:w="211"/>
        <w:gridCol w:w="586"/>
        <w:gridCol w:w="146"/>
        <w:gridCol w:w="146"/>
        <w:gridCol w:w="307"/>
        <w:gridCol w:w="638"/>
        <w:gridCol w:w="166"/>
        <w:gridCol w:w="146"/>
        <w:gridCol w:w="346"/>
        <w:gridCol w:w="645"/>
        <w:gridCol w:w="3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$7.8 million decrease in selling, general and administrative (SG&amp;A) expenses was primarily driven by an $8.9 million decrease in support costs, mainly in our communication services segment. SG&amp;A expenses consisted primarily of personnel costs and expenses for business development, marketing and sales, bid and proposal, acquisition and transaction related expenses, facilities, finance, contract administration and general management.</w:t>
      </w:r>
    </w:p>
    <w:p>
      <w:pPr>
        <w:pStyle w:val="TextBody"/>
        <w:bidi w:val="0"/>
        <w:spacing w:before="280" w:after="283"/>
        <w:jc w:val="left"/>
        <w:rPr>
          <w:rFonts w:ascii="Times New Roman" w:hAnsi="Times New Roman"/>
          <w:sz w:val="20"/>
        </w:rPr>
      </w:pPr>
      <w:r>
        <w:rPr>
          <w:rFonts w:ascii="Arial" w:hAnsi="Arial"/>
          <w:i/>
          <w:color w:val="000000"/>
          <w:sz w:val="20"/>
        </w:rPr>
        <w:t>Independent research and development</w:t>
      </w:r>
      <w:r>
        <w:rPr>
          <w:rFonts w:ascii="Times New Roman" w:hAnsi="Times New Roman"/>
          <w:color w:val="000000"/>
          <w:sz w:val="20"/>
        </w:rPr>
        <w:t xml:space="preserve"> </w:t>
      </w:r>
    </w:p>
    <w:p>
      <w:pPr>
        <w:pStyle w:val="TextBody"/>
        <w:bidi w:val="0"/>
        <w:jc w:val="left"/>
        <w:rPr/>
      </w:pPr>
      <w:r>
        <w:rPr/>
        <w:t> </w:t>
      </w:r>
    </w:p>
    <w:tbl>
      <w:tblPr>
        <w:tblW w:w="8372" w:type="dxa"/>
        <w:jc w:val="left"/>
        <w:tblInd w:w="0" w:type="dxa"/>
        <w:tblLayout w:type="fixed"/>
        <w:tblCellMar>
          <w:top w:w="28" w:type="dxa"/>
          <w:left w:w="28" w:type="dxa"/>
          <w:bottom w:w="28" w:type="dxa"/>
          <w:right w:w="28" w:type="dxa"/>
        </w:tblCellMar>
      </w:tblPr>
      <w:tblGrid>
        <w:gridCol w:w="3541"/>
        <w:gridCol w:w="146"/>
        <w:gridCol w:w="233"/>
        <w:gridCol w:w="532"/>
        <w:gridCol w:w="152"/>
        <w:gridCol w:w="152"/>
        <w:gridCol w:w="233"/>
        <w:gridCol w:w="532"/>
        <w:gridCol w:w="146"/>
        <w:gridCol w:w="146"/>
        <w:gridCol w:w="288"/>
        <w:gridCol w:w="657"/>
        <w:gridCol w:w="146"/>
        <w:gridCol w:w="146"/>
        <w:gridCol w:w="313"/>
        <w:gridCol w:w="678"/>
        <w:gridCol w:w="33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Independent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$11.3 million increase in independent research and development (IR&amp;D) expenses was primarily a result of increased IR&amp;D efforts supporting multi-orbit initiatives in our communication services segment.</w:t>
      </w:r>
    </w:p>
    <w:p>
      <w:pPr>
        <w:pStyle w:val="TextBody"/>
        <w:bidi w:val="0"/>
        <w:spacing w:before="280" w:after="283"/>
        <w:jc w:val="left"/>
        <w:rPr>
          <w:rFonts w:ascii="Times New Roman" w:hAnsi="Times New Roman"/>
          <w:sz w:val="20"/>
        </w:rPr>
      </w:pPr>
      <w:r>
        <w:rPr>
          <w:rFonts w:ascii="Arial" w:hAnsi="Arial"/>
          <w:i/>
          <w:color w:val="000000"/>
          <w:sz w:val="20"/>
        </w:rPr>
        <w:t>Amortization of acquired intangible assets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We amortize our acquired intangible assets from prior acquisitions over their estimated useful lives, which range from two to 12 years. Amortization of acquired intangible assets remained relatively flat year-over-year.</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i/>
          <w:color w:val="000000"/>
          <w:sz w:val="20"/>
        </w:rPr>
        <w:t>Interest income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Interest income remained relatively flat year-over-year.</w:t>
      </w:r>
    </w:p>
    <w:p>
      <w:pPr>
        <w:pStyle w:val="TextBody"/>
        <w:bidi w:val="0"/>
        <w:spacing w:before="280" w:after="283"/>
        <w:jc w:val="left"/>
        <w:rPr>
          <w:rFonts w:ascii="Times New Roman" w:hAnsi="Times New Roman"/>
          <w:sz w:val="20"/>
        </w:rPr>
      </w:pPr>
      <w:r>
        <w:rPr>
          <w:rFonts w:ascii="Arial" w:hAnsi="Arial"/>
          <w:i/>
          <w:color w:val="000000"/>
          <w:sz w:val="20"/>
        </w:rPr>
        <w:t>Interest expense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$18.1 million decrease in interest expense for the three months ended June 30, 2026 compared to the prior year period was primarily a result of our decreased level of indebtedness compared to the prior year period, as the aggregate principal amount of our total outstanding indebtedness was $6.6 billion as of June 30, 2026 compared to $6.7 billion as of June 30, 2025 (see Note 6 — Senior Notes and Other Long-Term Debt to our condensed consolidated financial statements for further information), in addition to the increase in capitalized interest.</w:t>
      </w:r>
    </w:p>
    <w:p>
      <w:pPr>
        <w:pStyle w:val="TextBody"/>
        <w:bidi w:val="0"/>
        <w:spacing w:before="280" w:after="283"/>
        <w:jc w:val="left"/>
        <w:rPr>
          <w:rFonts w:ascii="Times New Roman" w:hAnsi="Times New Roman"/>
          <w:sz w:val="20"/>
        </w:rPr>
      </w:pPr>
      <w:r>
        <w:rPr>
          <w:rFonts w:ascii="Arial" w:hAnsi="Arial"/>
          <w:i/>
          <w:color w:val="000000"/>
          <w:sz w:val="20"/>
        </w:rPr>
        <w:t>Income taxes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For the three months ended June 30, 2026, we recorded an income tax provision of $23.1 million, resulting in an effective tax rate of negative 116%. The effective tax rate for the period differed from the U.S. statutory rate primarily due to a U.S. valuation allowance, foreign tax rate differences and foreign tax audit adjustments.</w:t>
      </w:r>
    </w:p>
    <w:p>
      <w:pPr>
        <w:pStyle w:val="TextBody"/>
        <w:bidi w:val="0"/>
        <w:spacing w:before="80" w:after="283"/>
        <w:jc w:val="left"/>
        <w:rPr>
          <w:rFonts w:ascii="Arial" w:hAnsi="Arial"/>
          <w:color w:val="000000"/>
          <w:sz w:val="20"/>
        </w:rPr>
      </w:pPr>
      <w:r>
        <w:rPr>
          <w:rFonts w:ascii="Arial" w:hAnsi="Arial"/>
          <w:color w:val="000000"/>
          <w:sz w:val="20"/>
        </w:rPr>
        <w:t>For the three months ended June 30, 2025, we recorded an income tax provision of $6.6 million, resulting in an effective tax rate of negative 15%. The effective tax rate for the period differed from the U.S. statutory rate primarily due to a U.S. valuation allowance and foreign tax rate differences.</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b/>
          <w:color w:val="000000"/>
          <w:sz w:val="20"/>
        </w:rPr>
      </w:pPr>
      <w:r>
        <w:rPr>
          <w:rFonts w:ascii="Arial" w:hAnsi="Arial"/>
          <w:b/>
          <w:color w:val="000000"/>
          <w:sz w:val="20"/>
        </w:rPr>
        <w:t>Segment Results for the Three Months Ended June 30, 2026 vs. Three Months Ended June 30, 2025</w:t>
      </w:r>
    </w:p>
    <w:p>
      <w:pPr>
        <w:pStyle w:val="TextBody"/>
        <w:bidi w:val="0"/>
        <w:spacing w:before="80" w:after="283"/>
        <w:jc w:val="left"/>
        <w:rPr>
          <w:rFonts w:ascii="Times New Roman" w:hAnsi="Times New Roman"/>
          <w:sz w:val="20"/>
        </w:rPr>
      </w:pPr>
      <w:r>
        <w:rPr>
          <w:rFonts w:ascii="Arial" w:hAnsi="Arial"/>
          <w:b/>
          <w:i/>
          <w:color w:val="000000"/>
          <w:sz w:val="20"/>
        </w:rPr>
        <w:t>Communication services segment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7664" w:type="dxa"/>
        <w:jc w:val="left"/>
        <w:tblInd w:w="0" w:type="dxa"/>
        <w:tblLayout w:type="fixed"/>
        <w:tblCellMar>
          <w:top w:w="28" w:type="dxa"/>
          <w:left w:w="28" w:type="dxa"/>
          <w:bottom w:w="28" w:type="dxa"/>
          <w:right w:w="28" w:type="dxa"/>
        </w:tblCellMar>
      </w:tblPr>
      <w:tblGrid>
        <w:gridCol w:w="2701"/>
        <w:gridCol w:w="146"/>
        <w:gridCol w:w="211"/>
        <w:gridCol w:w="586"/>
        <w:gridCol w:w="146"/>
        <w:gridCol w:w="146"/>
        <w:gridCol w:w="211"/>
        <w:gridCol w:w="586"/>
        <w:gridCol w:w="146"/>
        <w:gridCol w:w="146"/>
        <w:gridCol w:w="307"/>
        <w:gridCol w:w="638"/>
        <w:gridCol w:w="166"/>
        <w:gridCol w:w="146"/>
        <w:gridCol w:w="294"/>
        <w:gridCol w:w="697"/>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communication services segment revenues decreased by $2.3 million due to a $4.2 million decrease in segment service revenues, partially offset by a $1.9 million increase in segment product revenues. The decrease in segment service revenues was primarily due to a $47.3 million decrease in fixed services and other and an $8.3 million decrease in maritime, mostly offset by a $31.5 million increase in aviation and a $20.0 million increase in government satcom. We continued to allocate a greater proportion of our bandwidth to our IFC business in preference to our U.S. fixed services business due to bandwidth constraints. Additionally, the IFC service revenue increase was driven primarily by the increase in the number of commercial aircraft receiving our in-flight services through our IFC systems, with our IFC systems installed and in service on approximately 4,630 commercial aircraft (of which approximately 100 were inactive mostly due to standard aircraft maintenance) as of June 30, 2026, compared to approximately 4,230 commercial aircraft (of which approximately 100 were inactive mostly due to standard aircraft maintenance) as of June 30, 2025.</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Segment operating profit (loss)</w:t>
      </w:r>
    </w:p>
    <w:p>
      <w:pPr>
        <w:pStyle w:val="TextBody"/>
        <w:bidi w:val="0"/>
        <w:jc w:val="left"/>
        <w:rPr/>
      </w:pPr>
      <w:r>
        <w:rPr/>
        <w:t> </w:t>
      </w:r>
    </w:p>
    <w:tbl>
      <w:tblPr>
        <w:tblW w:w="8100" w:type="dxa"/>
        <w:jc w:val="left"/>
        <w:tblInd w:w="0" w:type="dxa"/>
        <w:tblLayout w:type="fixed"/>
        <w:tblCellMar>
          <w:top w:w="28" w:type="dxa"/>
          <w:left w:w="28" w:type="dxa"/>
          <w:bottom w:w="28" w:type="dxa"/>
          <w:right w:w="28" w:type="dxa"/>
        </w:tblCellMar>
      </w:tblPr>
      <w:tblGrid>
        <w:gridCol w:w="3001"/>
        <w:gridCol w:w="146"/>
        <w:gridCol w:w="233"/>
        <w:gridCol w:w="532"/>
        <w:gridCol w:w="286"/>
        <w:gridCol w:w="146"/>
        <w:gridCol w:w="233"/>
        <w:gridCol w:w="532"/>
        <w:gridCol w:w="286"/>
        <w:gridCol w:w="146"/>
        <w:gridCol w:w="288"/>
        <w:gridCol w:w="657"/>
        <w:gridCol w:w="146"/>
        <w:gridCol w:w="146"/>
        <w:gridCol w:w="313"/>
        <w:gridCol w:w="678"/>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increase in our communication services segment operating profit was primarily due to higher earnings contributions of $19.7 million, reflecting higher service revenue margins. Additionally, we experienced a decrease of $11.1 million in SG&amp;A costs, partially offset by a $9.3 million increase in IR&amp;D efforts supporting multi-orbit initiatives.</w:t>
      </w:r>
    </w:p>
    <w:p>
      <w:pPr>
        <w:pStyle w:val="TextBody"/>
        <w:bidi w:val="0"/>
        <w:spacing w:before="280" w:after="283"/>
        <w:jc w:val="left"/>
        <w:rPr>
          <w:rFonts w:ascii="Times New Roman" w:hAnsi="Times New Roman"/>
          <w:sz w:val="20"/>
        </w:rPr>
      </w:pPr>
      <w:r>
        <w:rPr>
          <w:rFonts w:ascii="Arial" w:hAnsi="Arial"/>
          <w:b/>
          <w:i/>
          <w:color w:val="000000"/>
          <w:sz w:val="20"/>
        </w:rPr>
        <w:t>Defense and advanced technologies segment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7664" w:type="dxa"/>
        <w:jc w:val="left"/>
        <w:tblInd w:w="0" w:type="dxa"/>
        <w:tblLayout w:type="fixed"/>
        <w:tblCellMar>
          <w:top w:w="28" w:type="dxa"/>
          <w:left w:w="28" w:type="dxa"/>
          <w:bottom w:w="28" w:type="dxa"/>
          <w:right w:w="28" w:type="dxa"/>
        </w:tblCellMar>
      </w:tblPr>
      <w:tblGrid>
        <w:gridCol w:w="2701"/>
        <w:gridCol w:w="146"/>
        <w:gridCol w:w="211"/>
        <w:gridCol w:w="586"/>
        <w:gridCol w:w="146"/>
        <w:gridCol w:w="146"/>
        <w:gridCol w:w="211"/>
        <w:gridCol w:w="586"/>
        <w:gridCol w:w="146"/>
        <w:gridCol w:w="146"/>
        <w:gridCol w:w="264"/>
        <w:gridCol w:w="681"/>
        <w:gridCol w:w="166"/>
        <w:gridCol w:w="146"/>
        <w:gridCol w:w="313"/>
        <w:gridCol w:w="678"/>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defense and advanced technologies segment revenues decreased by $12.2 million due to a $22.4 million decrease in segment product revenues, partially offset by a $10.2 million increase in segment service revenues. The decrease in segment product revenues was primarily driven by decreases of $21.1 million in space and mission systems, $17.5 million in advanced technologies and other and $8.2 million in information security and cyber defense, partially offset by a $24.3 million increase in tactical networking. The increase in segment service revenues was primarily driven by an increase of $5.4 million in space and mission systems.</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i/>
          <w:color w:val="000000"/>
          <w:sz w:val="20"/>
        </w:rPr>
        <w:t>Segment operating profit (loss)</w:t>
      </w:r>
      <w:r>
        <w:rPr>
          <w:rFonts w:ascii="Times New Roman" w:hAnsi="Times New Roman"/>
          <w:color w:val="000000"/>
          <w:sz w:val="20"/>
        </w:rPr>
        <w:t xml:space="preserve"> </w:t>
      </w:r>
    </w:p>
    <w:p>
      <w:pPr>
        <w:pStyle w:val="TextBody"/>
        <w:bidi w:val="0"/>
        <w:jc w:val="left"/>
        <w:rPr/>
      </w:pPr>
      <w:r>
        <w:rPr/>
        <w:t> </w:t>
      </w:r>
    </w:p>
    <w:tbl>
      <w:tblPr>
        <w:tblW w:w="8180" w:type="dxa"/>
        <w:jc w:val="left"/>
        <w:tblInd w:w="0" w:type="dxa"/>
        <w:tblLayout w:type="fixed"/>
        <w:tblCellMar>
          <w:top w:w="28" w:type="dxa"/>
          <w:left w:w="28" w:type="dxa"/>
          <w:bottom w:w="28" w:type="dxa"/>
          <w:right w:w="28" w:type="dxa"/>
        </w:tblCellMar>
      </w:tblPr>
      <w:tblGrid>
        <w:gridCol w:w="3001"/>
        <w:gridCol w:w="146"/>
        <w:gridCol w:w="233"/>
        <w:gridCol w:w="532"/>
        <w:gridCol w:w="286"/>
        <w:gridCol w:w="146"/>
        <w:gridCol w:w="233"/>
        <w:gridCol w:w="532"/>
        <w:gridCol w:w="286"/>
        <w:gridCol w:w="146"/>
        <w:gridCol w:w="264"/>
        <w:gridCol w:w="681"/>
        <w:gridCol w:w="166"/>
        <w:gridCol w:w="146"/>
        <w:gridCol w:w="277"/>
        <w:gridCol w:w="714"/>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decrease in our defense and advanced technologies segment operating profit was primarily due to lower earnings contributions of $16.3 million, reflecting segment product revenue decline and a change in margins, as product revenues in this segment included a higher percentage of intellectual property licensing and royalty-based revenues in the prior year period, which had relatively low costs of product revenues.</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b/>
          <w:color w:val="000000"/>
          <w:sz w:val="20"/>
        </w:rPr>
      </w:pPr>
      <w:r>
        <w:rPr>
          <w:rFonts w:ascii="Arial" w:hAnsi="Arial"/>
          <w:b/>
          <w:color w:val="000000"/>
          <w:sz w:val="20"/>
        </w:rPr>
        <w:t>Backlog</w:t>
      </w:r>
    </w:p>
    <w:p>
      <w:pPr>
        <w:pStyle w:val="TextBody"/>
        <w:bidi w:val="0"/>
        <w:spacing w:before="80" w:after="283"/>
        <w:jc w:val="left"/>
        <w:rPr>
          <w:rFonts w:ascii="Arial" w:hAnsi="Arial"/>
          <w:color w:val="000000"/>
          <w:sz w:val="20"/>
        </w:rPr>
      </w:pPr>
      <w:r>
        <w:rPr>
          <w:rFonts w:ascii="Arial" w:hAnsi="Arial"/>
          <w:color w:val="000000"/>
          <w:sz w:val="20"/>
        </w:rPr>
        <w:t>Our firm and funded backlog as of June 30, 2026 is reflected in the table below:</w:t>
      </w:r>
    </w:p>
    <w:p>
      <w:pPr>
        <w:pStyle w:val="TextBody"/>
        <w:bidi w:val="0"/>
        <w:jc w:val="left"/>
        <w:rPr/>
      </w:pPr>
      <w:r>
        <w:rPr/>
        <w:t> </w:t>
      </w:r>
    </w:p>
    <w:tbl>
      <w:tblPr>
        <w:tblW w:w="5243" w:type="dxa"/>
        <w:jc w:val="left"/>
        <w:tblInd w:w="0" w:type="dxa"/>
        <w:tblLayout w:type="fixed"/>
        <w:tblCellMar>
          <w:top w:w="28" w:type="dxa"/>
          <w:left w:w="28" w:type="dxa"/>
          <w:bottom w:w="28" w:type="dxa"/>
          <w:right w:w="28" w:type="dxa"/>
        </w:tblCellMar>
      </w:tblPr>
      <w:tblGrid>
        <w:gridCol w:w="3271"/>
        <w:gridCol w:w="146"/>
        <w:gridCol w:w="358"/>
        <w:gridCol w:w="1277"/>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Firm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Communication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 and advanced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Funded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Communication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 and advanced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The firm backlog does not include contract options. As of June 30, 2026, approximately half of the firm backlog is expected to be delivered during the next 12 months, with the balance delivered thereafter. We include in our backlog only those orders for which we have accepted purchase orders, and not anticipated purchase orders and requests. In our communication services segment, our backlog includes fixed broadband service revenues under our subscriber agreements, but does not include future recurring IFC service revenues under our agreements with commercial airlines. As of June 30, 2026, our IFC systems were installed and in service on approximately 4,630 commercial aircraft, of which approximately 100 were inactive at quarter end (mostly due to standard aircraft maintenance). We anticipate that approximately 850 additional commercial aircraft will be put into service with our IFC systems under existing customer agreements with commercial airlines. Due to the nature of commercial airline contracts and other factors such as OEM delays, there can be no assurance that all anticipated purchase orders and requests will be placed or that anticipated IFC services will be activated on all such additional commercial aircraft.</w:t>
      </w:r>
    </w:p>
    <w:p>
      <w:pPr>
        <w:pStyle w:val="TextBody"/>
        <w:bidi w:val="0"/>
        <w:spacing w:before="180" w:after="283"/>
        <w:jc w:val="left"/>
        <w:rPr>
          <w:rFonts w:ascii="Arial" w:hAnsi="Arial"/>
          <w:color w:val="000000"/>
          <w:sz w:val="20"/>
        </w:rPr>
      </w:pPr>
      <w:r>
        <w:rPr>
          <w:rFonts w:ascii="Arial" w:hAnsi="Arial"/>
          <w:color w:val="000000"/>
          <w:sz w:val="20"/>
        </w:rPr>
        <w:t>Our total new awards, which exclude future revenue under recurring consumer commitment arrangements, were approximately $1.3 billion and $1.2 billion for the three months ended June 30, 2026 and 2025, respectively.</w:t>
      </w:r>
    </w:p>
    <w:p>
      <w:pPr>
        <w:pStyle w:val="TextBody"/>
        <w:bidi w:val="0"/>
        <w:spacing w:before="180" w:after="283"/>
        <w:jc w:val="left"/>
        <w:rPr>
          <w:rFonts w:ascii="Arial" w:hAnsi="Arial"/>
          <w:color w:val="000000"/>
          <w:sz w:val="20"/>
        </w:rPr>
      </w:pPr>
      <w:r>
        <w:rPr>
          <w:rFonts w:ascii="Arial" w:hAnsi="Arial"/>
          <w:color w:val="000000"/>
          <w:sz w:val="20"/>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the termination of the related contract.</w:t>
      </w:r>
    </w:p>
    <w:p>
      <w:pPr>
        <w:pStyle w:val="TextBody"/>
        <w:bidi w:val="0"/>
        <w:spacing w:before="180" w:after="283"/>
        <w:jc w:val="left"/>
        <w:rPr>
          <w:rFonts w:ascii="Times New Roman" w:hAnsi="Times New Roman"/>
          <w:sz w:val="20"/>
        </w:rPr>
      </w:pPr>
      <w:r>
        <w:rPr>
          <w:rFonts w:ascii="Arial" w:hAnsi="Arial"/>
          <w:color w:val="000000"/>
          <w:sz w:val="20"/>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r>
        <w:rPr>
          <w:rFonts w:ascii="Times New Roman" w:hAnsi="Times New Roman"/>
          <w:color w:val="000000"/>
          <w:sz w:val="20"/>
        </w:rPr>
        <w:t xml:space="preserve"> </w:t>
      </w:r>
    </w:p>
    <w:p>
      <w:pPr>
        <w:pStyle w:val="TextBody"/>
        <w:bidi w:val="0"/>
        <w:spacing w:before="280" w:after="283"/>
        <w:jc w:val="left"/>
        <w:rPr>
          <w:rFonts w:ascii="Arial" w:hAnsi="Arial"/>
          <w:b/>
          <w:color w:val="000000"/>
          <w:sz w:val="20"/>
        </w:rPr>
      </w:pPr>
      <w:r>
        <w:rPr>
          <w:rFonts w:ascii="Arial" w:hAnsi="Arial"/>
          <w:b/>
          <w:color w:val="000000"/>
          <w:sz w:val="20"/>
        </w:rPr>
        <w:t>Liquidity and Capital Resources</w:t>
      </w:r>
    </w:p>
    <w:p>
      <w:pPr>
        <w:pStyle w:val="TextBody"/>
        <w:bidi w:val="0"/>
        <w:spacing w:before="80" w:after="283"/>
        <w:jc w:val="left"/>
        <w:rPr>
          <w:rFonts w:ascii="Times New Roman" w:hAnsi="Times New Roman"/>
          <w:sz w:val="20"/>
        </w:rPr>
      </w:pPr>
      <w:r>
        <w:rPr>
          <w:rFonts w:ascii="Arial" w:hAnsi="Arial"/>
          <w:b/>
          <w:i/>
          <w:color w:val="000000"/>
          <w:sz w:val="20"/>
        </w:rPr>
        <w:t>Overview</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have financed our operations to date primarily with cash flows from operations, bank line of credit financing, debt financing, export credit agency financing and equity financing. At June 30, 2026, we had $1.7 billion in cash and cash equivalents, $1.3 billion in working capital, no outstanding borrowings and borrowing availability of $600.3 million under our $647.5 million revolving credit facility (the Viasat Revolving Credit Facility), and no outstanding borrowings and borrowing availability of $550.0 million under Inmarsat's $550.0 million revolving line of credit (the Inmarsat Revolving Credit Facility, and together with the Viasat Revolving Credit Facility, the Revolving Credit Facilities). At March 31, 2026, we had $1.7 billion in cash and cash equivalents, $1.8 billion in working capital, no outstanding borrowings and borrowing availability of $598.2 million under the Viasat Revolving Credit Facility, and no outstanding borrowings and borrowing availability of $550.0 million under the Inmarsat Revolving Credit Facility. We invest our cash in excess of current operating requirements in short-term, highly liquid bank money market funds primarily investing in U.S. government-backed securities and treasuries.</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general cash needs of our business can vary significantly and our future capital requirements will depend upon many factors, including cash required for our satellite projects and any future broadband satellite projects we may engage in, expansion of our IR&amp;D and marketing efforts, and the nature and timing of orders.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cash needs tend to be driven by the timing and amount of capital expenditures (e.g., payments under satellite construction and launch contracts and investments in ground infrastructure roll-out), the timing and amount of investments in IR&amp;D activities, investments in joint ventures, strategic partnering arrangements, network expansion activities, investments to obtain Supplemental Type Certificates to enable the retrofit installation of our IFC and wireless in-flight entertainment equipment, investments in platforms and software to support our services and entry into new markets, as well as the quality of customer, type of contract and payment terms.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Other major factors determining cash needs tend to be the type and mix of contracts in backlog (e.g., product or service, development or production), timing of payments and payment terms (including restrictions on the timing of cash payments under U.S. Government procurement regulations), as well as contract duration and program performance. For example, if a program is performing well and meeting its contractual requirements, then its cash flow requirements are usually lower.</w:t>
      </w:r>
    </w:p>
    <w:p>
      <w:pPr>
        <w:pStyle w:val="TextBody"/>
        <w:bidi w:val="0"/>
        <w:spacing w:before="180" w:after="283"/>
        <w:jc w:val="left"/>
        <w:rPr>
          <w:rFonts w:ascii="Arial" w:hAnsi="Arial"/>
          <w:color w:val="000000"/>
          <w:sz w:val="20"/>
        </w:rPr>
      </w:pPr>
      <w:r>
        <w:rPr>
          <w:rFonts w:ascii="Arial" w:hAnsi="Arial"/>
          <w:color w:val="000000"/>
          <w:sz w:val="20"/>
        </w:rPr>
        <w:t>Additionally, we will continue to evaluate other possible acquisitions of, or investments in complementary businesses, products and technologies which may require the use of cash or additional financing.</w:t>
      </w:r>
    </w:p>
    <w:p>
      <w:pPr>
        <w:pStyle w:val="TextBody"/>
        <w:bidi w:val="0"/>
        <w:spacing w:before="180" w:after="283"/>
        <w:jc w:val="left"/>
        <w:rPr>
          <w:rFonts w:ascii="Arial" w:hAnsi="Arial"/>
          <w:color w:val="000000"/>
          <w:sz w:val="20"/>
        </w:rPr>
      </w:pPr>
      <w:r>
        <w:rPr>
          <w:rFonts w:ascii="Arial" w:hAnsi="Arial"/>
          <w:color w:val="000000"/>
          <w:sz w:val="20"/>
        </w:rPr>
        <w:t>In June 2025, Inmarsat agreed to a binding term sheet with Ligado Networks (Ligado) and AST &amp; Science, LLC to settle Inmarsat's opposition to Ligado’s planned restructuring. Under the conditions set forth in the term sheet, we expected to receive an aggregate of $568 million from Ligado in fiscal year 2026, consisting of (i) a $420 million lump sum payment which was received in October 2025, (ii) a $100 million lump sum payment that was due in March 2026 that remains outstanding pending resolution of certain matters, and (iii) a resumption of quarterly payments of approximately $16 million, which started on September 30, 2025, with an annual escalator of 3% for the life of the contract (through 2107).</w:t>
      </w:r>
    </w:p>
    <w:p>
      <w:pPr>
        <w:pStyle w:val="TextBody"/>
        <w:bidi w:val="0"/>
        <w:spacing w:before="180" w:after="283"/>
        <w:jc w:val="left"/>
        <w:rPr>
          <w:rFonts w:ascii="Times New Roman" w:hAnsi="Times New Roman"/>
          <w:sz w:val="20"/>
        </w:rPr>
      </w:pPr>
      <w:r>
        <w:rPr>
          <w:rFonts w:ascii="Arial" w:hAnsi="Arial"/>
          <w:color w:val="000000"/>
          <w:sz w:val="20"/>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and warrants, which securities may be offered from time to time, separately or together, directly by us, by selling security holders, or through underwriters, dealers or agents at amounts, prices, interest rates and other terms to be determined at the time of the offering. Additionally, we consider strategic divestitures from time to time, such as the sale of our Link-16 tactical data link business that was completed in January 2023 for $1.96 billion in cash, as well as divestitures of non-core assets or businesses, such as the divestiture of our energy services system integration business in December 2024 or the sale of our investment in Navarino UK in March 2026.</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We may, from time to time, seek to retire, prepay or repurchase our outstanding debt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The amounts involved may be material.</w:t>
      </w:r>
    </w:p>
    <w:p>
      <w:pPr>
        <w:pStyle w:val="TextBody"/>
        <w:bidi w:val="0"/>
        <w:spacing w:before="180" w:after="283"/>
        <w:jc w:val="left"/>
        <w:rPr>
          <w:rFonts w:ascii="Arial" w:hAnsi="Arial"/>
          <w:color w:val="000000"/>
          <w:sz w:val="20"/>
        </w:rPr>
      </w:pPr>
      <w:r>
        <w:rPr>
          <w:rFonts w:ascii="Arial" w:hAnsi="Arial"/>
          <w:color w:val="000000"/>
          <w:sz w:val="20"/>
        </w:rPr>
        <w:t>Although we can give no assurances concerning our future liquidity, we believe that we have adequate sources of funding to meet our anticipated operating requirements for the next 12 months, which include, but are not limited to, cash on hand, borrowing capacity, and cash expected to be provided by operating activities.</w:t>
      </w:r>
    </w:p>
    <w:p>
      <w:pPr>
        <w:pStyle w:val="TextBody"/>
        <w:bidi w:val="0"/>
        <w:spacing w:before="280" w:after="283"/>
        <w:jc w:val="left"/>
        <w:rPr>
          <w:rFonts w:ascii="Times New Roman" w:hAnsi="Times New Roman"/>
          <w:sz w:val="20"/>
        </w:rPr>
      </w:pPr>
      <w:r>
        <w:rPr>
          <w:rFonts w:ascii="Arial" w:hAnsi="Arial"/>
          <w:b/>
          <w:i/>
          <w:color w:val="000000"/>
          <w:sz w:val="20"/>
        </w:rPr>
        <w:t>Cash flows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Cash provided by operating activities for the first three months of fiscal year 2027 was $260.6 million compared to $258.5 million in the prior year period. This $2.1 million increase was driven by a $53.5 million year-over-year decrease in cash used to fund net operating assets, partially offset by our operating results (net income (loss) adjusted for depreciation, amortization and other non-cash charges) which resulted in $51.4 million of lower cash provided by operating activities year-over-year. The decrease in cash used to fund net operating assets during the first three months of fiscal year 2027 when compared to the prior year period was primarily due to the timing of payments related to our income taxes. Cash paid for income taxes, net, during the first three months of fiscal years 2027 and 2026 was $32.5 million and $34.5 million, respectively. Cash paid for interest (net of amounts capitalized) during the first three months of fiscal years 2027 and 2026 was $36.5 million and $59.3 million, respectively.</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Cash used in investing activities for the first three months of fiscal year 2027 was approximately $218.9 million compared to $176.0 million in the prior year period. This $43.0 million increase in cash used in investing activities year-over-year reflected an increase of $20.9 million in cash used for capital expenditures.</w:t>
      </w:r>
    </w:p>
    <w:p>
      <w:pPr>
        <w:pStyle w:val="TextBody"/>
        <w:bidi w:val="0"/>
        <w:spacing w:before="180" w:after="283"/>
        <w:jc w:val="left"/>
        <w:rPr>
          <w:rFonts w:ascii="Arial" w:hAnsi="Arial"/>
          <w:color w:val="000000"/>
          <w:sz w:val="20"/>
        </w:rPr>
      </w:pPr>
      <w:r>
        <w:rPr>
          <w:rFonts w:ascii="Arial" w:hAnsi="Arial"/>
          <w:color w:val="000000"/>
          <w:sz w:val="20"/>
        </w:rPr>
        <w:t>Cash used in financing activities for the first three months of fiscal year 2027 was approximately $50.2 million compared to $513.8 million for the prior year period. This $463.6 million decrease in cash used in financing activities year-over-year was primarily due to the redemption of the remaining $442.6 million in principal amount of Viasat's 5.625% Senior Notes due 2025 in the prior year period.</w:t>
      </w:r>
    </w:p>
    <w:p>
      <w:pPr>
        <w:pStyle w:val="TextBody"/>
        <w:bidi w:val="0"/>
        <w:spacing w:before="280" w:after="283"/>
        <w:jc w:val="left"/>
        <w:rPr>
          <w:rFonts w:ascii="Times New Roman" w:hAnsi="Times New Roman"/>
          <w:sz w:val="20"/>
        </w:rPr>
      </w:pPr>
      <w:r>
        <w:rPr>
          <w:rFonts w:ascii="Arial" w:hAnsi="Arial"/>
          <w:b/>
          <w:i/>
          <w:color w:val="000000"/>
          <w:sz w:val="20"/>
        </w:rPr>
        <w:t>Satellite-related activities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As of June 30, 2026, our complementary fleet of 23 in service or operational satellites spanned the Ka-, L- and S- bands, with 13 Ka-band satellites, eight L-band satellites (three of which are contingency L-band satellites that are operational but not currently in commercial service), an S-band satellite that supports the European Aviation Network to provide IFC services to commercial airlines in Europe, and an Inmarsat-6 class hybrid Ka-/L-band satellite. The second ViaSat-3 class satellite, ViaSat-3 F2, was launched into orbit in November 2025 with commercial service expected to commence in September 2026. The third ViaSat-3 class satellite, ViaSat-3 F3, was launched into orbit in April 2026, with commercial service expected to commence by late summer 2026. Furthermore, as of June 30, 2026, we had seven additional GEO satellites under development: three adaptive Ka-band GEO satellites (GX7, GX8 and GX9) and four Inmarsat-8 L-band GEO safety service satellites. Our extensive satellite fleet enables us to provide a wide array of high-quality broadband and narrowband services with near global coverage (including strong oceanic coverage) with greater redundancy and resiliency.</w:t>
      </w:r>
    </w:p>
    <w:p>
      <w:pPr>
        <w:pStyle w:val="TextBody"/>
        <w:bidi w:val="0"/>
        <w:spacing w:before="180" w:after="283"/>
        <w:jc w:val="left"/>
        <w:rPr>
          <w:rFonts w:ascii="Arial" w:hAnsi="Arial"/>
          <w:color w:val="000000"/>
          <w:sz w:val="20"/>
        </w:rPr>
      </w:pPr>
      <w:r>
        <w:rPr>
          <w:rFonts w:ascii="Arial" w:hAnsi="Arial"/>
          <w:color w:val="000000"/>
          <w:sz w:val="20"/>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 By leveraging our own satellite fleet and its unique advantages, existing national operator partnerships, plus coverage and capacity from leading third-party satellites and constellations, our services are designed to provide customers with the essential capacity density, market access, speed, bandwidth and responsiveness they need. Importantly, we have continued to innovate advanced multi-orbit resource management techniques to reduce costs and expand geographic coverage to better serve the unique needs of each mobility and defense customer. In forming key partnerships with multiple geostationary orbit and non-geostationary orbit operators, we are well-positioned to support delivery of Viasat’s next-generation services, achieve industry-leading resource utilization, and drive capital efficiency. In parallel, we are working to ensure equitable access to finite space resources and support regulatory certainty enabling multi-orbit solutions and related infrastructure to thrive in a shared and sustainable way.</w:t>
      </w:r>
    </w:p>
    <w:p>
      <w:pPr>
        <w:pStyle w:val="TextBody"/>
        <w:bidi w:val="0"/>
        <w:spacing w:before="180" w:after="283"/>
        <w:jc w:val="left"/>
        <w:rPr>
          <w:rFonts w:ascii="Arial" w:hAnsi="Arial"/>
          <w:color w:val="000000"/>
          <w:sz w:val="20"/>
        </w:rPr>
      </w:pPr>
      <w:r>
        <w:rPr>
          <w:rFonts w:ascii="Arial" w:hAnsi="Arial"/>
          <w:color w:val="000000"/>
          <w:sz w:val="20"/>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13 — Commitments to our consolidated financial statements included in our Annual Report on Form 10-K for the year ended March 31, 2026 for information regarding our future minimum payments under our satellite construction contracts and other satellite-related purchase commitments (including satellite performance incentive obligations) for the next five fiscal years and thereafter, as well as purchase commitments including satellite-related agreements under the contractual obligations table below. The total 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In connection with the launch of any new satellite and the commencement of commercial service on the satellite, we expect to incur additional operating costs that negatively impact our financial results. For example, when ViaSat-2 was placed in commercial service in the fourth quarter of fiscal year 2018, this resulted in additional operating costs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commercial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and constrained bandwidth supply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communication services segment, and any such gains may also be offset by investments in our global business. In addition, we may experience capacity constraints on our existing satellites in the lead-up to the commencement of commercial service on new satellites, such as the capacity constraints we have been experiencing since fiscal year 2023 pending our ViaSat-3 constellation entering commercial service.</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Long-term debt</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As of June 30, 2026, the aggregate principal amount of our total outstanding indebtedness was $6.6 billion, which was comprised of (1) $600.0 million in aggregate principal amount of Viasat's 5.625% Senior Secured Notes due 2027, $400.0 million in aggregate principal amount of Viasat's 6.500% Senior Notes due 2028, $1.975 billion in aggregate principal amount of Inmarsat's 9.000% Senior Secured Notes due 2029 and $733.4 million in aggregate principal amount of Viasat's 7.500% Senior Notes due 2031, (2) $672.0 million in principal amount of outstanding borrowings under Viasat's $700.0 million senior secured term loan facility (the 2022 Term Loan Facility), $599.7 million in principal amount of outstanding borrowings under Viasat's $616.7 million senior secured term loan facility (the 2023 Term Loan Facility), $1.3 billion in aggregate principal amount of outstanding borrowings under Inmarsat's senior secured term loan facility (the Inmarsat Term Loan Facility), no outstanding borrowings under the Revolving Credit Facilities, and $176.9 million in principal amount of outstanding borrowings under Viasat's direct loan facility with the Export-Import Bank of the United States (the Ex-Im Credit Facility), and (3) $142.7 million of finance lease obligations. For information regarding our outstanding indebtedness, refer to Note 6 — Senior Notes and Other Long-Term Debt to our condensed consolidated financial statements.</w:t>
      </w:r>
    </w:p>
    <w:p>
      <w:pPr>
        <w:pStyle w:val="TextBody"/>
        <w:bidi w:val="0"/>
        <w:spacing w:before="280" w:after="283"/>
        <w:jc w:val="left"/>
        <w:rPr>
          <w:rFonts w:ascii="Arial" w:hAnsi="Arial"/>
          <w:b/>
          <w:i/>
          <w:color w:val="000000"/>
          <w:sz w:val="20"/>
        </w:rPr>
      </w:pPr>
      <w:r>
        <w:rPr>
          <w:rFonts w:ascii="Arial" w:hAnsi="Arial"/>
          <w:b/>
          <w:i/>
          <w:color w:val="000000"/>
          <w:sz w:val="20"/>
        </w:rPr>
        <w:t>Capital Expenditures and IR&amp;D Investments</w:t>
      </w:r>
    </w:p>
    <w:p>
      <w:pPr>
        <w:pStyle w:val="TextBody"/>
        <w:bidi w:val="0"/>
        <w:spacing w:before="80" w:after="283"/>
        <w:jc w:val="left"/>
        <w:rPr>
          <w:rFonts w:ascii="Arial" w:hAnsi="Arial"/>
          <w:color w:val="000000"/>
          <w:sz w:val="20"/>
        </w:rPr>
      </w:pPr>
      <w:r>
        <w:rPr>
          <w:rFonts w:ascii="Arial" w:hAnsi="Arial"/>
          <w:color w:val="000000"/>
          <w:sz w:val="20"/>
        </w:rPr>
        <w:t>For a discussion of our capital expenditures and IR&amp;D investments, see Part II, Item 7, “Liquidity and Capital Resources – Capital Expenditures and IR&amp;D Investments” in our Annual Report on Form 10-K for the year ended March 31, 2026 for more information.</w:t>
      </w:r>
    </w:p>
    <w:p>
      <w:pPr>
        <w:pStyle w:val="TextBody"/>
        <w:bidi w:val="0"/>
        <w:spacing w:before="280" w:after="283"/>
        <w:jc w:val="left"/>
        <w:rPr>
          <w:rFonts w:ascii="Times New Roman" w:hAnsi="Times New Roman"/>
          <w:sz w:val="20"/>
        </w:rPr>
      </w:pPr>
      <w:r>
        <w:rPr>
          <w:rFonts w:ascii="Arial" w:hAnsi="Arial"/>
          <w:b/>
          <w:color w:val="000000"/>
          <w:sz w:val="20"/>
        </w:rPr>
        <w:t>Contractual Obligations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following table sets forth a summary of certain material cash requirements for known contractual obligations and commitments at June 30, 2026:</w:t>
      </w:r>
    </w:p>
    <w:p>
      <w:pPr>
        <w:pStyle w:val="TextBody"/>
        <w:bidi w:val="0"/>
        <w:jc w:val="left"/>
        <w:rPr/>
      </w:pPr>
      <w:r>
        <w:rPr/>
        <w:t> </w:t>
      </w:r>
    </w:p>
    <w:tbl>
      <w:tblPr>
        <w:tblW w:w="8627" w:type="dxa"/>
        <w:jc w:val="left"/>
        <w:tblInd w:w="0" w:type="dxa"/>
        <w:tblLayout w:type="fixed"/>
        <w:tblCellMar>
          <w:top w:w="28" w:type="dxa"/>
          <w:left w:w="28" w:type="dxa"/>
          <w:bottom w:w="28" w:type="dxa"/>
          <w:right w:w="28" w:type="dxa"/>
        </w:tblCellMar>
      </w:tblPr>
      <w:tblGrid>
        <w:gridCol w:w="5476"/>
        <w:gridCol w:w="146"/>
        <w:gridCol w:w="243"/>
        <w:gridCol w:w="1107"/>
        <w:gridCol w:w="146"/>
        <w:gridCol w:w="146"/>
        <w:gridCol w:w="211"/>
        <w:gridCol w:w="961"/>
        <w:gridCol w:w="191"/>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including interest where applicable)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Next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580,632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Senior notes and other long-term debt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7,238,243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 commitments including satellite-related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1,210,122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1,287,327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2,497,892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9,106,202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To the extent that the interest rate on any long-term debt is variable, amounts reflected represent estimated interest payments on the applicable current outstanding balance based on the interest rate at June 30, 2026 until the applicable maturity date.</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We may also cancel, reschedule or adjust our requirements based on business needs after firm orders are placed at a cost, which may be material.</w:t>
      </w:r>
    </w:p>
    <w:p>
      <w:pPr>
        <w:pStyle w:val="TextBody"/>
        <w:bidi w:val="0"/>
        <w:spacing w:before="180" w:after="283"/>
        <w:jc w:val="left"/>
        <w:rPr>
          <w:rFonts w:ascii="Arial" w:hAnsi="Arial"/>
          <w:color w:val="000000"/>
          <w:sz w:val="20"/>
        </w:rPr>
      </w:pPr>
      <w:r>
        <w:rPr>
          <w:rFonts w:ascii="Arial" w:hAnsi="Arial"/>
          <w:color w:val="000000"/>
          <w:sz w:val="20"/>
        </w:rPr>
        <w:t>Our condensed consolidated balance sheets included $2.3 billion and $2.4 billion of “other liabilities” as of June 30, 2026 and March 31, 2026, respectively, which primarily consisted of deferred income taxes and the long-term portion of deferred revenues. These remaining liabilities have been excluded from the above table as the timing and/or the amount of any cash payment is uncertain.</w:t>
      </w:r>
    </w:p>
    <w:p>
      <w:pPr>
        <w:pStyle w:val="TextBody"/>
        <w:bidi w:val="0"/>
        <w:spacing w:before="280" w:after="283"/>
        <w:jc w:val="left"/>
        <w:rPr>
          <w:rFonts w:ascii="Times New Roman" w:hAnsi="Times New Roman"/>
          <w:sz w:val="20"/>
        </w:rPr>
      </w:pPr>
      <w:r>
        <w:rPr>
          <w:rFonts w:ascii="Arial" w:hAnsi="Arial"/>
          <w:b/>
          <w:color w:val="000000"/>
          <w:sz w:val="20"/>
        </w:rPr>
        <w:t>Off-Balance Sheet Arrangements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We had no material off-balance sheet arrangements at June 30, 2026 as defined in Regulation S-K Item 303(b) other than as discussed under “Contractual Obligations” above or disclosed in the notes to our condensed consolidated financial statements included in this report or in our Annual Report on Form 10-K for the year ended March 31, 2026.</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Recent Authoritative Guidance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For information regarding recently adopted and issued accounting pronouncements, see Note 1 — Basis of Presentation to our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0" w:name="item_3_quantitative_qualitative_disclosu"/>
      <w:bookmarkEnd w:id="10"/>
      <w:r>
        <w:rPr>
          <w:rFonts w:ascii="Arial" w:hAnsi="Arial"/>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color w:val="000000"/>
          <w:sz w:val="20"/>
        </w:rPr>
        <w:t>Interest Rate Risk</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Our financial instruments consist of cash and cash equivalents, restricted cash, accounts receivable, accounts payable and short-term and long-term obligations (including Viasat’s and Inmarsat’s senior secured credit facilities (collectively, the Credit Facilities) and our senior unsecured and senior secured notes (collectively, the Notes)). We consider investments in highly liquid instruments purchased with a remaining maturity of three months or less at the date of purchase to be cash equivalents. Our indebtedness for borrowed money comprises borrowings under our Credit Facilities and the aggregate principal amount outstanding under our Notes. The Notes and borrowings under our Ex-Im Credit Facility bear interest at a fixed rate and therefore our exposure to market risk for changes in interest rates relates primarily to borrowings under our remaining Credit Facilities, cash equivalents and short-term obligations.</w:t>
      </w:r>
    </w:p>
    <w:p>
      <w:pPr>
        <w:pStyle w:val="TextBody"/>
        <w:bidi w:val="0"/>
        <w:spacing w:before="180" w:after="283"/>
        <w:jc w:val="left"/>
        <w:rPr>
          <w:rFonts w:ascii="Arial" w:hAnsi="Arial"/>
          <w:color w:val="000000"/>
          <w:sz w:val="20"/>
        </w:rPr>
      </w:pPr>
      <w:r>
        <w:rPr>
          <w:rFonts w:ascii="Arial" w:hAnsi="Arial"/>
          <w:color w:val="000000"/>
          <w:sz w:val="20"/>
        </w:rPr>
        <w:t>The primary objectives of our investment activities are to preserve principal and maximize the income we receive from our investments without significantly increasing risk. To minimize this risk, we maintain a significant amount of our cash balance in money market accounts, with a significant portion held in U.S. government-backed securities and treasuries.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pStyle w:val="TextBody"/>
        <w:bidi w:val="0"/>
        <w:spacing w:before="180" w:after="283"/>
        <w:jc w:val="left"/>
        <w:rPr>
          <w:rFonts w:ascii="Arial" w:hAnsi="Arial"/>
          <w:color w:val="000000"/>
          <w:sz w:val="20"/>
        </w:rPr>
      </w:pPr>
      <w:r>
        <w:rPr>
          <w:rFonts w:ascii="Arial" w:hAnsi="Arial"/>
          <w:color w:val="000000"/>
          <w:sz w:val="20"/>
        </w:rPr>
        <w:t>Our primary interest rate under our variable rate Credit Facilities is the forward-looking term SOFR rate plus an applicable margin. As of June 30, 2026, the effective interest rate on our outstanding borrowings under the 2022 Term Loan Facility was 8.86%, and under the 2023 Term Loan Facility was 9.37%. As of June 30, 2026, the effective interest rate under the Inmarsat Term Loan Facility was approximately 9.38%. As of June 30, 2026, the effective interest rate that would have been applied to any new SOFR-based borrowings under the Viasat Revolving Credit Facility was approximately 5.92%, and under the Inmarsat Revolving Credit Facility was approximately 6.40%. As of June 30, 2026, we had no outstanding borrowings under our Revolving Credit Facilities. Accordingly, assuming the outstanding balance under the 2022 Term Loan Facility, the 2023 Term Loan Facility and the Inmarsat Term Loan Facility remained constant over a year and we continued to have no outstanding borrowings under the Revolving Credit Facilities, a 10% increase in the interest rates would increase interest incurred, prior to effects of capitalized interest, by approximately $21.1 million over a 12-month period.</w:t>
      </w:r>
    </w:p>
    <w:p>
      <w:pPr>
        <w:pStyle w:val="TextBody"/>
        <w:bidi w:val="0"/>
        <w:spacing w:before="280" w:after="283"/>
        <w:jc w:val="left"/>
        <w:rPr>
          <w:rFonts w:ascii="Times New Roman" w:hAnsi="Times New Roman"/>
          <w:sz w:val="20"/>
        </w:rPr>
      </w:pPr>
      <w:r>
        <w:rPr>
          <w:rFonts w:ascii="Arial" w:hAnsi="Arial"/>
          <w:b/>
          <w:color w:val="000000"/>
          <w:sz w:val="20"/>
        </w:rPr>
        <w:t>Foreign Exchange Risk</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for each of the three months ended June 30, 2026 and 2025.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1" w:name="item_4_controls_procedures"/>
      <w:bookmarkEnd w:id="11"/>
      <w:r>
        <w:rPr>
          <w:rFonts w:ascii="Arial" w:hAnsi="Arial"/>
          <w:b/>
          <w:color w:val="000000"/>
          <w:sz w:val="20"/>
        </w:rPr>
        <w:t>Item 4. Controls and Procedures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180" w:after="283"/>
        <w:jc w:val="left"/>
        <w:rPr>
          <w:rFonts w:ascii="Arial" w:hAnsi="Arial"/>
          <w:color w:val="000000"/>
          <w:sz w:val="20"/>
        </w:rPr>
      </w:pPr>
      <w:r>
        <w:rPr>
          <w:rFonts w:ascii="Arial" w:hAnsi="Arial"/>
          <w:color w:val="000000"/>
          <w:sz w:val="20"/>
        </w:rPr>
        <w:t>As required by SEC Rule 13a-15(b), we carried out an evaluation, with the participation of our management, including our Chief Executive Officer and Chief Financial Officer, of the effectiveness of our disclosure controls and procedures as of June 30, 2026, the end of the period covered by this report. Based upon the foregoing, our Chief Executive Officer and Chief Financial Officer concluded that our disclosure controls and procedures were effective at a reasonable assurance level as of June 30, 2026.</w:t>
      </w:r>
    </w:p>
    <w:p>
      <w:pPr>
        <w:pStyle w:val="TextBody"/>
        <w:bidi w:val="0"/>
        <w:spacing w:before="180" w:after="283"/>
        <w:jc w:val="left"/>
        <w:rPr>
          <w:rFonts w:ascii="Arial" w:hAnsi="Arial"/>
          <w:color w:val="000000"/>
          <w:sz w:val="20"/>
        </w:rPr>
      </w:pPr>
      <w:r>
        <w:rPr>
          <w:rFonts w:ascii="Arial" w:hAnsi="Arial"/>
          <w:color w:val="000000"/>
          <w:sz w:val="20"/>
        </w:rPr>
        <w:t>During the period covered by this report, there were no changes in our internal control over financial reporting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2" w:name="part_ii_or_information"/>
      <w:bookmarkEnd w:id="12"/>
      <w:r>
        <w:rPr>
          <w:rFonts w:ascii="Arial" w:hAnsi="Arial"/>
          <w:b/>
          <w:color w:val="000000"/>
          <w:sz w:val="20"/>
        </w:rPr>
        <w:t>PART II — OTHER INFORMATION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bookmarkStart w:id="13" w:name="item_1_legal_proceedings"/>
      <w:bookmarkEnd w:id="13"/>
      <w:r>
        <w:rPr>
          <w:rFonts w:ascii="Arial" w:hAnsi="Arial"/>
          <w:b/>
          <w:color w:val="000000"/>
          <w:sz w:val="20"/>
        </w:rPr>
        <w:t>Item 1. Legal</w:t>
      </w:r>
      <w:r>
        <w:rPr>
          <w:rFonts w:ascii="Times New Roman" w:hAnsi="Times New Roman"/>
          <w:color w:val="000000"/>
          <w:sz w:val="20"/>
        </w:rPr>
        <w:t xml:space="preserve"> </w:t>
      </w:r>
      <w:r>
        <w:rPr>
          <w:rFonts w:ascii="Arial" w:hAnsi="Arial"/>
          <w:b/>
          <w:color w:val="000000"/>
          <w:sz w:val="20"/>
        </w:rPr>
        <w:t>Proceedings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Periodically,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2026.</w:t>
      </w:r>
    </w:p>
    <w:p>
      <w:pPr>
        <w:pStyle w:val="TextBody"/>
        <w:bidi w:val="0"/>
        <w:spacing w:before="280" w:after="283"/>
        <w:jc w:val="left"/>
        <w:rPr>
          <w:rFonts w:ascii="Times New Roman" w:hAnsi="Times New Roman"/>
          <w:sz w:val="20"/>
        </w:rPr>
      </w:pPr>
      <w:bookmarkStart w:id="14" w:name="item_1a_risk_factors"/>
      <w:bookmarkEnd w:id="14"/>
      <w:r>
        <w:rPr>
          <w:rFonts w:ascii="Arial" w:hAnsi="Arial"/>
          <w:b/>
          <w:color w:val="000000"/>
          <w:sz w:val="20"/>
        </w:rPr>
        <w:t>Item 1A. Risk Factors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 addition to the other information set forth in this report, you should carefully consider the factors discussed in Part I, Item 1A, “Risk Factors” in our Annual Report on Form 10-K for the fiscal year ended March 31, 2026, which factors could materially affect our business, financial condition, liquidity or future results. There have been no material changes to the risk factors described in the "Risk Factors" section in our Annual Report on Form 10-K for the fiscal year ended March 31, 2026. The risks described in our report on Form 10-K are not the only risks facing our company. Additional risks and uncertainties not currently known to us or that we currently deem to be immaterial also may materially adversely affect our business, financial condition, liquidity or future results.</w:t>
      </w:r>
    </w:p>
    <w:p>
      <w:pPr>
        <w:pStyle w:val="TextBody"/>
        <w:bidi w:val="0"/>
        <w:spacing w:before="280" w:after="283"/>
        <w:jc w:val="left"/>
        <w:rPr>
          <w:rFonts w:ascii="Arial" w:hAnsi="Arial"/>
          <w:b/>
          <w:color w:val="000000"/>
          <w:sz w:val="20"/>
        </w:rPr>
      </w:pPr>
      <w:bookmarkStart w:id="15" w:name="toc_page"/>
      <w:bookmarkStart w:id="16" w:name="item_5_other_information"/>
      <w:bookmarkEnd w:id="15"/>
      <w:bookmarkEnd w:id="16"/>
      <w:r>
        <w:rPr>
          <w:rFonts w:ascii="Arial" w:hAnsi="Arial"/>
          <w:b/>
          <w:color w:val="000000"/>
          <w:sz w:val="20"/>
        </w:rPr>
        <w:t>Item 5. Other Information</w:t>
      </w:r>
    </w:p>
    <w:p>
      <w:pPr>
        <w:pStyle w:val="TextBody"/>
        <w:bidi w:val="0"/>
        <w:spacing w:before="80" w:after="283"/>
        <w:jc w:val="left"/>
        <w:rPr>
          <w:rFonts w:ascii="Times New Roman" w:hAnsi="Times New Roman"/>
          <w:sz w:val="20"/>
        </w:rPr>
      </w:pPr>
      <w:r>
        <w:rPr>
          <w:rFonts w:ascii="Arial" w:hAnsi="Arial"/>
          <w:color w:val="000000"/>
          <w:sz w:val="20"/>
        </w:rPr>
        <w:t>During the three months ended June 30, 2026, no director or officer, as defined in Rule 16a-1(f),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any contract, instruction or written plan for the purchase or sale of our securities that was intended to satisfy the affirmative defense conditions of Rule 10b5-1(c)</w:t>
      </w:r>
      <w:r>
        <w:rPr>
          <w:rFonts w:ascii="Times New Roman" w:hAnsi="Times New Roman"/>
          <w:color w:val="000000"/>
          <w:sz w:val="20"/>
        </w:rPr>
        <w:t xml:space="preserve"> </w:t>
      </w:r>
      <w:r>
        <w:rPr>
          <w:rFonts w:ascii="Arial" w:hAnsi="Arial"/>
          <w:color w:val="000000"/>
          <w:sz w:val="20"/>
        </w:rPr>
        <w:t>or any “non Rule 10b5-1</w:t>
      </w:r>
      <w:r>
        <w:rPr>
          <w:rFonts w:ascii="Times New Roman" w:hAnsi="Times New Roman"/>
          <w:color w:val="000000"/>
          <w:sz w:val="20"/>
        </w:rPr>
        <w:t xml:space="preserve"> </w:t>
      </w:r>
      <w:r>
        <w:rPr>
          <w:rFonts w:ascii="Arial" w:hAnsi="Arial"/>
          <w:color w:val="000000"/>
          <w:sz w:val="20"/>
        </w:rPr>
        <w:t>trading arrangement” as defined in Item 408 of Regulation S-K.</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tem_6_exhibits"/>
      <w:bookmarkEnd w:id="17"/>
      <w:r>
        <w:rPr>
          <w:rFonts w:ascii="Arial" w:hAnsi="Arial"/>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9"/>
        <w:gridCol w:w="259"/>
        <w:gridCol w:w="4873"/>
        <w:gridCol w:w="146"/>
        <w:gridCol w:w="526"/>
        <w:gridCol w:w="146"/>
        <w:gridCol w:w="714"/>
        <w:gridCol w:w="146"/>
        <w:gridCol w:w="661"/>
        <w:gridCol w:w="146"/>
        <w:gridCol w:w="670"/>
        <w:gridCol w:w="146"/>
        <w:gridCol w:w="963"/>
      </w:tblGrid>
      <w:tr>
        <w:trPr/>
        <w:tc>
          <w:tcPr>
            <w:tcW w:w="8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09" w:type="dxa"/>
            <w:gridSpan w:val="7"/>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09"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25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8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714"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6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7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Filed or</w:t>
            </w:r>
          </w:p>
          <w:p>
            <w:pPr>
              <w:pStyle w:val="TableContents"/>
              <w:bidi w:val="0"/>
              <w:jc w:val="center"/>
              <w:rPr>
                <w:rFonts w:ascii="Arial" w:hAnsi="Arial"/>
                <w:b/>
                <w:color w:val="000000"/>
                <w:sz w:val="16"/>
              </w:rPr>
            </w:pPr>
            <w:r>
              <w:rPr>
                <w:rFonts w:ascii="Arial" w:hAnsi="Arial"/>
                <w:b/>
                <w:color w:val="000000"/>
                <w:sz w:val="16"/>
              </w:rPr>
              <w:t>Furnished</w:t>
            </w:r>
          </w:p>
          <w:p>
            <w:pPr>
              <w:pStyle w:val="TableContents"/>
              <w:bidi w:val="0"/>
              <w:spacing w:before="0" w:after="283"/>
              <w:jc w:val="center"/>
              <w:rPr>
                <w:rFonts w:ascii="Arial" w:hAnsi="Arial"/>
                <w:b/>
                <w:color w:val="000000"/>
                <w:sz w:val="16"/>
              </w:rPr>
            </w:pPr>
            <w:r>
              <w:rPr>
                <w:rFonts w:ascii="Arial" w:hAnsi="Arial"/>
                <w:b/>
                <w:color w:val="000000"/>
                <w:sz w:val="16"/>
              </w:rPr>
              <w:t>Herewith</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10.1**</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hyperlink w:anchor="vsat-ex10_1.htm">
              <w:r>
                <w:rPr>
                  <w:rStyle w:val="InternetLink"/>
                  <w:rFonts w:ascii="Arial" w:hAnsi="Arial"/>
                  <w:color w:val="0000FF"/>
                  <w:sz w:val="20"/>
                  <w:u w:val="single"/>
                </w:rPr>
                <w:t>Viasat, Inc. 1996 Equity Participation Plan Performance-based Restricted Stock Unit Award Agreement – Free Cash Flow</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10.2**</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hyperlink w:anchor="vsat-ex10_2.htm">
              <w:r>
                <w:rPr>
                  <w:rStyle w:val="InternetLink"/>
                  <w:rFonts w:ascii="Arial" w:hAnsi="Arial"/>
                  <w:color w:val="0000FF"/>
                  <w:sz w:val="20"/>
                  <w:u w:val="single"/>
                </w:rPr>
                <w:t>Viasat, Inc. 1996 Equity Participation Plan Performance-based Restricted Stock Unit Award Agreement - ROIC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10.3</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Cooperation Agreement, dated as of May 6, 2026, by and among Viasat, Inc., Carronade Capital Management, LP and the other persons and entities listed on Schedule A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000-21767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05/07/2026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31.1</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hyperlink w:anchor="vsat-ex31_1.htm">
              <w:r>
                <w:rPr>
                  <w:rStyle w:val="InternetLink"/>
                  <w:rFonts w:ascii="Arial" w:hAnsi="Arial"/>
                  <w:color w:val="0000FF"/>
                  <w:sz w:val="20"/>
                  <w:u w:val="single"/>
                </w:rPr>
                <w:t>Certification of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31.2</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hyperlink w:anchor="vsat-ex31_2.htm">
              <w:r>
                <w:rPr>
                  <w:rStyle w:val="InternetLink"/>
                  <w:rFonts w:ascii="Arial" w:hAnsi="Arial"/>
                  <w:color w:val="0000FF"/>
                  <w:sz w:val="20"/>
                  <w:u w:val="single"/>
                </w:rPr>
                <w:t>Certification of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32.1*</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hyperlink w:anchor="vsat-ex32_1.htm">
              <w:r>
                <w:rPr>
                  <w:rStyle w:val="InternetLink"/>
                  <w:rFonts w:ascii="Arial" w:hAnsi="Arial"/>
                  <w:color w:val="0000FF"/>
                  <w:sz w:val="20"/>
                  <w:u w:val="single"/>
                </w:rPr>
                <w:t>Certifications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101.INS</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101.SCH</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Linkbases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104</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9"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90" w:after="283"/>
        <w:jc w:val="left"/>
        <w:rPr>
          <w:rFonts w:ascii="Arial" w:hAnsi="Arial"/>
          <w:color w:val="000000"/>
          <w:sz w:val="20"/>
        </w:rPr>
      </w:pPr>
      <w:r>
        <w:rPr>
          <w:rFonts w:ascii="Arial" w:hAnsi="Arial"/>
          <w:color w:val="000000"/>
          <w:sz w:val="20"/>
        </w:rPr>
        <w:t>* The certifications attached as Exhibit 32.1 that accompany this Quarterly Report on Form 10-Q are deemed furnished and not filed with the SEC and are not to be incorporated by reference into any filing of Viasat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90" w:after="283"/>
        <w:jc w:val="left"/>
        <w:rPr>
          <w:rFonts w:ascii="Arial" w:hAnsi="Arial"/>
          <w:color w:val="000000"/>
          <w:sz w:val="20"/>
        </w:rPr>
      </w:pPr>
      <w:r>
        <w:rPr>
          <w:rFonts w:ascii="Arial" w:hAnsi="Arial"/>
          <w:color w:val="000000"/>
          <w:sz w:val="20"/>
        </w:rPr>
        <w:t>** Indicates management contract, compensatory plan or arrangement.</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8" w:name="signatures"/>
      <w:bookmarkEnd w:id="18"/>
      <w:r>
        <w:rPr>
          <w:rFonts w:ascii="Arial" w:hAnsi="Arial"/>
          <w:b/>
          <w:color w:val="000000"/>
          <w:sz w:val="20"/>
        </w:rPr>
        <w:t>SIGNATURES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jc w:val="left"/>
        <w:rPr/>
      </w:pPr>
      <w:r>
        <w:rPr/>
        <w:t> </w:t>
      </w:r>
    </w:p>
    <w:tbl>
      <w:tblPr>
        <w:tblW w:w="6148" w:type="dxa"/>
        <w:jc w:val="left"/>
        <w:tblInd w:w="0" w:type="dxa"/>
        <w:tblLayout w:type="fixed"/>
        <w:tblCellMar>
          <w:top w:w="28" w:type="dxa"/>
          <w:left w:w="28" w:type="dxa"/>
          <w:bottom w:w="28" w:type="dxa"/>
          <w:right w:w="28" w:type="dxa"/>
        </w:tblCellMar>
      </w:tblPr>
      <w:tblGrid>
        <w:gridCol w:w="1441"/>
        <w:gridCol w:w="146"/>
        <w:gridCol w:w="456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VIASAT, INC.</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M</w:t>
            </w:r>
            <w:r>
              <w:rPr>
                <w:rFonts w:ascii="Arial" w:hAnsi="Arial"/>
                <w:color w:val="000000"/>
                <w:sz w:val="16"/>
              </w:rPr>
              <w:t xml:space="preserve">ARK </w:t>
            </w:r>
            <w:r>
              <w:rPr>
                <w:rFonts w:ascii="Arial" w:hAnsi="Arial"/>
                <w:color w:val="000000"/>
                <w:sz w:val="20"/>
              </w:rPr>
              <w:t>D</w:t>
            </w:r>
            <w:r>
              <w:rPr>
                <w:rFonts w:ascii="Arial" w:hAnsi="Arial"/>
                <w:color w:val="000000"/>
                <w:sz w:val="16"/>
              </w:rPr>
              <w:t>ANKBERG</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Chairman of the Board and Chief Executive Officer</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G</w:t>
            </w:r>
            <w:r>
              <w:rPr>
                <w:rFonts w:ascii="Arial" w:hAnsi="Arial"/>
                <w:color w:val="000000"/>
                <w:sz w:val="16"/>
              </w:rPr>
              <w:t>ARRETT</w:t>
            </w:r>
            <w:r>
              <w:rPr>
                <w:rFonts w:ascii="Times New Roman" w:hAnsi="Times New Roman"/>
                <w:color w:val="000000"/>
                <w:sz w:val="20"/>
              </w:rPr>
              <w:t> </w:t>
            </w:r>
            <w:r>
              <w:rPr>
                <w:rFonts w:ascii="Arial" w:hAnsi="Arial"/>
                <w:color w:val="000000"/>
                <w:sz w:val="20"/>
              </w:rPr>
              <w:t>C</w:t>
            </w:r>
            <w:r>
              <w:rPr>
                <w:rFonts w:ascii="Arial" w:hAnsi="Arial"/>
                <w:color w:val="000000"/>
                <w:sz w:val="16"/>
              </w:rPr>
              <w:t>HASE</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Garrett Chase</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Vice President and Chief Financial Officer</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Financial Officer)</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C</w:t>
            </w:r>
            <w:r>
              <w:rPr>
                <w:rFonts w:ascii="Arial" w:hAnsi="Arial"/>
                <w:color w:val="000000"/>
                <w:sz w:val="16"/>
              </w:rPr>
              <w:t xml:space="preserve">AMELLIA </w:t>
            </w:r>
            <w:r>
              <w:rPr>
                <w:rFonts w:ascii="Arial" w:hAnsi="Arial"/>
                <w:color w:val="000000"/>
                <w:sz w:val="20"/>
              </w:rPr>
              <w:t>E.</w:t>
            </w:r>
            <w:r>
              <w:rPr>
                <w:rFonts w:ascii="Times New Roman" w:hAnsi="Times New Roman"/>
                <w:color w:val="000000"/>
                <w:sz w:val="20"/>
              </w:rPr>
              <w:t xml:space="preserve"> </w:t>
            </w:r>
            <w:r>
              <w:rPr>
                <w:rFonts w:ascii="Arial" w:hAnsi="Arial"/>
                <w:color w:val="000000"/>
                <w:sz w:val="20"/>
              </w:rPr>
              <w:t>F</w:t>
            </w:r>
            <w:r>
              <w:rPr>
                <w:rFonts w:ascii="Arial" w:hAnsi="Arial"/>
                <w:color w:val="000000"/>
                <w:sz w:val="16"/>
              </w:rPr>
              <w:t>ITZ</w:t>
            </w:r>
            <w:r>
              <w:rPr>
                <w:rFonts w:ascii="Arial" w:hAnsi="Arial"/>
                <w:color w:val="000000"/>
                <w:sz w:val="20"/>
              </w:rPr>
              <w:t>G</w:t>
            </w:r>
            <w:r>
              <w:rPr>
                <w:rFonts w:ascii="Arial" w:hAnsi="Arial"/>
                <w:color w:val="000000"/>
                <w:sz w:val="16"/>
              </w:rPr>
              <w:t>ERALD</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Camellia E. FitzGerald</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Accounting Officer</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Accounting Officer)</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19" w:name="vsat-ex10_1.htm"/>
      <w:bookmarkStart w:id="20" w:name="ksvsatex10_1"/>
      <w:bookmarkEnd w:id="19"/>
      <w:bookmarkEnd w:id="20"/>
      <w:r>
        <w:rPr>
          <w:rFonts w:ascii="Arial" w:hAnsi="Arial"/>
          <w:b/>
          <w:color w:val="000000"/>
          <w:sz w:val="20"/>
        </w:rPr>
        <w:t>Exhibit 10.1</w:t>
      </w:r>
      <w:r>
        <w:br w:type="page"/>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aps/>
                <w:color w:val="000000"/>
                <w:sz w:val="22"/>
              </w:rPr>
            </w:pPr>
            <w:r>
              <w:rPr>
                <w:rFonts w:ascii="Times New Roman" w:hAnsi="Times New Roman"/>
                <w:b/>
                <w:caps/>
                <w:color w:val="000000"/>
                <w:sz w:val="22"/>
              </w:rPr>
              <w:t>VIASAT, INC.</w:t>
            </w:r>
          </w:p>
          <w:p>
            <w:pPr>
              <w:pStyle w:val="TableContents"/>
              <w:bidi w:val="0"/>
              <w:jc w:val="center"/>
              <w:rPr>
                <w:rFonts w:ascii="Times New Roman" w:hAnsi="Times New Roman"/>
                <w:sz w:val="22"/>
              </w:rPr>
            </w:pPr>
            <w:r>
              <w:rPr>
                <w:rFonts w:ascii="Times New Roman" w:hAnsi="Times New Roman"/>
                <w:b/>
                <w:caps/>
                <w:color w:val="000000"/>
                <w:sz w:val="22"/>
              </w:rPr>
              <w:t>1996 EQUITY PARTICIPATION Plan</w:t>
            </w:r>
            <w:r>
              <w:rPr>
                <w:rFonts w:ascii="Times New Roman" w:hAnsi="Times New Roman"/>
                <w:caps/>
                <w:color w:val="000000"/>
                <w:sz w:val="22"/>
              </w:rPr>
              <w:t xml:space="preserve"> </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Performance-based RESTRICTED STOCK UNIT AWARD Agreement –</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FREE CASH FLOW</w:t>
            </w:r>
          </w:p>
          <w:p>
            <w:pPr>
              <w:pStyle w:val="TableContents"/>
              <w:bidi w:val="0"/>
              <w:jc w:val="center"/>
              <w:rPr/>
            </w:pPr>
            <w:r>
              <w:rPr/>
              <w:t> </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(EXECUTIVE VERSION)</w:t>
            </w:r>
          </w:p>
          <w:p>
            <w:pPr>
              <w:pStyle w:val="TableContents"/>
              <w:bidi w:val="0"/>
              <w:spacing w:before="0" w:after="120"/>
              <w:ind w:left="0" w:right="0" w:firstLine="734"/>
              <w:jc w:val="center"/>
              <w:rPr/>
            </w:pPr>
            <w:r>
              <w:rPr/>
              <w:t> </w:t>
            </w:r>
          </w:p>
        </w:tc>
      </w:tr>
      <w:tr>
        <w:trPr/>
        <w:tc>
          <w:tcPr>
            <w:tcW w:w="10205" w:type="dxa"/>
            <w:tcBorders>
              <w:bottom w:val="single" w:sz="4" w:space="0" w:color="000000"/>
            </w:tcBorders>
            <w:tcMar>
              <w:top w:w="0" w:type="dxa"/>
              <w:left w:w="0" w:type="dxa"/>
              <w:right w:w="0" w:type="dxa"/>
            </w:tcMar>
            <w:vAlign w:val="center"/>
          </w:tcPr>
          <w:p>
            <w:pPr>
              <w:pStyle w:val="TableContents"/>
              <w:bidi w:val="0"/>
              <w:spacing w:before="120" w:after="120"/>
              <w:ind w:left="0" w:right="0" w:firstLine="734"/>
              <w:jc w:val="left"/>
              <w:rPr>
                <w:rFonts w:ascii="Times New Roman" w:hAnsi="Times New Roman"/>
                <w:sz w:val="22"/>
              </w:rPr>
            </w:pPr>
            <w:r>
              <w:rPr>
                <w:rFonts w:ascii="Times New Roman" w:hAnsi="Times New Roman"/>
                <w:b/>
                <w:color w:val="000000"/>
                <w:sz w:val="22"/>
              </w:rPr>
              <w:t>Grant Date:</w:t>
            </w:r>
            <w:r>
              <w:rPr>
                <w:rFonts w:ascii="Times New Roman" w:hAnsi="Times New Roman"/>
                <w:color w:val="000000"/>
                <w:sz w:val="22"/>
              </w:rPr>
              <w:t xml:space="preserve"> </w:t>
            </w:r>
          </w:p>
        </w:tc>
      </w:tr>
      <w:tr>
        <w:trPr/>
        <w:tc>
          <w:tcPr>
            <w:tcW w:w="10205" w:type="dxa"/>
            <w:tcBorders>
              <w:bottom w:val="single" w:sz="4" w:space="0" w:color="000000"/>
            </w:tcBorders>
            <w:tcMar>
              <w:top w:w="0" w:type="dxa"/>
              <w:left w:w="0" w:type="dxa"/>
              <w:right w:w="0" w:type="dxa"/>
            </w:tcMar>
            <w:vAlign w:val="center"/>
          </w:tcPr>
          <w:p>
            <w:pPr>
              <w:pStyle w:val="TableContents"/>
              <w:bidi w:val="0"/>
              <w:spacing w:before="120" w:after="120"/>
              <w:jc w:val="left"/>
              <w:rPr>
                <w:rFonts w:ascii="Times New Roman" w:hAnsi="Times New Roman"/>
                <w:sz w:val="22"/>
              </w:rPr>
            </w:pPr>
            <w:r>
              <w:rPr>
                <w:rFonts w:ascii="Times New Roman" w:hAnsi="Times New Roman"/>
                <w:b/>
                <w:color w:val="000000"/>
                <w:sz w:val="22"/>
              </w:rPr>
              <w:t xml:space="preserve">Target Number of PSUs: </w:t>
            </w:r>
            <w:r>
              <w:rPr>
                <w:rFonts w:ascii="Times New Roman" w:hAnsi="Times New Roman"/>
                <w:color w:val="000000"/>
                <w:sz w:val="22"/>
              </w:rPr>
              <w:t>Performance-Based Restricted Stock Units (“</w:t>
            </w:r>
            <w:r>
              <w:rPr>
                <w:rFonts w:ascii="Times New Roman" w:hAnsi="Times New Roman"/>
                <w:b/>
                <w:i/>
                <w:color w:val="000000"/>
                <w:sz w:val="22"/>
              </w:rPr>
              <w:t>PSUs</w:t>
            </w:r>
            <w:r>
              <w:rPr>
                <w:rFonts w:ascii="Times New Roman" w:hAnsi="Times New Roman"/>
                <w:color w:val="000000"/>
                <w:sz w:val="22"/>
              </w:rPr>
              <w:t>”)</w:t>
            </w:r>
          </w:p>
        </w:tc>
      </w:tr>
      <w:tr>
        <w:trPr/>
        <w:tc>
          <w:tcPr>
            <w:tcW w:w="10205" w:type="dxa"/>
            <w:tcBorders>
              <w:bottom w:val="single" w:sz="4" w:space="0" w:color="000000"/>
            </w:tcBorders>
            <w:tcMar>
              <w:top w:w="0" w:type="dxa"/>
              <w:left w:w="0" w:type="dxa"/>
              <w:right w:w="0" w:type="dxa"/>
            </w:tcMar>
            <w:vAlign w:val="center"/>
          </w:tcPr>
          <w:p>
            <w:pPr>
              <w:pStyle w:val="TableContents"/>
              <w:bidi w:val="0"/>
              <w:spacing w:before="120" w:after="120"/>
              <w:jc w:val="left"/>
              <w:rPr>
                <w:rFonts w:ascii="Times New Roman" w:hAnsi="Times New Roman"/>
                <w:sz w:val="22"/>
              </w:rPr>
            </w:pPr>
            <w:r>
              <w:rPr>
                <w:rFonts w:ascii="Times New Roman" w:hAnsi="Times New Roman"/>
                <w:b/>
                <w:color w:val="000000"/>
                <w:sz w:val="22"/>
              </w:rPr>
              <w:t xml:space="preserve">Maximum Number of PSUs: </w:t>
            </w:r>
            <w:r>
              <w:rPr>
                <w:rFonts w:ascii="Times New Roman" w:hAnsi="Times New Roman"/>
                <w:color w:val="000000"/>
                <w:sz w:val="22"/>
              </w:rPr>
              <w:t>200% of Target Number of PSUs</w:t>
            </w:r>
          </w:p>
        </w:tc>
      </w:tr>
      <w:tr>
        <w:trPr/>
        <w:tc>
          <w:tcPr>
            <w:tcW w:w="10205"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Name:</w:t>
            </w:r>
            <w:r>
              <w:rPr>
                <w:rFonts w:ascii="Times New Roman" w:hAnsi="Times New Roman"/>
                <w:color w:val="000000"/>
                <w:sz w:val="22"/>
              </w:rPr>
              <w:t xml:space="preserve"> </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Signature:</w:t>
            </w:r>
            <w:r>
              <w:rPr>
                <w:rFonts w:ascii="Times New Roman" w:hAnsi="Times New Roman"/>
                <w:color w:val="000000"/>
                <w:sz w:val="22"/>
              </w:rPr>
              <w:t xml:space="preserve"> </w:t>
            </w:r>
          </w:p>
          <w:p>
            <w:pPr>
              <w:pStyle w:val="TableContents"/>
              <w:bidi w:val="0"/>
              <w:spacing w:before="0" w:after="283"/>
              <w:jc w:val="left"/>
              <w:rPr/>
            </w:pPr>
            <w:r>
              <w:rPr/>
              <w:t> </w:t>
            </w:r>
          </w:p>
        </w:tc>
      </w:tr>
      <w:tr>
        <w:trPr/>
        <w:tc>
          <w:tcPr>
            <w:tcW w:w="10205" w:type="dxa"/>
            <w:tcBorders>
              <w:bottom w:val="single" w:sz="4" w:space="0" w:color="000000"/>
            </w:tcBorders>
            <w:shd w:fill="E6E6FA" w:val="clear"/>
            <w:tcMar>
              <w:top w:w="0" w:type="dxa"/>
              <w:left w:w="0" w:type="dxa"/>
              <w:right w:w="0" w:type="dxa"/>
            </w:tcMar>
            <w:vAlign w:val="center"/>
          </w:tcPr>
          <w:p>
            <w:pPr>
              <w:pStyle w:val="TableContents"/>
              <w:bidi w:val="0"/>
              <w:jc w:val="left"/>
              <w:rPr/>
            </w:pPr>
            <w:r>
              <w:rPr/>
              <w:t> </w:t>
            </w:r>
          </w:p>
          <w:p>
            <w:pPr>
              <w:pStyle w:val="TableContents"/>
              <w:bidi w:val="0"/>
              <w:jc w:val="center"/>
              <w:rPr>
                <w:rFonts w:ascii="Times New Roman" w:hAnsi="Times New Roman"/>
                <w:sz w:val="22"/>
              </w:rPr>
            </w:pPr>
            <w:r>
              <w:rPr>
                <w:rFonts w:ascii="Times New Roman" w:hAnsi="Times New Roman"/>
                <w:b/>
                <w:caps/>
                <w:color w:val="000000"/>
                <w:sz w:val="22"/>
              </w:rPr>
              <w:t>Acceptance of PSU Award</w:t>
            </w:r>
            <w:r>
              <w:rPr>
                <w:rFonts w:ascii="Times New Roman" w:hAnsi="Times New Roman"/>
                <w:b/>
                <w:color w:val="000000"/>
                <w:sz w:val="22"/>
              </w:rPr>
              <w:t>:</w:t>
            </w:r>
          </w:p>
          <w:p>
            <w:pPr>
              <w:pStyle w:val="TableContents"/>
              <w:bidi w:val="0"/>
              <w:jc w:val="left"/>
              <w:rPr/>
            </w:pPr>
            <w:r>
              <w:rPr/>
              <w:t> </w:t>
            </w:r>
          </w:p>
          <w:p>
            <w:pPr>
              <w:pStyle w:val="TableContents"/>
              <w:bidi w:val="0"/>
              <w:jc w:val="both"/>
              <w:rPr>
                <w:rFonts w:ascii="Times New Roman" w:hAnsi="Times New Roman"/>
                <w:sz w:val="22"/>
              </w:rPr>
            </w:pPr>
            <w:r>
              <w:rPr>
                <w:rFonts w:ascii="Times New Roman" w:hAnsi="Times New Roman"/>
                <w:color w:val="000000"/>
                <w:sz w:val="22"/>
              </w:rPr>
              <w:t>By signing where indicated above, you agree to be bound by the terms and conditions of this Performance-Based Restricted Stock Unit Award Agreement (the “</w:t>
            </w:r>
            <w:r>
              <w:rPr>
                <w:rFonts w:ascii="Times New Roman" w:hAnsi="Times New Roman"/>
                <w:b/>
                <w:i/>
                <w:color w:val="000000"/>
                <w:sz w:val="22"/>
              </w:rPr>
              <w:t>Agreement</w:t>
            </w:r>
            <w:r>
              <w:rPr>
                <w:rFonts w:ascii="Times New Roman" w:hAnsi="Times New Roman"/>
                <w:color w:val="000000"/>
                <w:sz w:val="22"/>
              </w:rPr>
              <w:t>”) and the 1996 Equity Participation Plan of Viasat, Inc. (as amended from time to time, the “</w:t>
            </w:r>
            <w:r>
              <w:rPr>
                <w:rFonts w:ascii="Times New Roman" w:hAnsi="Times New Roman"/>
                <w:b/>
                <w:i/>
                <w:color w:val="000000"/>
                <w:sz w:val="22"/>
              </w:rPr>
              <w:t>Plan</w:t>
            </w:r>
            <w:r>
              <w:rPr>
                <w:rFonts w:ascii="Times New Roman" w:hAnsi="Times New Roman"/>
                <w:color w:val="000000"/>
                <w:sz w:val="22"/>
              </w:rPr>
              <w:t>”). You acknowledge that you have reviewed and fully understand all of the provisions of this Agreement and the Plan, and have had the opportunity to obtain advice of counsel prior to accepting the grant of PSUs pursuant to this Agreement. You hereby agree to accept as binding, conclusive and final all decisions or interpretations of the Compensation and Human Resources Committee of the Board (the “</w:t>
            </w:r>
            <w:r>
              <w:rPr>
                <w:rFonts w:ascii="Times New Roman" w:hAnsi="Times New Roman"/>
                <w:b/>
                <w:i/>
                <w:color w:val="000000"/>
                <w:sz w:val="22"/>
              </w:rPr>
              <w:t>Committee</w:t>
            </w:r>
            <w:r>
              <w:rPr>
                <w:rFonts w:ascii="Times New Roman" w:hAnsi="Times New Roman"/>
                <w:color w:val="000000"/>
                <w:sz w:val="22"/>
              </w:rPr>
              <w:t>”) upon any questions relating to this Agreement and the Plan.</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TERMS AND CONDITIONS OF PSU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2"/>
          <w:u w:val="single"/>
        </w:rPr>
        <w:t>Grant</w:t>
      </w:r>
      <w:r>
        <w:rPr>
          <w:rFonts w:ascii="Times New Roman" w:hAnsi="Times New Roman"/>
          <w:color w:val="000000"/>
          <w:sz w:val="22"/>
        </w:rPr>
        <w:t>. Effective on the Grant Date, you have been granted the number of PSUs indicated above providing you the right to receive Common Stock of Viasat, Inc., a Delaware corporation (the “</w:t>
      </w:r>
      <w:r>
        <w:rPr>
          <w:rFonts w:ascii="Times New Roman" w:hAnsi="Times New Roman"/>
          <w:b/>
          <w:i/>
          <w:color w:val="000000"/>
          <w:sz w:val="22"/>
        </w:rPr>
        <w:t>Company</w:t>
      </w:r>
      <w:r>
        <w:rPr>
          <w:color w:val="000000"/>
        </w:rPr>
        <w:t>”</w:t>
      </w:r>
      <w:r>
        <w:rPr>
          <w:rFonts w:ascii="Times New Roman" w:hAnsi="Times New Roman"/>
          <w:color w:val="000000"/>
          <w:sz w:val="22"/>
        </w:rPr>
        <w:t xml:space="preserve">), in accordance with the provisions of this Agreement and the provisions of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2"/>
          <w:u w:val="single"/>
        </w:rPr>
        <w:t>Forfeiture Upon Termination</w:t>
      </w:r>
      <w:r>
        <w:rPr>
          <w:rFonts w:ascii="Times New Roman" w:hAnsi="Times New Roman"/>
          <w:color w:val="000000"/>
          <w:sz w:val="22"/>
        </w:rPr>
        <w:t>. Except as provided in the Vesting Schedule (as defined below), until vested, the PSUs will be subject to forfeiture in the event of the termination of your employment or service with the Company and all of its Subsidiaries for any reason, whether such termination is occasioned by you, by the Company or any of its Subsidiaries, with or without cause or by mutual agreement (“</w:t>
      </w:r>
      <w:r>
        <w:rPr>
          <w:rFonts w:ascii="Times New Roman" w:hAnsi="Times New Roman"/>
          <w:b/>
          <w:i/>
          <w:color w:val="000000"/>
          <w:sz w:val="22"/>
        </w:rPr>
        <w:t>Termination of Employment</w:t>
      </w:r>
      <w:r>
        <w:rPr>
          <w:color w:val="000000"/>
        </w:rPr>
        <w: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2"/>
          <w:u w:val="single"/>
        </w:rPr>
        <w:t>Transferability</w:t>
      </w:r>
      <w:r>
        <w:rPr>
          <w:rFonts w:ascii="Times New Roman" w:hAnsi="Times New Roman"/>
          <w:color w:val="000000"/>
          <w:sz w:val="22"/>
        </w:rPr>
        <w:t xml:space="preserve">. Until vested and issued upon settlement, neither the PSUs nor any right or interest therein is transferable by you except by will or the laws of descent and distribution. Until Common Stock is issued upon settlement of the PSUs, you will not be deemed for any purpose to be, or have rights as, a Company shareholder by virtue of this award. You are not entitled to vote any shares of Common Stock by virtue of this award unless and until such shares of Common Stock have been issued to you upon settlement of the PSUs.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2"/>
          <w:u w:val="single"/>
        </w:rPr>
        <w:t>Vesting</w:t>
      </w:r>
      <w:r>
        <w:rPr>
          <w:rFonts w:ascii="Times New Roman" w:hAnsi="Times New Roman"/>
          <w:color w:val="000000"/>
          <w:sz w:val="22"/>
        </w:rPr>
        <w:t xml:space="preserve">. The PSUs will vest in accordance with the “Vesting Schedule” attached hereto as </w:t>
      </w:r>
      <w:r>
        <w:rPr>
          <w:rFonts w:ascii="Times New Roman" w:hAnsi="Times New Roman"/>
          <w:color w:val="000000"/>
          <w:sz w:val="22"/>
          <w:u w:val="single"/>
        </w:rPr>
        <w:t>Exhibit A</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2"/>
          <w:u w:val="single"/>
        </w:rPr>
        <w:t>Payment</w:t>
      </w:r>
      <w:r>
        <w:rPr>
          <w:rFonts w:ascii="Times New Roman" w:hAnsi="Times New Roman"/>
          <w:color w:val="000000"/>
          <w:sz w:val="22"/>
        </w:rPr>
        <w:t xml:space="preserve">. You will be issued shares of Common Stock equal to the number of vested PSUs in settlement of the PSUs (subject to the withholding requirements described in Section 6 below, as applicable) within ten days following the vesting of the PSUs in accordance with the Vesting Schedule.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2"/>
          <w:u w:val="single"/>
        </w:rPr>
        <w:t>Withholding</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The Company has the authority to deduct or withhold, or require you to remit to the Company, an amount sufficient to satisfy applicable Federal, state, local and foreign taxes (including any FICA obligation) required by law to be withheld with respect to any taxable event arising from the vesting of the PSUs and/or receipt of the shares of Common Stock upon settlement of the PSUs. At any time not less than five business days before any such tax withholding obligation arises, you may satisfy your tax obligation, in whole or in part, by either: (i) electing to have the Company withhold from your salary or other cash compensation payable to you or shares of Common Stock otherwise to be delivered upon settlement of the PSUs with a Fair Market Value equal to the minimum amount of the tax withholding obligation, or (ii) paying the amount of the tax withholding obligation directly to the Company in cash. </w:t>
      </w:r>
      <w:r>
        <w:rPr>
          <w:rFonts w:ascii="Times New Roman" w:hAnsi="Times New Roman"/>
          <w:b/>
          <w:color w:val="000000"/>
          <w:sz w:val="22"/>
        </w:rPr>
        <w:t xml:space="preserve">Unless you choose to satisfy your tax withholding obligation in accordance with subsection (ii) above, your tax withholding obligation will be automatically satisfied in accordance with subsection (i) above. The Committee or the Board will have the right to disapprove an election to pay your tax withholding obligation under subsection (ii) in its sole discretion.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In the event your tax withholding obligation will be satisfied under subsection (i) of Section 6(a) above, then the Company, upon approval of the Committee or the Board, may elect (in lieu of withholding shares) to instruct any brokerage firm determined acceptable to the Company for such purpose to sell on your behalf (pursuant to this authorization) a whole number of shares from those shares of Common Stock issuable to you upon settlement of the PSUs as the Company determines to be appropriate to generate cash proceeds sufficient to satisfy your tax withholding obligation. Your acceptance of this PSU award constitutes your instruction and authorization to the Company and such brokerage firm to complete the transactions described in the previous sentence, as applicable</w:t>
      </w:r>
      <w:r>
        <w:rPr>
          <w:rFonts w:ascii="Times New Roman" w:hAnsi="Times New Roman"/>
          <w:color w:val="000000"/>
          <w:sz w:val="22"/>
        </w:rPr>
        <w:t xml:space="preserve">. Such shares will be sold on the day the tax withholding obligation arises or as soon thereafter as practicable. The shares may be sold as part of a block trade with other participants of the Plan in which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all participants receive an average price. You will be responsible for all broker’s fees and other costs of sale, and you agree to indemnify and hold the Company harmless from any losses, costs, damages, or expenses relating to any such sale. To the extent permissible under Section 409A of the Code, and to the extent the proceeds of such sale exceed your tax withholding obligation, the Company agrees to pay such excess in cash to you as soon as practicable. You acknowledge that the Company or its designee is under no obligation to arrange for such sale at any particular price, and that the proceeds of any such sale may not be sufficient to satisfy your tax withholding obligation.</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may refuse to issue any Common Stock in settlement of your PSUs to you until your tax withholding obligations are satisfied. To the maximum extent permitted by law, the Company has the right to retain without notice from shares issuable under the PSUs or from salary payable to you, shares or cash having a value sufficient to satisfy your tax withholding obligation.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2"/>
          <w:u w:val="single"/>
        </w:rPr>
        <w:t>No Effect on Employment</w:t>
      </w:r>
      <w:r>
        <w:rPr>
          <w:rFonts w:ascii="Times New Roman" w:hAnsi="Times New Roman"/>
          <w:color w:val="000000"/>
          <w:sz w:val="22"/>
        </w:rPr>
        <w:t xml:space="preserve">. Nothing in the Plan or this Agreement will be interpreted to interfere with or limit in any way the right of the Company or any Subsidiary to terminate your employment or services at any time, nor confer upon you the right to continue in the employ or service of the Company or any Subsidiary.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2"/>
          <w:u w:val="single"/>
        </w:rPr>
        <w:t>Plan Governs</w:t>
      </w:r>
      <w:r>
        <w:rPr>
          <w:rFonts w:ascii="Times New Roman" w:hAnsi="Times New Roman"/>
          <w:color w:val="000000"/>
          <w:sz w:val="22"/>
        </w:rPr>
        <w:t xml:space="preserve">. This PSU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PSUs under the Plan is a one-time benefit and does not create any contractual or other right to receive an award of PSUs or benefits in lieu of PSUs in the future. Future awards of PSUs, if any, will be at the sole discretion of the Company, including, but not limited to, the timing of the award, the number of shares and vesting provisions. By execution of this Agreement, you consent to the provisions of the Plan and this Agreement. Defined terms used herein will have the meaning set forth in the Plan, unless otherwise defined herein.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2"/>
          <w:u w:val="single"/>
        </w:rPr>
        <w:t>Amendment</w:t>
      </w:r>
      <w:r>
        <w:rPr>
          <w:rFonts w:ascii="Times New Roman" w:hAnsi="Times New Roman"/>
          <w:color w:val="000000"/>
          <w:sz w:val="22"/>
        </w:rPr>
        <w:t>. The Committee may amend, terminate or revoke this Agreement in any respect to the extent determined necessary or desirable by the Committee in its discretion to comply with the requirements of Section 409A of the Code and the Treasury Regulations or other guidance issued thereunder. You expressly understand and agree that no additional consent from you will be required in connection with such amendment, termination or revocation.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2"/>
          <w:u w:val="single"/>
        </w:rPr>
        <w:t>Section 409A</w:t>
      </w:r>
      <w:r>
        <w:rPr>
          <w:rFonts w:ascii="Times New Roman" w:hAnsi="Times New Roman"/>
          <w:color w:val="000000"/>
          <w:sz w:val="22"/>
        </w:rPr>
        <w:t>. To the extent applicable, this Agreement and the PSUs will be interpreted in accordance with Section 409A of the Code and Department of Treasury regulations and other interpretive guidance issued thereunder. This PSU award is not intended to constitute “nonqualified deferred compensation” within the meaning of Section 409A of the Code and the Department of Treasury regulations and other interpretive guidance issued thereunder under the “short-term deferral” exception set forth in Treasury Regulation Section 1.409A-1(b)(4) (and, accordingly, the shares of Common Stock issuable hereunder shall be distributed to you within the time period required under such “short-term deferral” exception). For purposes of Section 409A of the Code (including, without limitation, for purposes of Treasury Regulation Section 1.409A-2(b)(2)(iii)), each payment that you may be eligible to receive under this Agreement will be treated as a separate and distinct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2"/>
          <w:u w:val="single"/>
        </w:rPr>
        <w:t>Governing Law and Venue</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PSU grant and the provisions of this Agreement are governed by, and subject to, the laws of the State of California, without regard to the conflict of law provisions, as provided in the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For purposes of any action, lawsuit or other proceedings brought to enforce this Agreement, relating to it, or arising from it, the parties hereby submit to and consent to the sole and exclusive jurisdiction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of the courts of</w:t>
      </w:r>
      <w:r>
        <w:rPr>
          <w:color w:val="000000"/>
        </w:rPr>
        <w:t xml:space="preserve"> </w:t>
      </w:r>
      <w:r>
        <w:rPr>
          <w:rFonts w:ascii="Times New Roman" w:hAnsi="Times New Roman"/>
          <w:color w:val="000000"/>
          <w:sz w:val="22"/>
        </w:rPr>
        <w:t>San Diego County, California, or the federal courts for the United States for the Southern District of California, and no other courts, where this grant is made and/or to be performed.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2"/>
          <w:u w:val="single"/>
        </w:rPr>
        <w:t>Electronic Delivery and Acceptance</w:t>
      </w:r>
      <w:r>
        <w:rPr>
          <w:rFonts w:ascii="Times New Roman" w:hAnsi="Times New Roman"/>
          <w:color w:val="000000"/>
          <w:sz w:val="22"/>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The provisions of this Agreement are severable, and if any one or more provisions are determined to be illegal or otherwise unenforceable, in whole or in part, the remaining provisions will nevertheless be binding and 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2"/>
          <w:u w:val="single"/>
        </w:rPr>
        <w:t>Imposition of Other Requirements</w:t>
      </w:r>
      <w:r>
        <w:rPr>
          <w:rFonts w:ascii="Times New Roman" w:hAnsi="Times New Roman"/>
          <w:color w:val="000000"/>
          <w:sz w:val="22"/>
        </w:rPr>
        <w:t>. The Company reserves the right to impose other requirements on your participation in the Plan, on the PSUs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2"/>
          <w:u w:val="single"/>
        </w:rPr>
        <w:t>Waiver</w:t>
      </w:r>
      <w:r>
        <w:rPr>
          <w:rFonts w:ascii="Times New Roman" w:hAnsi="Times New Roman"/>
          <w:color w:val="000000"/>
          <w:sz w:val="22"/>
        </w:rPr>
        <w:t>. You acknowledge that a waiver by the Company of breach of any provision of this Agreement will not operate or be construed as a waiver of any other provision of this Agreement, or of any subsequent breach by you or any other Grantee.</w:t>
      </w:r>
    </w:p>
    <w:p>
      <w:pPr>
        <w:pStyle w:val="TextBody"/>
        <w:bidi w:val="0"/>
        <w:spacing w:before="0" w:after="24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2"/>
        </w:rPr>
        <w:t>EXHIBIT A: VESTING SCHEDULE OF PSU AWARD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Capitalized terms used in this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 xml:space="preserve">and not defined in Section 4 below or elsewhere in this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 xml:space="preserve">will have the meanings given them in the Agreement to which this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is attached.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Performance-Based Vesting</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Measurement Date Occurs on March 31, [INSERT GRANT YEAR + 3]</w:t>
      </w:r>
      <w:r>
        <w:rPr>
          <w:rFonts w:ascii="Times New Roman" w:hAnsi="Times New Roman"/>
          <w:color w:val="000000"/>
          <w:sz w:val="22"/>
        </w:rPr>
        <w:t xml:space="preserve">. Subject to Sections 1(b) and 2 below, you will be eligible to vest in the PSUs based on the Company’s cumulative Free Cash Flow for the Performance Period. In the event the Measurement Date is March 31, [INSERT GRANT YEAR + 3], you will vest in such number of PSUs on the Certification Date as is equal to (i) the “Target Number of PSUs” subject to this Agreement, multiplied by (ii) the Free Cash Flow Performance Multiplier determined as of the Measurement Date (rounded to the nearest whole share), subject to an overall cap equal to the “Maximum Number of PSUs” subject to the Agreement, and provided you do not experience a Termination of Employment prior to the Certification Date. </w:t>
      </w:r>
    </w:p>
    <w:p>
      <w:pPr>
        <w:pStyle w:val="TextBody"/>
        <w:bidi w:val="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4"/>
          <w:u w:val="single"/>
        </w:rPr>
        <w:t>Measurement Date Occurs As a Result of a Change in Control</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Change in Control Prior to March 31, [INSERT GRANT YEAR + 3]</w:t>
      </w:r>
      <w:r>
        <w:rPr>
          <w:rFonts w:ascii="Times New Roman" w:hAnsi="Times New Roman"/>
          <w:color w:val="000000"/>
          <w:sz w:val="22"/>
        </w:rPr>
        <w:t>.</w:t>
      </w:r>
      <w:r>
        <w:rPr>
          <w:rFonts w:ascii="Times New Roman" w:hAnsi="Times New Roman"/>
          <w:caps/>
          <w:color w:val="000000"/>
          <w:sz w:val="20"/>
        </w:rPr>
        <w:t xml:space="preserve"> </w:t>
      </w:r>
      <w:r>
        <w:rPr>
          <w:rFonts w:ascii="Times New Roman" w:hAnsi="Times New Roman"/>
          <w:color w:val="000000"/>
          <w:sz w:val="22"/>
        </w:rPr>
        <w:t>Notwithstanding Section 1(a) above, in the event of a Change in Control prior to March 31, [INSERT GRANT YEAR + 3], such number of PSUs will become “</w:t>
      </w:r>
      <w:r>
        <w:rPr>
          <w:rFonts w:ascii="Times New Roman" w:hAnsi="Times New Roman"/>
          <w:b/>
          <w:i/>
          <w:color w:val="000000"/>
          <w:sz w:val="22"/>
        </w:rPr>
        <w:t>Vesting Eligible PSUs</w:t>
      </w:r>
      <w:r>
        <w:rPr>
          <w:rFonts w:ascii="Times New Roman" w:hAnsi="Times New Roman"/>
          <w:color w:val="000000"/>
          <w:sz w:val="20"/>
        </w:rPr>
        <w:t xml:space="preserve">” </w:t>
      </w:r>
      <w:r>
        <w:rPr>
          <w:rFonts w:ascii="Times New Roman" w:hAnsi="Times New Roman"/>
          <w:color w:val="000000"/>
          <w:sz w:val="22"/>
        </w:rPr>
        <w:t xml:space="preserve">on the date of the Change in Control as is equal to (A) the “Target Number of PSUs” subject to this Agreement, multiplied by (B) the greater of (1) one hundred percent (100%) or (2) the Free Cash Flow Performance Multiplier as of the Measurement Date </w:t>
      </w:r>
      <w:r>
        <w:rPr>
          <w:rFonts w:ascii="Times New Roman" w:hAnsi="Times New Roman"/>
          <w:caps/>
          <w:color w:val="000000"/>
          <w:sz w:val="22"/>
        </w:rPr>
        <w:t>(</w:t>
      </w:r>
      <w:r>
        <w:rPr>
          <w:rFonts w:ascii="Times New Roman" w:hAnsi="Times New Roman"/>
          <w:color w:val="000000"/>
          <w:sz w:val="22"/>
        </w:rPr>
        <w:t>with the performance goals for cumulative Free Cash Flow prorated to reflect the portion of the Performance Period that has elapsed prior to the date of such Change in Control and achievement measured against such prorated goals), determined by the Committee prior to such Change in Control. Subject to Section 2 below, the “</w:t>
      </w:r>
      <w:r>
        <w:rPr>
          <w:rFonts w:ascii="Times New Roman" w:hAnsi="Times New Roman"/>
          <w:b/>
          <w:i/>
          <w:color w:val="000000"/>
          <w:sz w:val="22"/>
        </w:rPr>
        <w:t>Vesting Eligible PSUs</w:t>
      </w:r>
      <w:r>
        <w:rPr>
          <w:rFonts w:ascii="Times New Roman" w:hAnsi="Times New Roman"/>
          <w:color w:val="000000"/>
          <w:sz w:val="20"/>
        </w:rPr>
        <w:t xml:space="preserve">” </w:t>
      </w:r>
      <w:r>
        <w:rPr>
          <w:rFonts w:ascii="Times New Roman" w:hAnsi="Times New Roman"/>
          <w:color w:val="000000"/>
          <w:sz w:val="22"/>
        </w:rPr>
        <w:t>will remain eligible to vest following such Change in Control on March 31, [INSERT GRANT YEAR + 3], provided you do not experience a Termination of Employment prior to such date.</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Change in Control On or After March 31, [INSERT GRANT YEAR + 3]</w:t>
      </w:r>
      <w:r>
        <w:rPr>
          <w:rFonts w:ascii="Times New Roman" w:hAnsi="Times New Roman"/>
          <w:color w:val="000000"/>
          <w:sz w:val="22"/>
        </w:rPr>
        <w:t>. In the event of a Change in Control on or after March 31, [INSERT GRANT YEAR + 3], if the Certification Date has not yet occurred prior to the date of such Change in Control, such number of PSUs will vest as of the date of the Change in Control as is determined under Section 1(a) above, provided you do not experience a Termination of Employment prior to such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Effect of Termination of Employment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Effect of Termination Due to Death or Permanent Disability</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the event of your Termination of Employment as a result of your death or Permanent Disability prior to the Certification Date and prior to a Change in Control, you will remain eligible to vest on the Certification Date in such portion of the PSUs as are determined to vest on the Certification Date based on the Company’s Free Cash Flow Performance Multiplier for the Performance Period.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In the event of your Termination of Employment as a result of your death or Permanent Disability on or after the date of a Change in Control but prior to March 31, [INSERT GRANT YEAR + 3], you will vest in the Vesting Eligible PSUs on the date of your Termination of Employment.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Effect of Other Terminations</w:t>
      </w:r>
      <w:r>
        <w:rPr>
          <w:rFonts w:ascii="Times New Roman" w:hAnsi="Times New Roman"/>
          <w:color w:val="000000"/>
          <w:sz w:val="22"/>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(i) In the event of your Termination of Employment for any reason other than your death or Permanent Disability prior to the Certification Date and prior to a Change in Control, any unvested PSUs will be forfeited;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that the PSUs will be subject to any time-based accelerated vesting as may be provided in any employment or severance agreement between you and the Company, and in the event any such time-based accelerated vesting applies and the Measurement Date would otherwise occur under Section 1(a) prior to or during the period covered by such time-based accelerated vesting, you will remain eligible to vest on the Certification Date in such portion of the PSUs as are determined to vest on the Certification Date based on the Company’s Free Cash Flow Performance Multiplier for the Performance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In the event of your Termination of Employment for any reason other than your death or Permanent Disability on or after the date of a Change in Control but prior to March 31, [INSERT GRANT YEAR + 3], any unvested PSUs will be forfeited;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Vesting Eligible PSUs will be subject to any time-based accelerated vesting as may be provided in any employment or severance agreement between you and the Company (and any such unvested Vesting Eligible PSUs that vest on an accelerated basis will vest on the date of your Termination of Employment).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Notwithstanding the foregoing, to the extent any such agreement between you and the Company provides for accelerated vesting upon your termination without “cause” or resignation for “good reason” (each as defined in any such agreement), such accelerated vesting will only apply to the extent</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your termination without “cause” occurs on or after the Grant Date, or (B) the circumstances giving rise to “good reason” first occur on or after the Grant Date</w:t>
      </w:r>
      <w:r>
        <w:rPr>
          <w:rFonts w:ascii="Times New Roman" w:hAnsi="Times New Roman"/>
          <w:i/>
          <w:color w:val="000000"/>
          <w:sz w:val="22"/>
        </w:rPr>
        <w:t xml:space="preserve">; </w:t>
      </w:r>
      <w:r>
        <w:rPr>
          <w:rFonts w:ascii="Times New Roman" w:hAnsi="Times New Roman"/>
          <w:color w:val="000000"/>
          <w:sz w:val="22"/>
        </w:rPr>
        <w:t>and, in addition to the foregoing, to the extent any such agreement between you and the Company provides for accelerated vesting upon your termination without “cause” or resignation for “good reason” following a “change in control” (each as defined in any such agreement), such accelerated vesting will only apply to the extent a “change in control” occurs on or after the Grant Date and will not apply to any “change in control” that occurred prior to the Grant Date. Any employment, services, severance, change in control or other compensation agreement between you and the Company is hereby amended to be consistent with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u w:val="single"/>
        </w:rPr>
        <w:t>Forfeiture</w:t>
      </w:r>
      <w:r>
        <w:rPr>
          <w:rFonts w:ascii="Times New Roman" w:hAnsi="Times New Roman"/>
          <w:color w:val="000000"/>
          <w:sz w:val="22"/>
        </w:rPr>
        <w:t xml:space="preserve">. Subject to Section 2 above, any portion of this PSU award that does not vest (or remain eligible to vest) as a result of your Termination of Employment or as a result of less than the “Maximum Number of PSUs” subject to this award vesting (or remaining eligible to vest) will automatically and without further action be cancelled and forfeited by you, and you will have no further right or interest in or with respect to such portion of this PSU award. In no event will more than the “Maximum Number of PSUs” subject to this award vest pursuant to this </w:t>
      </w:r>
      <w:r>
        <w:rPr>
          <w:rFonts w:ascii="Times New Roman" w:hAnsi="Times New Roman"/>
          <w:color w:val="000000"/>
          <w:sz w:val="22"/>
          <w:u w:val="single"/>
        </w:rPr>
        <w:t>Exhibit A</w:t>
      </w:r>
      <w:r>
        <w:rPr>
          <w:rFonts w:ascii="Times New Roman" w:hAnsi="Times New Roman"/>
          <w:color w:val="000000"/>
          <w:sz w:val="22"/>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0"/>
        <w:jc w:val="both"/>
        <w:rPr/>
      </w:pPr>
      <w:r>
        <w:rPr>
          <w:rFonts w:ascii="Times New Roman" w:hAnsi="Times New Roman"/>
          <w:color w:val="000000"/>
          <w:sz w:val="22"/>
          <w:u w:val="single"/>
        </w:rPr>
        <w:t>Definitions</w:t>
      </w:r>
      <w:r>
        <w:rPr>
          <w:rFonts w:ascii="Times New Roman" w:hAnsi="Times New Roman"/>
          <w:color w:val="000000"/>
          <w:sz w:val="22"/>
        </w:rPr>
        <w:t xml:space="preserve">. For purposes of this </w:t>
      </w:r>
      <w:r>
        <w:rPr>
          <w:rFonts w:ascii="Times New Roman" w:hAnsi="Times New Roman"/>
          <w:color w:val="000000"/>
          <w:sz w:val="22"/>
          <w:u w:val="single"/>
        </w:rPr>
        <w:t>Exhibit A</w:t>
      </w:r>
      <w:r>
        <w:rPr>
          <w:rFonts w:ascii="Times New Roman" w:hAnsi="Times New Roman"/>
          <w:color w:val="000000"/>
          <w:sz w:val="22"/>
        </w:rPr>
        <w:t>, the following terms will have the meanings given below: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color w:val="000000"/>
        </w:rPr>
        <w:t>“</w:t>
      </w:r>
      <w:r>
        <w:rPr>
          <w:rFonts w:ascii="Times New Roman" w:hAnsi="Times New Roman"/>
          <w:b/>
          <w:i/>
          <w:color w:val="000000"/>
          <w:sz w:val="22"/>
        </w:rPr>
        <w:t>Certification Date</w:t>
      </w:r>
      <w:r>
        <w:rPr>
          <w:color w:val="000000"/>
        </w:rPr>
        <w:t xml:space="preserve">” </w:t>
      </w:r>
      <w:r>
        <w:rPr>
          <w:rFonts w:ascii="Times New Roman" w:hAnsi="Times New Roman"/>
          <w:color w:val="000000"/>
          <w:sz w:val="22"/>
        </w:rPr>
        <w:t>means the date on which the Committee certifies the Free Cash Flow Performance Multiplier, which certification will occur on or prior to June 15, [INSERT GRANT YEAR + 3].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color w:val="000000"/>
        </w:rPr>
        <w:t>“</w:t>
      </w:r>
      <w:r>
        <w:rPr>
          <w:rFonts w:ascii="Times New Roman" w:hAnsi="Times New Roman"/>
          <w:b/>
          <w:i/>
          <w:color w:val="000000"/>
          <w:sz w:val="22"/>
        </w:rPr>
        <w:t>Change in Control</w:t>
      </w:r>
      <w:r>
        <w:rPr>
          <w:color w:val="000000"/>
        </w:rPr>
        <w:t xml:space="preserve">” </w:t>
      </w:r>
      <w:r>
        <w:rPr>
          <w:rFonts w:ascii="Times New Roman" w:hAnsi="Times New Roman"/>
          <w:color w:val="000000"/>
          <w:sz w:val="22"/>
        </w:rPr>
        <w:t>means and includes each of the following occurring on or after the Grant Date:</w:t>
      </w:r>
    </w:p>
    <w:p>
      <w:pPr>
        <w:pStyle w:val="TextBody"/>
        <w:bidi w:val="0"/>
        <w:spacing w:before="240" w:after="240"/>
        <w:jc w:val="both"/>
        <w:rPr>
          <w:rFonts w:ascii="Times New Roman" w:hAnsi="Times New Roman"/>
          <w:sz w:val="20"/>
        </w:rPr>
      </w:pPr>
      <w:r>
        <w:rPr>
          <w:rFonts w:ascii="Times New Roman" w:hAnsi="Times New Roman"/>
          <w:color w:val="000000"/>
          <w:sz w:val="22"/>
        </w:rPr>
        <w:t>(i) A transaction or series of transactions (other than an offering of the Company’s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2"/>
        </w:rPr>
        <w:t>Company) directly or indirectly acquires beneficial ownership (within the meaning of Rule 13d-3 under the Exchange Act) of securities of the Company possessing more than forty percent (40%) of the total combined voting power of the Company’s securities outstanding immediately after such acquisition;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The individuals who, as of the Grant Date are members of the Board (the “</w:t>
      </w:r>
      <w:r>
        <w:rPr>
          <w:rFonts w:ascii="Times New Roman" w:hAnsi="Times New Roman"/>
          <w:b/>
          <w:i/>
          <w:color w:val="000000"/>
          <w:sz w:val="22"/>
        </w:rPr>
        <w:t>Incumbent Board</w:t>
      </w:r>
      <w:r>
        <w:rPr>
          <w:rFonts w:ascii="Times New Roman" w:hAnsi="Times New Roman"/>
          <w:color w:val="000000"/>
          <w:sz w:val="20"/>
        </w:rPr>
        <w:t>”</w:t>
      </w:r>
      <w:r>
        <w:rPr>
          <w:rFonts w:ascii="Times New Roman" w:hAnsi="Times New Roman"/>
          <w:color w:val="000000"/>
          <w:sz w:val="22"/>
        </w:rPr>
        <w:t xml:space="preserve">), cease for any reason to constitute at least two-thirds of the members of the Board;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the election, or nomination for election by the Company’s common stockholders, of any new director was approved by a vote of at least two-thirds of the Incumbent Board, such new director shall, for purposes of this definition, be considered as a member of the Incumbent Board;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w:t>
      </w:r>
      <w:r>
        <w:rPr>
          <w:rFonts w:ascii="Times New Roman" w:hAnsi="Times New Roman"/>
          <w:b/>
          <w:i/>
          <w:color w:val="000000"/>
          <w:sz w:val="22"/>
        </w:rPr>
        <w:t>Proxy Contest</w:t>
      </w:r>
      <w:r>
        <w:rPr>
          <w:rFonts w:ascii="Times New Roman" w:hAnsi="Times New Roman"/>
          <w:color w:val="000000"/>
          <w:sz w:val="20"/>
        </w:rPr>
        <w:t>”</w:t>
      </w:r>
      <w:r>
        <w:rPr>
          <w:rFonts w:ascii="Times New Roman" w:hAnsi="Times New Roman"/>
          <w:color w:val="000000"/>
          <w:sz w:val="22"/>
        </w:rPr>
        <w:t>) including by reason of any agreement intended to avoid or settle any Election Contest or Proxy Contest;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hAnsi="Times New Roman"/>
          <w:b/>
          <w:i/>
          <w:color w:val="000000"/>
          <w:sz w:val="22"/>
        </w:rPr>
        <w:t>Successor Entity</w:t>
      </w:r>
      <w:r>
        <w:rPr>
          <w:rFonts w:ascii="Times New Roman" w:hAnsi="Times New Roman"/>
          <w:color w:val="000000"/>
          <w:sz w:val="20"/>
        </w:rPr>
        <w:t>”</w:t>
      </w:r>
      <w:r>
        <w:rPr>
          <w:rFonts w:ascii="Times New Roman" w:hAnsi="Times New Roman"/>
          <w:color w:val="000000"/>
          <w:sz w:val="22"/>
        </w:rPr>
        <w:t>)) directly or indirectly, at least a majority of the combined voting power of the Successor Entity’s outstanding voting securities immediately after the transaction,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After which no person or group beneficially owns voting securities representing forty percent (40%) or more of the combined voting power of the Successor Entity;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no person or group shall be treated for purposes of this Section 4(c)(iii)(B) as beneficially owning 40% or more of combined voting power of the Successor Entity solely as a result of the voting power held in the Company prior to the consummation of the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The Board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color w:val="000000"/>
        </w:rPr>
        <w:t>“</w:t>
      </w:r>
      <w:r>
        <w:rPr>
          <w:rFonts w:ascii="Times New Roman" w:hAnsi="Times New Roman"/>
          <w:b/>
          <w:i/>
          <w:color w:val="000000"/>
          <w:sz w:val="22"/>
        </w:rPr>
        <w:t>Free Cash Flow</w:t>
      </w:r>
      <w:r>
        <w:rPr>
          <w:color w:val="000000"/>
        </w:rPr>
        <w:t xml:space="preserve">” </w:t>
      </w:r>
      <w:r>
        <w:rPr>
          <w:rFonts w:ascii="Times New Roman" w:hAnsi="Times New Roman"/>
          <w:color w:val="000000"/>
          <w:sz w:val="22"/>
        </w:rPr>
        <w:t>means the Company’s free cash flow as reported in the Company’s annual financial statements for the year-end financial statements, excluding material effect of currency fluctuations, but including the effect of acquisitions and divestitures, or material changes in GAAP or taxes, financing activities, ViaSat-3 insurance claims, or other material nonrecurring events based on the actual results. “</w:t>
      </w:r>
      <w:r>
        <w:rPr>
          <w:rFonts w:ascii="Times New Roman" w:hAnsi="Times New Roman"/>
          <w:b/>
          <w:i/>
          <w:color w:val="000000"/>
          <w:sz w:val="22"/>
        </w:rPr>
        <w:t>Free Cash Flow</w:t>
      </w:r>
      <w:r>
        <w:rPr>
          <w:color w:val="000000"/>
        </w:rPr>
        <w:t xml:space="preserve">” </w:t>
      </w:r>
      <w:r>
        <w:rPr>
          <w:rFonts w:ascii="Times New Roman" w:hAnsi="Times New Roman"/>
          <w:color w:val="000000"/>
          <w:sz w:val="22"/>
        </w:rPr>
        <w:t>will be subject to positive or negative adjustment(s) by the Committee for outcomes it deems are extraordinary in nature, not previously identified in the Company’s operating plan for any Performance Period, and necessary to ensure fair and appropriate outcomes are achieved.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rFonts w:ascii="Times New Roman" w:hAnsi="Times New Roman"/>
          <w:color w:val="000000"/>
          <w:sz w:val="22"/>
        </w:rPr>
        <w:t>The “</w:t>
      </w:r>
      <w:r>
        <w:rPr>
          <w:rFonts w:ascii="Times New Roman" w:hAnsi="Times New Roman"/>
          <w:b/>
          <w:i/>
          <w:color w:val="000000"/>
          <w:sz w:val="22"/>
        </w:rPr>
        <w:t>Free Cash Flow Performance Multiplier</w:t>
      </w:r>
      <w:r>
        <w:rPr>
          <w:color w:val="000000"/>
        </w:rPr>
        <w:t xml:space="preserve">” </w:t>
      </w:r>
      <w:r>
        <w:rPr>
          <w:rFonts w:ascii="Times New Roman" w:hAnsi="Times New Roman"/>
          <w:color w:val="000000"/>
          <w:sz w:val="22"/>
        </w:rPr>
        <w:t xml:space="preserve">means, for the Performance Period, the performance multiplier determined pursuant to the chart below based on the Company’s cumulative Free Cash Flow for the Performance Period. If the Company achieves cumulative Free Cash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Flow for the Performance Period that falls between the foregoing levels, the Free Cash Flow Performance Multiplier will be determined by linear interpolation between the applicable levels.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374"/>
        <w:gridCol w:w="3831"/>
      </w:tblGrid>
      <w:tr>
        <w:trPr/>
        <w:tc>
          <w:tcPr>
            <w:tcW w:w="6374" w:type="dxa"/>
            <w:tcBorders/>
            <w:vAlign w:val="center"/>
          </w:tcPr>
          <w:p>
            <w:pPr>
              <w:pStyle w:val="TableContents"/>
              <w:bidi w:val="0"/>
              <w:spacing w:before="0" w:after="283"/>
              <w:jc w:val="left"/>
              <w:rPr>
                <w:sz w:val="4"/>
                <w:szCs w:val="4"/>
              </w:rPr>
            </w:pPr>
            <w:r>
              <w:rPr>
                <w:sz w:val="4"/>
                <w:szCs w:val="4"/>
              </w:rPr>
            </w:r>
          </w:p>
        </w:tc>
        <w:tc>
          <w:tcPr>
            <w:tcW w:w="3831" w:type="dxa"/>
            <w:tcBorders/>
            <w:vAlign w:val="center"/>
          </w:tcPr>
          <w:p>
            <w:pPr>
              <w:pStyle w:val="TableContents"/>
              <w:bidi w:val="0"/>
              <w:spacing w:before="0" w:after="283"/>
              <w:jc w:val="left"/>
              <w:rPr>
                <w:sz w:val="4"/>
                <w:szCs w:val="4"/>
              </w:rPr>
            </w:pPr>
            <w:r>
              <w:rPr>
                <w:sz w:val="4"/>
                <w:szCs w:val="4"/>
              </w:rPr>
            </w:r>
          </w:p>
        </w:tc>
      </w:tr>
      <w:tr>
        <w:trPr/>
        <w:tc>
          <w:tcPr>
            <w:tcW w:w="637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Cumulative Free Cash Flow </w:t>
            </w:r>
            <w:r>
              <w:rPr>
                <w:rFonts w:ascii="Times New Roman" w:hAnsi="Times New Roman"/>
                <w:b/>
                <w:color w:val="000000"/>
                <w:sz w:val="22"/>
              </w:rPr>
              <w:t>for the Performance Period (in millions)</w:t>
            </w:r>
          </w:p>
          <w:p>
            <w:pPr>
              <w:pStyle w:val="TableContents"/>
              <w:bidi w:val="0"/>
              <w:spacing w:before="0" w:after="283"/>
              <w:jc w:val="left"/>
              <w:rPr/>
            </w:pPr>
            <w:r>
              <w:rPr/>
              <w:t> </w:t>
            </w:r>
          </w:p>
        </w:tc>
        <w:tc>
          <w:tcPr>
            <w:tcW w:w="38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2"/>
              </w:rPr>
            </w:pPr>
            <w:r>
              <w:rPr>
                <w:rFonts w:ascii="Times New Roman" w:hAnsi="Times New Roman"/>
                <w:color w:val="000000"/>
                <w:sz w:val="22"/>
              </w:rPr>
              <w:t xml:space="preserve">Free Cash Flow </w:t>
            </w:r>
            <w:r>
              <w:rPr>
                <w:rFonts w:ascii="Times New Roman" w:hAnsi="Times New Roman"/>
                <w:b/>
                <w:color w:val="000000"/>
                <w:sz w:val="22"/>
              </w:rPr>
              <w:t>Performance Multiplier</w:t>
            </w:r>
          </w:p>
        </w:tc>
      </w:tr>
      <w:tr>
        <w:trPr/>
        <w:tc>
          <w:tcPr>
            <w:tcW w:w="63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38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63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38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63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38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63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38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cumulative Free Cash Flow objective for the Performance Period will be subject to positive or negative adjustment(s) by the Committee for outcomes it deems are extraordinary in nature, not previously identified in the Company’s operating plan for such Performance Period, as necessary to ensure fair and appropriate outcomes are achieved.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color w:val="000000"/>
        </w:rPr>
        <w:t>“</w:t>
      </w:r>
      <w:r>
        <w:rPr>
          <w:rFonts w:ascii="Times New Roman" w:hAnsi="Times New Roman"/>
          <w:b/>
          <w:i/>
          <w:color w:val="000000"/>
          <w:sz w:val="22"/>
        </w:rPr>
        <w:t>Measurement Date</w:t>
      </w:r>
      <w:r>
        <w:rPr>
          <w:color w:val="000000"/>
        </w:rPr>
        <w:t xml:space="preserve">” </w:t>
      </w:r>
      <w:r>
        <w:rPr>
          <w:rFonts w:ascii="Times New Roman" w:hAnsi="Times New Roman"/>
          <w:color w:val="000000"/>
          <w:sz w:val="22"/>
        </w:rPr>
        <w:t>means the first to occur of (a) March 31, [INSERT GRANT YEAR + 3], or (b) the date on which a Change in Control occurs (or, in each case, if such date is not a trading day, the immediately preceding trading day).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jc w:val="both"/>
        <w:rPr/>
      </w:pPr>
      <w:r>
        <w:rPr>
          <w:color w:val="000000"/>
        </w:rPr>
        <w:t>“</w:t>
      </w:r>
      <w:r>
        <w:rPr>
          <w:rFonts w:ascii="Times New Roman" w:hAnsi="Times New Roman"/>
          <w:b/>
          <w:i/>
          <w:color w:val="000000"/>
          <w:sz w:val="22"/>
        </w:rPr>
        <w:t>Performance Period</w:t>
      </w:r>
      <w:r>
        <w:rPr>
          <w:color w:val="000000"/>
        </w:rPr>
        <w:t xml:space="preserve">” </w:t>
      </w:r>
      <w:r>
        <w:rPr>
          <w:rFonts w:ascii="Times New Roman" w:hAnsi="Times New Roman"/>
          <w:color w:val="000000"/>
          <w:sz w:val="22"/>
        </w:rPr>
        <w:t xml:space="preserve">means the period beginning on April 1, [INSERT GRANT YEAR] and ending on the Measurement Date.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color w:val="000000"/>
        </w:rPr>
        <w:t>“</w:t>
      </w:r>
      <w:r>
        <w:rPr>
          <w:rFonts w:ascii="Times New Roman" w:hAnsi="Times New Roman"/>
          <w:b/>
          <w:i/>
          <w:color w:val="000000"/>
          <w:sz w:val="22"/>
        </w:rPr>
        <w:t>Permanent Disability</w:t>
      </w:r>
      <w:r>
        <w:rPr>
          <w:color w:val="000000"/>
        </w:rPr>
        <w:t xml:space="preserve">” </w:t>
      </w:r>
      <w:r>
        <w:rPr>
          <w:rFonts w:ascii="Times New Roman" w:hAnsi="Times New Roman"/>
          <w:color w:val="000000"/>
          <w:sz w:val="22"/>
        </w:rPr>
        <w:t>means that you are unable to perform your duties by reason of any medically determined physical or mental impairment which can be expected to result in death or which has lasted or is expected to last for a continuous period of at least twelve (12) months, as reasonably determined by the Committee, in its discretion.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1" w:name="vsat-ex10_2.htm"/>
      <w:bookmarkStart w:id="22" w:name="ksvsatex10_2"/>
      <w:bookmarkEnd w:id="21"/>
      <w:bookmarkEnd w:id="22"/>
      <w:r>
        <w:rPr>
          <w:rFonts w:ascii="Arial" w:hAnsi="Arial"/>
          <w:b/>
          <w:color w:val="000000"/>
          <w:sz w:val="20"/>
        </w:rPr>
        <w:t>Exhbit 10.2</w:t>
      </w:r>
      <w:r>
        <w:br w:type="page"/>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aps/>
                <w:color w:val="000000"/>
                <w:sz w:val="22"/>
              </w:rPr>
            </w:pPr>
            <w:r>
              <w:rPr>
                <w:rFonts w:ascii="Times New Roman" w:hAnsi="Times New Roman"/>
                <w:b/>
                <w:caps/>
                <w:color w:val="000000"/>
                <w:sz w:val="22"/>
              </w:rPr>
              <w:t>VIASAT, INC.</w:t>
            </w:r>
          </w:p>
          <w:p>
            <w:pPr>
              <w:pStyle w:val="TableContents"/>
              <w:bidi w:val="0"/>
              <w:jc w:val="center"/>
              <w:rPr>
                <w:rFonts w:ascii="Times New Roman" w:hAnsi="Times New Roman"/>
                <w:sz w:val="22"/>
              </w:rPr>
            </w:pPr>
            <w:r>
              <w:rPr>
                <w:rFonts w:ascii="Times New Roman" w:hAnsi="Times New Roman"/>
                <w:b/>
                <w:caps/>
                <w:color w:val="000000"/>
                <w:sz w:val="22"/>
              </w:rPr>
              <w:t>1996 EQUITY PARTICIPATION Plan</w:t>
            </w:r>
            <w:r>
              <w:rPr>
                <w:rFonts w:ascii="Times New Roman" w:hAnsi="Times New Roman"/>
                <w:caps/>
                <w:color w:val="000000"/>
                <w:sz w:val="22"/>
              </w:rPr>
              <w:t xml:space="preserve"> </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Performance-based RESTRICTED STOCK UNIT AWARD Agreement –</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ROIC</w:t>
            </w:r>
          </w:p>
          <w:p>
            <w:pPr>
              <w:pStyle w:val="TableContents"/>
              <w:bidi w:val="0"/>
              <w:jc w:val="center"/>
              <w:rPr/>
            </w:pPr>
            <w:r>
              <w:rPr/>
              <w:t> </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(EXECUTIVE VERSION)</w:t>
            </w:r>
          </w:p>
          <w:p>
            <w:pPr>
              <w:pStyle w:val="TableContents"/>
              <w:bidi w:val="0"/>
              <w:spacing w:before="0" w:after="120"/>
              <w:ind w:left="0" w:right="0" w:firstLine="734"/>
              <w:jc w:val="center"/>
              <w:rPr/>
            </w:pPr>
            <w:r>
              <w:rPr/>
              <w:t> </w:t>
            </w:r>
          </w:p>
        </w:tc>
      </w:tr>
      <w:tr>
        <w:trPr/>
        <w:tc>
          <w:tcPr>
            <w:tcW w:w="10205" w:type="dxa"/>
            <w:tcBorders>
              <w:bottom w:val="single" w:sz="4" w:space="0" w:color="000000"/>
            </w:tcBorders>
            <w:tcMar>
              <w:top w:w="0" w:type="dxa"/>
              <w:left w:w="0" w:type="dxa"/>
              <w:right w:w="0" w:type="dxa"/>
            </w:tcMar>
            <w:vAlign w:val="center"/>
          </w:tcPr>
          <w:p>
            <w:pPr>
              <w:pStyle w:val="TableContents"/>
              <w:bidi w:val="0"/>
              <w:spacing w:before="120" w:after="120"/>
              <w:ind w:left="0" w:right="0" w:firstLine="734"/>
              <w:jc w:val="left"/>
              <w:rPr>
                <w:rFonts w:ascii="Times New Roman" w:hAnsi="Times New Roman"/>
                <w:sz w:val="22"/>
              </w:rPr>
            </w:pPr>
            <w:r>
              <w:rPr>
                <w:rFonts w:ascii="Times New Roman" w:hAnsi="Times New Roman"/>
                <w:b/>
                <w:color w:val="000000"/>
                <w:sz w:val="22"/>
              </w:rPr>
              <w:t>Grant Date:</w:t>
            </w:r>
            <w:r>
              <w:rPr>
                <w:rFonts w:ascii="Times New Roman" w:hAnsi="Times New Roman"/>
                <w:color w:val="000000"/>
                <w:sz w:val="22"/>
              </w:rPr>
              <w:t xml:space="preserve"> </w:t>
            </w:r>
          </w:p>
        </w:tc>
      </w:tr>
      <w:tr>
        <w:trPr/>
        <w:tc>
          <w:tcPr>
            <w:tcW w:w="10205" w:type="dxa"/>
            <w:tcBorders>
              <w:bottom w:val="single" w:sz="4" w:space="0" w:color="000000"/>
            </w:tcBorders>
            <w:tcMar>
              <w:top w:w="0" w:type="dxa"/>
              <w:left w:w="0" w:type="dxa"/>
              <w:right w:w="0" w:type="dxa"/>
            </w:tcMar>
            <w:vAlign w:val="center"/>
          </w:tcPr>
          <w:p>
            <w:pPr>
              <w:pStyle w:val="TableContents"/>
              <w:bidi w:val="0"/>
              <w:spacing w:before="120" w:after="120"/>
              <w:jc w:val="left"/>
              <w:rPr>
                <w:rFonts w:ascii="Times New Roman" w:hAnsi="Times New Roman"/>
                <w:sz w:val="22"/>
              </w:rPr>
            </w:pPr>
            <w:r>
              <w:rPr>
                <w:rFonts w:ascii="Times New Roman" w:hAnsi="Times New Roman"/>
                <w:b/>
                <w:color w:val="000000"/>
                <w:sz w:val="22"/>
              </w:rPr>
              <w:t xml:space="preserve">Target Number of PSUs: </w:t>
            </w:r>
            <w:r>
              <w:rPr>
                <w:rFonts w:ascii="Times New Roman" w:hAnsi="Times New Roman"/>
                <w:color w:val="000000"/>
                <w:sz w:val="22"/>
              </w:rPr>
              <w:t>Performance-Based Restricted Stock Units (“</w:t>
            </w:r>
            <w:r>
              <w:rPr>
                <w:rFonts w:ascii="Times New Roman" w:hAnsi="Times New Roman"/>
                <w:b/>
                <w:i/>
                <w:color w:val="000000"/>
                <w:sz w:val="22"/>
              </w:rPr>
              <w:t>PSUs</w:t>
            </w:r>
            <w:r>
              <w:rPr>
                <w:rFonts w:ascii="Times New Roman" w:hAnsi="Times New Roman"/>
                <w:color w:val="000000"/>
                <w:sz w:val="22"/>
              </w:rPr>
              <w:t>”)</w:t>
            </w:r>
          </w:p>
        </w:tc>
      </w:tr>
      <w:tr>
        <w:trPr/>
        <w:tc>
          <w:tcPr>
            <w:tcW w:w="10205" w:type="dxa"/>
            <w:tcBorders>
              <w:bottom w:val="single" w:sz="4" w:space="0" w:color="000000"/>
            </w:tcBorders>
            <w:tcMar>
              <w:top w:w="0" w:type="dxa"/>
              <w:left w:w="0" w:type="dxa"/>
              <w:right w:w="0" w:type="dxa"/>
            </w:tcMar>
            <w:vAlign w:val="center"/>
          </w:tcPr>
          <w:p>
            <w:pPr>
              <w:pStyle w:val="TableContents"/>
              <w:bidi w:val="0"/>
              <w:spacing w:before="120" w:after="120"/>
              <w:jc w:val="left"/>
              <w:rPr>
                <w:rFonts w:ascii="Times New Roman" w:hAnsi="Times New Roman"/>
                <w:sz w:val="22"/>
              </w:rPr>
            </w:pPr>
            <w:r>
              <w:rPr>
                <w:rFonts w:ascii="Times New Roman" w:hAnsi="Times New Roman"/>
                <w:b/>
                <w:color w:val="000000"/>
                <w:sz w:val="22"/>
              </w:rPr>
              <w:t xml:space="preserve">Maximum Number of PSUs: </w:t>
            </w:r>
            <w:r>
              <w:rPr>
                <w:rFonts w:ascii="Times New Roman" w:hAnsi="Times New Roman"/>
                <w:color w:val="000000"/>
                <w:sz w:val="22"/>
              </w:rPr>
              <w:t>200% of Target Number of PSUs</w:t>
            </w:r>
          </w:p>
        </w:tc>
      </w:tr>
      <w:tr>
        <w:trPr/>
        <w:tc>
          <w:tcPr>
            <w:tcW w:w="10205"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Name:</w:t>
            </w:r>
            <w:r>
              <w:rPr>
                <w:rFonts w:ascii="Times New Roman" w:hAnsi="Times New Roman"/>
                <w:color w:val="000000"/>
                <w:sz w:val="22"/>
              </w:rPr>
              <w:t xml:space="preserve"> </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Signature:</w:t>
            </w:r>
            <w:r>
              <w:rPr>
                <w:rFonts w:ascii="Times New Roman" w:hAnsi="Times New Roman"/>
                <w:color w:val="000000"/>
                <w:sz w:val="22"/>
              </w:rPr>
              <w:t xml:space="preserve"> </w:t>
            </w:r>
          </w:p>
          <w:p>
            <w:pPr>
              <w:pStyle w:val="TableContents"/>
              <w:bidi w:val="0"/>
              <w:spacing w:before="0" w:after="283"/>
              <w:jc w:val="left"/>
              <w:rPr/>
            </w:pPr>
            <w:r>
              <w:rPr/>
              <w:t> </w:t>
            </w:r>
          </w:p>
        </w:tc>
      </w:tr>
      <w:tr>
        <w:trPr/>
        <w:tc>
          <w:tcPr>
            <w:tcW w:w="10205" w:type="dxa"/>
            <w:tcBorders>
              <w:bottom w:val="single" w:sz="4" w:space="0" w:color="000000"/>
            </w:tcBorders>
            <w:shd w:fill="E6E6FA" w:val="clear"/>
            <w:tcMar>
              <w:top w:w="0" w:type="dxa"/>
              <w:left w:w="0" w:type="dxa"/>
              <w:right w:w="0" w:type="dxa"/>
            </w:tcMar>
            <w:vAlign w:val="center"/>
          </w:tcPr>
          <w:p>
            <w:pPr>
              <w:pStyle w:val="TableContents"/>
              <w:bidi w:val="0"/>
              <w:jc w:val="left"/>
              <w:rPr/>
            </w:pPr>
            <w:r>
              <w:rPr/>
              <w:t> </w:t>
            </w:r>
          </w:p>
          <w:p>
            <w:pPr>
              <w:pStyle w:val="TableContents"/>
              <w:bidi w:val="0"/>
              <w:jc w:val="center"/>
              <w:rPr>
                <w:rFonts w:ascii="Times New Roman" w:hAnsi="Times New Roman"/>
                <w:sz w:val="22"/>
              </w:rPr>
            </w:pPr>
            <w:r>
              <w:rPr>
                <w:rFonts w:ascii="Times New Roman" w:hAnsi="Times New Roman"/>
                <w:b/>
                <w:caps/>
                <w:color w:val="000000"/>
                <w:sz w:val="22"/>
              </w:rPr>
              <w:t>Acceptance of PSU Award</w:t>
            </w:r>
            <w:r>
              <w:rPr>
                <w:rFonts w:ascii="Times New Roman" w:hAnsi="Times New Roman"/>
                <w:b/>
                <w:color w:val="000000"/>
                <w:sz w:val="22"/>
              </w:rPr>
              <w:t>:</w:t>
            </w:r>
          </w:p>
          <w:p>
            <w:pPr>
              <w:pStyle w:val="TableContents"/>
              <w:bidi w:val="0"/>
              <w:jc w:val="left"/>
              <w:rPr/>
            </w:pPr>
            <w:r>
              <w:rPr/>
              <w:t> </w:t>
            </w:r>
          </w:p>
          <w:p>
            <w:pPr>
              <w:pStyle w:val="TableContents"/>
              <w:bidi w:val="0"/>
              <w:jc w:val="both"/>
              <w:rPr>
                <w:rFonts w:ascii="Times New Roman" w:hAnsi="Times New Roman"/>
                <w:sz w:val="22"/>
              </w:rPr>
            </w:pPr>
            <w:r>
              <w:rPr>
                <w:rFonts w:ascii="Times New Roman" w:hAnsi="Times New Roman"/>
                <w:color w:val="000000"/>
                <w:sz w:val="22"/>
              </w:rPr>
              <w:t>By signing where indicated above, you agree to be bound by the terms and conditions of this Performance-Based Restricted Stock Unit Award Agreement (the “</w:t>
            </w:r>
            <w:r>
              <w:rPr>
                <w:rFonts w:ascii="Times New Roman" w:hAnsi="Times New Roman"/>
                <w:b/>
                <w:i/>
                <w:color w:val="000000"/>
                <w:sz w:val="22"/>
              </w:rPr>
              <w:t>Agreement</w:t>
            </w:r>
            <w:r>
              <w:rPr>
                <w:rFonts w:ascii="Times New Roman" w:hAnsi="Times New Roman"/>
                <w:color w:val="000000"/>
                <w:sz w:val="22"/>
              </w:rPr>
              <w:t>”) and the 1996 Equity Participation Plan of Viasat, Inc. (as amended from time to time, the “</w:t>
            </w:r>
            <w:r>
              <w:rPr>
                <w:rFonts w:ascii="Times New Roman" w:hAnsi="Times New Roman"/>
                <w:b/>
                <w:i/>
                <w:color w:val="000000"/>
                <w:sz w:val="22"/>
              </w:rPr>
              <w:t>Plan</w:t>
            </w:r>
            <w:r>
              <w:rPr>
                <w:rFonts w:ascii="Times New Roman" w:hAnsi="Times New Roman"/>
                <w:color w:val="000000"/>
                <w:sz w:val="22"/>
              </w:rPr>
              <w:t>”). You acknowledge that you have reviewed and fully understand all of the provisions of this Agreement and the Plan, and have had the opportunity to obtain advice of counsel prior to accepting the grant of PSUs pursuant to this Agreement. You hereby agree to accept as binding, conclusive and final all decisions or interpretations of the Compensation and Human Resources Committee of the Board (the “</w:t>
            </w:r>
            <w:r>
              <w:rPr>
                <w:rFonts w:ascii="Times New Roman" w:hAnsi="Times New Roman"/>
                <w:b/>
                <w:i/>
                <w:color w:val="000000"/>
                <w:sz w:val="22"/>
              </w:rPr>
              <w:t>Committee</w:t>
            </w:r>
            <w:r>
              <w:rPr>
                <w:rFonts w:ascii="Times New Roman" w:hAnsi="Times New Roman"/>
                <w:color w:val="000000"/>
                <w:sz w:val="22"/>
              </w:rPr>
              <w:t>”) upon any questions relating to this Agreement and the Plan.</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TERMS AND CONDITIONS OF PSU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2"/>
          <w:u w:val="single"/>
        </w:rPr>
        <w:t>Grant</w:t>
      </w:r>
      <w:r>
        <w:rPr>
          <w:rFonts w:ascii="Times New Roman" w:hAnsi="Times New Roman"/>
          <w:color w:val="000000"/>
          <w:sz w:val="22"/>
        </w:rPr>
        <w:t>. Effective on the Grant Date, you have been granted the number of PSUs indicated above providing you the right to receive Common Stock of Viasat, Inc., a Delaware corporation (the “</w:t>
      </w:r>
      <w:r>
        <w:rPr>
          <w:rFonts w:ascii="Times New Roman" w:hAnsi="Times New Roman"/>
          <w:b/>
          <w:i/>
          <w:color w:val="000000"/>
          <w:sz w:val="22"/>
        </w:rPr>
        <w:t>Company</w:t>
      </w:r>
      <w:r>
        <w:rPr>
          <w:color w:val="000000"/>
        </w:rPr>
        <w:t>”</w:t>
      </w:r>
      <w:r>
        <w:rPr>
          <w:rFonts w:ascii="Times New Roman" w:hAnsi="Times New Roman"/>
          <w:color w:val="000000"/>
          <w:sz w:val="22"/>
        </w:rPr>
        <w:t xml:space="preserve">), in accordance with the provisions of this Agreement and the provisions of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2"/>
          <w:u w:val="single"/>
        </w:rPr>
        <w:t>Forfeiture Upon Termination</w:t>
      </w:r>
      <w:r>
        <w:rPr>
          <w:rFonts w:ascii="Times New Roman" w:hAnsi="Times New Roman"/>
          <w:color w:val="000000"/>
          <w:sz w:val="22"/>
        </w:rPr>
        <w:t>. Except as provided in the Vesting Schedule (as defined below), until vested, the PSUs will be subject to forfeiture in the event of the termination of your employment or service with the Company and all of its Subsidiaries for any reason, whether such termination is occasioned by you, by the Company or any of its Subsidiaries, with or without cause or by mutual agreement (“</w:t>
      </w:r>
      <w:r>
        <w:rPr>
          <w:rFonts w:ascii="Times New Roman" w:hAnsi="Times New Roman"/>
          <w:b/>
          <w:i/>
          <w:color w:val="000000"/>
          <w:sz w:val="22"/>
        </w:rPr>
        <w:t>Termination of Employment</w:t>
      </w:r>
      <w:r>
        <w:rPr>
          <w:color w:val="000000"/>
        </w:rPr>
        <w: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2"/>
          <w:u w:val="single"/>
        </w:rPr>
        <w:t>Transferability</w:t>
      </w:r>
      <w:r>
        <w:rPr>
          <w:rFonts w:ascii="Times New Roman" w:hAnsi="Times New Roman"/>
          <w:color w:val="000000"/>
          <w:sz w:val="22"/>
        </w:rPr>
        <w:t xml:space="preserve">. Until vested and issued upon settlement, neither the PSUs nor any right or interest therein is transferable by you except by will or the laws of descent and distribution. Until Common Stock is issued upon settlement of the PSUs, you will not be deemed for any purpose to be, or have rights as, a Company shareholder by virtue of this award. You are not entitled to vote any shares of Common Stock by virtue of this award unless and until such shares of Common Stock have been issued to you upon settlement of the PSUs.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2"/>
          <w:u w:val="single"/>
        </w:rPr>
        <w:t>Vesting</w:t>
      </w:r>
      <w:r>
        <w:rPr>
          <w:rFonts w:ascii="Times New Roman" w:hAnsi="Times New Roman"/>
          <w:color w:val="000000"/>
          <w:sz w:val="22"/>
        </w:rPr>
        <w:t xml:space="preserve">. The PSUs will vest in accordance with the “Vesting Schedule” attached hereto as </w:t>
      </w:r>
      <w:r>
        <w:rPr>
          <w:rFonts w:ascii="Times New Roman" w:hAnsi="Times New Roman"/>
          <w:color w:val="000000"/>
          <w:sz w:val="22"/>
          <w:u w:val="single"/>
        </w:rPr>
        <w:t>Exhibit A</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2"/>
          <w:u w:val="single"/>
        </w:rPr>
        <w:t>Payment</w:t>
      </w:r>
      <w:r>
        <w:rPr>
          <w:rFonts w:ascii="Times New Roman" w:hAnsi="Times New Roman"/>
          <w:color w:val="000000"/>
          <w:sz w:val="22"/>
        </w:rPr>
        <w:t xml:space="preserve">. You will be issued shares of Common Stock equal to the number of vested PSUs in settlement of the PSUs (subject to the withholding requirements described in Section 6 below, as applicable) within ten days following the vesting of the PSUs in accordance with the Vesting Schedule.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2"/>
          <w:u w:val="single"/>
        </w:rPr>
        <w:t>Withholding</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The Company has the authority to deduct or withhold, or require you to remit to the Company, an amount sufficient to satisfy applicable Federal, state, local and foreign taxes (including any FICA obligation) required by law to be withheld with respect to any taxable event arising from the vesting of the PSUs and/or receipt of the shares of Common Stock upon settlement of the PSUs. At any time not less than five business days before any such tax withholding obligation arises, you may satisfy your tax obligation, in whole or in part, by either: (i) electing to have the Company withhold from your salary or other cash compensation payable to you or shares of Common Stock otherwise to be delivered upon settlement of the PSUs with a Fair Market Value equal to the minimum amount of the tax withholding obligation, or (ii) paying the amount of the tax withholding obligation directly to the Company in cash. </w:t>
      </w:r>
      <w:r>
        <w:rPr>
          <w:rFonts w:ascii="Times New Roman" w:hAnsi="Times New Roman"/>
          <w:b/>
          <w:color w:val="000000"/>
          <w:sz w:val="22"/>
        </w:rPr>
        <w:t xml:space="preserve">Unless you choose to satisfy your tax withholding obligation in accordance with subsection (ii) above, your tax withholding obligation will be automatically satisfied in accordance with subsection (i) above. The Committee or the Board will have the right to disapprove an election to pay your tax withholding obligation under subsection (ii) in its sole discretion.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In the event your tax withholding obligation will be satisfied under subsection (i) of Section 6(a) above, then the Company, upon approval of the Committee or the Board, may elect (in lieu of withholding shares) to instruct any brokerage firm determined acceptable to the Company for such purpose to sell on your behalf (pursuant to this authorization) a whole number of shares from those shares of Common Stock issuable to you upon settlement of the PSUs as the Company determines to be appropriate to generate cash proceeds sufficient to satisfy your tax withholding obligation. Your acceptance of this PSU award constitutes your instruction and authorization to the Company and such brokerage firm to complete the transactions described in the previous sentence, as applicable</w:t>
      </w:r>
      <w:r>
        <w:rPr>
          <w:rFonts w:ascii="Times New Roman" w:hAnsi="Times New Roman"/>
          <w:color w:val="000000"/>
          <w:sz w:val="22"/>
        </w:rPr>
        <w:t xml:space="preserve">. Such shares will be sold on the day the tax withholding obligation arises or as soon thereafter as practicable. The shares may be sold as part of a block trade with other participants of the Plan in which all participants receive an average price. You will be responsible for all broker’s fees and other costs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sale, and you agree to indemnify and hold the Company harmless from any losses, costs, damages, or expenses relating to any such sale. To the extent permissible under Section 409A of the Code, and to the extent the proceeds of such sale exceed your tax withholding obligation, the Company agrees to pay such excess in cash to you as soon as practicable. You acknowledge that the Company or its designee is under no obligation to arrange for such sale at any particular price, and that the proceeds of any such sale may not be sufficient to satisfy your tax withholding obligation.</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may refuse to issue any Common Stock in settlement of your PSUs to you until your tax withholding obligations are satisfied. To the maximum extent permitted by law, the Company has the right to retain without notice from shares issuable under the PSUs or from salary payable to you, shares or cash having a value sufficient to satisfy your tax withholding obligation.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2"/>
          <w:u w:val="single"/>
        </w:rPr>
        <w:t>No Effect on Employment</w:t>
      </w:r>
      <w:r>
        <w:rPr>
          <w:rFonts w:ascii="Times New Roman" w:hAnsi="Times New Roman"/>
          <w:color w:val="000000"/>
          <w:sz w:val="22"/>
        </w:rPr>
        <w:t xml:space="preserve">. Nothing in the Plan or this Agreement will be interpreted to interfere with or limit in any way the right of the Company or any Subsidiary to terminate your employment or services at any time, nor confer upon you the right to continue in the employ or service of the Company or any Subsidiary.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2"/>
          <w:u w:val="single"/>
        </w:rPr>
        <w:t>Plan Governs</w:t>
      </w:r>
      <w:r>
        <w:rPr>
          <w:rFonts w:ascii="Times New Roman" w:hAnsi="Times New Roman"/>
          <w:color w:val="000000"/>
          <w:sz w:val="22"/>
        </w:rPr>
        <w:t xml:space="preserve">. This PSU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PSUs under the Plan is a one-time benefit and does not create any contractual or other right to receive an award of PSUs or benefits in lieu of PSUs in the future. Future awards of PSUs, if any, will be at the sole discretion of the Company, including, but not limited to, the timing of the award, the number of shares and vesting provisions. By execution of this Agreement, you consent to the provisions of the Plan and this Agreement. Defined terms used herein will have the meaning set forth in the Plan, unless otherwise defined herein.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2"/>
          <w:u w:val="single"/>
        </w:rPr>
        <w:t>Amendment</w:t>
      </w:r>
      <w:r>
        <w:rPr>
          <w:rFonts w:ascii="Times New Roman" w:hAnsi="Times New Roman"/>
          <w:color w:val="000000"/>
          <w:sz w:val="22"/>
        </w:rPr>
        <w:t>. The Committee may amend, terminate or revoke this Agreement in any respect to the extent determined necessary or desirable by the Committee in its discretion to comply with the requirements of Section 409A of the Code and the Treasury Regulations or other guidance issued thereunder. You expressly understand and agree that no additional consent from you will be required in connection with such amendment, termination or revocation.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2"/>
          <w:u w:val="single"/>
        </w:rPr>
        <w:t>Section 409A</w:t>
      </w:r>
      <w:r>
        <w:rPr>
          <w:rFonts w:ascii="Times New Roman" w:hAnsi="Times New Roman"/>
          <w:color w:val="000000"/>
          <w:sz w:val="22"/>
        </w:rPr>
        <w:t>. To the extent applicable, this Agreement and the PSUs will be interpreted in accordance with Section 409A of the Code and Department of Treasury regulations and other interpretive guidance issued thereunder. This PSU award is not intended to constitute “nonqualified deferred compensation” within the meaning of Section 409A of the Code and the Department of Treasury regulations and other interpretive guidance issued thereunder under the “short-term deferral” exception set forth in Treasury Regulation Section 1.409A-1(b)(4) (and, accordingly, the shares of Common Stock issuable hereunder shall be distributed to you within the time period required under such “short-term deferral” exception). For purposes of Section 409A of the Code (including, without limitation, for purposes of Treasury Regulation Section 1.409A-2(b)(2)(iii)), each payment that you may be eligible to receive under this Agreement will be treated as a separate and distinct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2"/>
          <w:u w:val="single"/>
        </w:rPr>
        <w:t>Governing Law and Venue</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PSU grant and the provisions of this Agreement are governed by, and subject to, the laws of the State of California, without regard to the conflict of law provisions, as provided in the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For purposes of any action, lawsuit or other proceedings brought to enforce this Agreement, relating to it, or arising from it, the parties hereby submit to and consent to the sole and exclusive jurisdiction of the courts of</w:t>
      </w:r>
      <w:r>
        <w:rPr>
          <w:color w:val="000000"/>
        </w:rPr>
        <w:t xml:space="preserve"> </w:t>
      </w:r>
      <w:r>
        <w:rPr>
          <w:rFonts w:ascii="Times New Roman" w:hAnsi="Times New Roman"/>
          <w:color w:val="000000"/>
          <w:sz w:val="22"/>
        </w:rPr>
        <w:t>San Diego County, California, or the federal courts for the United States for the Southern District of California, and no other courts, where this grant is made and/or to be performed.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2"/>
          <w:u w:val="single"/>
        </w:rPr>
        <w:t>Electronic Delivery and Acceptance</w:t>
      </w:r>
      <w:r>
        <w:rPr>
          <w:rFonts w:ascii="Times New Roman" w:hAnsi="Times New Roman"/>
          <w:color w:val="000000"/>
          <w:sz w:val="22"/>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The provisions of this Agreement are severable, and if any one or more provisions are determined to be illegal or otherwise unenforceable, in whole or in part, the remaining provisions will nevertheless be binding and 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2"/>
          <w:u w:val="single"/>
        </w:rPr>
        <w:t>Imposition of Other Requirements</w:t>
      </w:r>
      <w:r>
        <w:rPr>
          <w:rFonts w:ascii="Times New Roman" w:hAnsi="Times New Roman"/>
          <w:color w:val="000000"/>
          <w:sz w:val="22"/>
        </w:rPr>
        <w:t>. The Company reserves the right to impose other requirements on your participation in the Plan, on the PSUs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2"/>
          <w:u w:val="single"/>
        </w:rPr>
        <w:t>Waiver</w:t>
      </w:r>
      <w:r>
        <w:rPr>
          <w:rFonts w:ascii="Times New Roman" w:hAnsi="Times New Roman"/>
          <w:color w:val="000000"/>
          <w:sz w:val="22"/>
        </w:rPr>
        <w:t>. You acknowledge that a waiver by the Company of breach of any provision of this Agreement will not operate or be construed as a waiver of any other provision of this Agreement, or of any subsequent breach by you or any other Grantee.</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2"/>
        </w:rPr>
        <w:t>EXHIBIT A: VESTING SCHEDULE OF PSU AWARD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Capitalized terms used in this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 xml:space="preserve">and not defined in Section 4 below or elsewhere in this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 xml:space="preserve">will have the meanings given them in the Agreement to which this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is attached.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Performance-Based Vesting</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Measurement Date Occurs on March 31, [INSERT GRANT YEAR + 3]</w:t>
      </w:r>
      <w:r>
        <w:rPr>
          <w:rFonts w:ascii="Times New Roman" w:hAnsi="Times New Roman"/>
          <w:color w:val="000000"/>
          <w:sz w:val="22"/>
        </w:rPr>
        <w:t xml:space="preserve">. Subject to Sections 1(b) and 2 below, you will be eligible to vest in the PSUs based on the Company’s Average ROIC for the Performance Period. In the event the Measurement Date is March 31, [INSERT GRANT YEAR + 3], you will vest in such number of PSUs on the Certification Date as is equal to (i) the “Target Number of PSUs” subject to this Agreement, multiplied by (ii) the Average ROIC Performance Multiplier determined as of the Measurement Date (rounded to the nearest whole share), subject to an overall cap equal to the “Maximum Number of PSUs” subject to the Agreement, and provided you do not experience a Termination of Employment prior to the Certification Date. </w:t>
      </w:r>
    </w:p>
    <w:p>
      <w:pPr>
        <w:pStyle w:val="TextBody"/>
        <w:bidi w:val="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4"/>
          <w:u w:val="single"/>
        </w:rPr>
        <w:t>Measurement Date Occurs As a Result of a Change in Control</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Change in Control Prior to March 31, [INSERT GRANT YEAR + 3]</w:t>
      </w:r>
      <w:r>
        <w:rPr>
          <w:rFonts w:ascii="Times New Roman" w:hAnsi="Times New Roman"/>
          <w:color w:val="000000"/>
          <w:sz w:val="22"/>
        </w:rPr>
        <w:t>.</w:t>
      </w:r>
      <w:r>
        <w:rPr>
          <w:rFonts w:ascii="Times New Roman" w:hAnsi="Times New Roman"/>
          <w:caps/>
          <w:color w:val="000000"/>
          <w:sz w:val="20"/>
        </w:rPr>
        <w:t xml:space="preserve"> </w:t>
      </w:r>
      <w:r>
        <w:rPr>
          <w:rFonts w:ascii="Times New Roman" w:hAnsi="Times New Roman"/>
          <w:color w:val="000000"/>
          <w:sz w:val="22"/>
        </w:rPr>
        <w:t>Notwithstanding Section 1(a) above, in the event of a Change in Control prior to March 31, [INSERT GRANT YEAR + 3], such number of PSUs will become “</w:t>
      </w:r>
      <w:r>
        <w:rPr>
          <w:rFonts w:ascii="Times New Roman" w:hAnsi="Times New Roman"/>
          <w:b/>
          <w:i/>
          <w:color w:val="000000"/>
          <w:sz w:val="22"/>
        </w:rPr>
        <w:t>Vesting Eligible PSUs</w:t>
      </w:r>
      <w:r>
        <w:rPr>
          <w:rFonts w:ascii="Times New Roman" w:hAnsi="Times New Roman"/>
          <w:color w:val="000000"/>
          <w:sz w:val="20"/>
        </w:rPr>
        <w:t xml:space="preserve">” </w:t>
      </w:r>
      <w:r>
        <w:rPr>
          <w:rFonts w:ascii="Times New Roman" w:hAnsi="Times New Roman"/>
          <w:color w:val="000000"/>
          <w:sz w:val="22"/>
        </w:rPr>
        <w:t>on the date of the Change in Control as is equal to (A) the “Target Number of PSUs” subject to this Agreement, multiplied by (B) the greater of (1) one hundred percent (100%) or (2) the Average ROIC</w:t>
      </w:r>
      <w:r>
        <w:rPr>
          <w:rFonts w:ascii="Times New Roman" w:hAnsi="Times New Roman"/>
          <w:caps/>
          <w:color w:val="000000"/>
          <w:sz w:val="20"/>
        </w:rPr>
        <w:t xml:space="preserve"> </w:t>
      </w:r>
      <w:r>
        <w:rPr>
          <w:rFonts w:ascii="Times New Roman" w:hAnsi="Times New Roman"/>
          <w:color w:val="000000"/>
          <w:sz w:val="22"/>
        </w:rPr>
        <w:t xml:space="preserve">Performance Multiplier as of the Measurement Date </w:t>
      </w:r>
      <w:r>
        <w:rPr>
          <w:rFonts w:ascii="Times New Roman" w:hAnsi="Times New Roman"/>
          <w:caps/>
          <w:color w:val="000000"/>
          <w:sz w:val="22"/>
        </w:rPr>
        <w:t>(</w:t>
      </w:r>
      <w:r>
        <w:rPr>
          <w:rFonts w:ascii="Times New Roman" w:hAnsi="Times New Roman"/>
          <w:color w:val="000000"/>
          <w:sz w:val="22"/>
        </w:rPr>
        <w:t>with the performance goals for Average ROIC</w:t>
      </w:r>
      <w:r>
        <w:rPr>
          <w:rFonts w:ascii="Times New Roman" w:hAnsi="Times New Roman"/>
          <w:caps/>
          <w:color w:val="000000"/>
          <w:sz w:val="20"/>
        </w:rPr>
        <w:t xml:space="preserve"> </w:t>
      </w:r>
      <w:r>
        <w:rPr>
          <w:rFonts w:ascii="Times New Roman" w:hAnsi="Times New Roman"/>
          <w:color w:val="000000"/>
          <w:sz w:val="22"/>
        </w:rPr>
        <w:t>prorated to reflect the portion of the Performance Period that has elapsed prior to the date of such Change in Control and achievement measured against such prorated goals), determined by the Committee prior to such Change in Control. Subject to Section 2 below, the “</w:t>
      </w:r>
      <w:r>
        <w:rPr>
          <w:rFonts w:ascii="Times New Roman" w:hAnsi="Times New Roman"/>
          <w:b/>
          <w:i/>
          <w:color w:val="000000"/>
          <w:sz w:val="22"/>
        </w:rPr>
        <w:t>Vesting Eligible PSUs</w:t>
      </w:r>
      <w:r>
        <w:rPr>
          <w:rFonts w:ascii="Times New Roman" w:hAnsi="Times New Roman"/>
          <w:color w:val="000000"/>
          <w:sz w:val="20"/>
        </w:rPr>
        <w:t xml:space="preserve">” </w:t>
      </w:r>
      <w:r>
        <w:rPr>
          <w:rFonts w:ascii="Times New Roman" w:hAnsi="Times New Roman"/>
          <w:color w:val="000000"/>
          <w:sz w:val="22"/>
        </w:rPr>
        <w:t>will remain eligible to vest following such Change in Control on March 31, [INSERT GRANT YEAR + 3], provided you do not experience a Termination of Employment prior to such date.</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Change in Control On or After March 31, [INSERT GRANT YEAR + 3]</w:t>
      </w:r>
      <w:r>
        <w:rPr>
          <w:rFonts w:ascii="Times New Roman" w:hAnsi="Times New Roman"/>
          <w:color w:val="000000"/>
          <w:sz w:val="22"/>
        </w:rPr>
        <w:t>. In the event of a Change in Control on or after March 31, [INSERT GRANT YEAR + 3], if the Certification Date has not yet occurred prior to the date of such Change in Control, such number of PSUs will vest as of the date of the Change in Control as is determined under Section 1(a) above, provided you do not experience a Termination of Employment prior to such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Effect of Termination of Employment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Effect of Termination Due to Death or Permanent Disability</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the event of your Termination of Employment as a result of your death or Permanent Disability prior to the Certification Date and prior to a Change in Control, you will remain eligible to vest on the Certification Date in such portion of the PSUs as are determined to vest on the Certification Date based on the Company’s Average ROIC Performance Multiplier for the Performance Period.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In the event of your Termination of Employment as a result of your death or Permanent Disability on or after the date of a Change in Control but prior to March 31, [INSERT GRANT YEAR + 3], you will vest in the Vesting Eligible PSUs on the date of your Termination of Employment.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Effect of Other Terminations</w:t>
      </w:r>
      <w:r>
        <w:rPr>
          <w:rFonts w:ascii="Times New Roman" w:hAnsi="Times New Roman"/>
          <w:color w:val="000000"/>
          <w:sz w:val="22"/>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(i) In the event of your Termination of Employment for any reason other than your death or Permanent Disability prior to the Certification Date and prior to a Change in Control, any unvested PSUs will be forfeited;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that the PSUs will be subject to any time-based accelerated vesting as may be provided in any employment or severance agreement between you and the Company, and in the event any such time-based accelerated vesting applies and the Measurement Date would otherwise occur under Section 1(a) prior to or during the period covered by such time-based accelerated vesting, you will remain eligible to vest on the Certification Date in such portion of the PSUs as are determined to vest on the Certification Date based on the Company’s Average ROIC Performance Multiplier for the Performance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In the event of your Termination of Employment for any reason other than your death or Permanent Disability on or after the date of a Change in Control but prior to March 31, [INSERT GRANT YEAR + 3], any unvested PSUs will be forfeited;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Vesting Eligible PSUs will be subject to any time-based accelerated vesting as may be provided in any employment or severance agreement between you and the Company (and any such unvested Vesting Eligible PSUs that vest on an accelerated basis will vest on the date of your Termination of Employment).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Notwithstanding the foregoing, to the extent any such agreement between you and the Company provides for accelerated vesting upon your termination without “cause” or resignation for “good reason” (each as defined in any such agreement), such accelerated vesting will only apply to the extent</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your termination without “cause” occurs on or after the Grant Date, or (B) the circumstances giving rise to “good reason” first occur on or after the Grant Date</w:t>
      </w:r>
      <w:r>
        <w:rPr>
          <w:rFonts w:ascii="Times New Roman" w:hAnsi="Times New Roman"/>
          <w:i/>
          <w:color w:val="000000"/>
          <w:sz w:val="22"/>
        </w:rPr>
        <w:t xml:space="preserve">; </w:t>
      </w:r>
      <w:r>
        <w:rPr>
          <w:rFonts w:ascii="Times New Roman" w:hAnsi="Times New Roman"/>
          <w:color w:val="000000"/>
          <w:sz w:val="22"/>
        </w:rPr>
        <w:t>and, in addition to the foregoing, to the extent any such agreement between you and the Company provides for accelerated vesting upon your termination without “cause” or resignation for “good reason” following a “change in control” (each as defined in any such agreement), such accelerated vesting will only apply to the extent a “change in control” occurs on or after the Grant Date and will not apply to any “change in control” that occurred prior to the Grant Date. Any employment, services, severance, change in control or other compensation agreement between you and the Company is hereby amended to be consistent with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u w:val="single"/>
        </w:rPr>
        <w:t>Forfeiture</w:t>
      </w:r>
      <w:r>
        <w:rPr>
          <w:rFonts w:ascii="Times New Roman" w:hAnsi="Times New Roman"/>
          <w:color w:val="000000"/>
          <w:sz w:val="22"/>
        </w:rPr>
        <w:t xml:space="preserve">. Subject to Section 2 above, any portion of this PSU award that does not vest (or remain eligible to vest) as a result of your Termination of Employment or as a result of less than the “Maximum Number of PSUs” subject to this award vesting (or remaining eligible to vest) will automatically and without further action be cancelled and forfeited by you, and you will have no further right or interest in or with respect to such portion of this PSU award. In no event will more than the “Maximum Number of PSUs” subject to this award vest pursuant to this </w:t>
      </w:r>
      <w:r>
        <w:rPr>
          <w:rFonts w:ascii="Times New Roman" w:hAnsi="Times New Roman"/>
          <w:color w:val="000000"/>
          <w:sz w:val="22"/>
          <w:u w:val="single"/>
        </w:rPr>
        <w:t>Exhibit A</w:t>
      </w:r>
      <w:r>
        <w:rPr>
          <w:rFonts w:ascii="Times New Roman" w:hAnsi="Times New Roman"/>
          <w:color w:val="000000"/>
          <w:sz w:val="22"/>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0"/>
        <w:jc w:val="both"/>
        <w:rPr/>
      </w:pPr>
      <w:r>
        <w:rPr>
          <w:rFonts w:ascii="Times New Roman" w:hAnsi="Times New Roman"/>
          <w:color w:val="000000"/>
          <w:sz w:val="22"/>
          <w:u w:val="single"/>
        </w:rPr>
        <w:t>Definitions</w:t>
      </w:r>
      <w:r>
        <w:rPr>
          <w:rFonts w:ascii="Times New Roman" w:hAnsi="Times New Roman"/>
          <w:color w:val="000000"/>
          <w:sz w:val="22"/>
        </w:rPr>
        <w:t xml:space="preserve">. For purposes of this </w:t>
      </w:r>
      <w:r>
        <w:rPr>
          <w:rFonts w:ascii="Times New Roman" w:hAnsi="Times New Roman"/>
          <w:color w:val="000000"/>
          <w:sz w:val="22"/>
          <w:u w:val="single"/>
        </w:rPr>
        <w:t>Exhibit A</w:t>
      </w:r>
      <w:r>
        <w:rPr>
          <w:rFonts w:ascii="Times New Roman" w:hAnsi="Times New Roman"/>
          <w:color w:val="000000"/>
          <w:sz w:val="22"/>
        </w:rPr>
        <w:t>, the following terms will have the meanings given below:</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color w:val="000000"/>
        </w:rPr>
        <w:t>“</w:t>
      </w:r>
      <w:r>
        <w:rPr>
          <w:rFonts w:ascii="Times New Roman" w:hAnsi="Times New Roman"/>
          <w:b/>
          <w:i/>
          <w:color w:val="000000"/>
          <w:sz w:val="22"/>
        </w:rPr>
        <w:t>Average ROIC</w:t>
      </w:r>
      <w:r>
        <w:rPr>
          <w:color w:val="000000"/>
        </w:rPr>
        <w:t xml:space="preserve">” </w:t>
      </w:r>
      <w:r>
        <w:rPr>
          <w:rFonts w:ascii="Times New Roman" w:hAnsi="Times New Roman"/>
          <w:color w:val="000000"/>
          <w:sz w:val="22"/>
        </w:rPr>
        <w:t>means the Company’s average ROIC for the Performance Period, calculated by dividing (i) the sum of the ROIC for each fiscal year during the Performance Period (or portion thereof in the event the Measurement Date is a Change in Control), divided by (ii) the number of fiscal years (or portions thereof in the event the Measurement Date is a Change in Control) in the Performance Period.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rPr>
        <w:t>The “</w:t>
      </w:r>
      <w:r>
        <w:rPr>
          <w:rFonts w:ascii="Times New Roman" w:hAnsi="Times New Roman"/>
          <w:b/>
          <w:i/>
          <w:color w:val="000000"/>
          <w:sz w:val="22"/>
        </w:rPr>
        <w:t>Average ROIC Performance Multiplier</w:t>
      </w:r>
      <w:r>
        <w:rPr>
          <w:color w:val="000000"/>
        </w:rPr>
        <w:t xml:space="preserve">” </w:t>
      </w:r>
      <w:r>
        <w:rPr>
          <w:rFonts w:ascii="Times New Roman" w:hAnsi="Times New Roman"/>
          <w:color w:val="000000"/>
          <w:sz w:val="22"/>
        </w:rPr>
        <w:t>means, for the Performance Period, the performance multiplier determined pursuant to the chart below based on the Company’s Average ROIC for the Performance Period. If the Company achieves Average ROIC for the Performance Period that falls between the foregoing levels, the Average ROIC Performance Multiplier will be determined by linear interpolation between the applicable levels.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252" w:type="dxa"/>
        <w:jc w:val="left"/>
        <w:tblInd w:w="0" w:type="dxa"/>
        <w:tblLayout w:type="fixed"/>
        <w:tblCellMar>
          <w:top w:w="28" w:type="dxa"/>
          <w:left w:w="28" w:type="dxa"/>
          <w:bottom w:w="28" w:type="dxa"/>
          <w:right w:w="28" w:type="dxa"/>
        </w:tblCellMar>
      </w:tblPr>
      <w:tblGrid>
        <w:gridCol w:w="4336"/>
        <w:gridCol w:w="3916"/>
      </w:tblGrid>
      <w:tr>
        <w:trPr/>
        <w:tc>
          <w:tcPr>
            <w:tcW w:w="433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433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Average ROIC </w:t>
            </w:r>
            <w:r>
              <w:rPr>
                <w:rFonts w:ascii="Times New Roman" w:hAnsi="Times New Roman"/>
                <w:b/>
                <w:color w:val="000000"/>
                <w:sz w:val="22"/>
              </w:rPr>
              <w:t>for the Performance Period</w:t>
            </w:r>
            <w:r>
              <w:rPr>
                <w:rFonts w:ascii="Times New Roman" w:hAnsi="Times New Roman"/>
                <w:color w:val="000000"/>
                <w:sz w:val="22"/>
              </w:rPr>
              <w:t xml:space="preserve"> </w:t>
            </w:r>
          </w:p>
          <w:p>
            <w:pPr>
              <w:pStyle w:val="TableContents"/>
              <w:bidi w:val="0"/>
              <w:spacing w:before="0" w:after="283"/>
              <w:jc w:val="left"/>
              <w:rPr/>
            </w:pPr>
            <w:r>
              <w:rPr/>
              <w:t> </w:t>
            </w:r>
          </w:p>
        </w:tc>
        <w:tc>
          <w:tcPr>
            <w:tcW w:w="39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2"/>
              </w:rPr>
            </w:pPr>
            <w:r>
              <w:rPr>
                <w:rFonts w:ascii="Times New Roman" w:hAnsi="Times New Roman"/>
                <w:color w:val="000000"/>
                <w:sz w:val="22"/>
              </w:rPr>
              <w:t xml:space="preserve">Average ROIC </w:t>
            </w:r>
            <w:r>
              <w:rPr>
                <w:rFonts w:ascii="Times New Roman" w:hAnsi="Times New Roman"/>
                <w:b/>
                <w:color w:val="000000"/>
                <w:sz w:val="22"/>
              </w:rPr>
              <w:t>Performance Multiplier</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3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3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3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3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Average ROIC objectives for the Performance Period will be subject to positive or negative adjustment(s) by the Committee for outcomes it deems are extraordinary in nature, not previously identified in the Company’s operating plan for such Performance Period, and necessary to ensure fair and appropriate outcomes are achieved.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0"/>
        <w:jc w:val="both"/>
        <w:rPr/>
      </w:pPr>
      <w:r>
        <w:rPr>
          <w:color w:val="000000"/>
        </w:rPr>
        <w:t>“</w:t>
      </w:r>
      <w:r>
        <w:rPr>
          <w:rFonts w:ascii="Times New Roman" w:hAnsi="Times New Roman"/>
          <w:b/>
          <w:i/>
          <w:color w:val="000000"/>
          <w:sz w:val="22"/>
        </w:rPr>
        <w:t>Certification Date</w:t>
      </w:r>
      <w:r>
        <w:rPr>
          <w:color w:val="000000"/>
        </w:rPr>
        <w:t xml:space="preserve">” </w:t>
      </w:r>
      <w:r>
        <w:rPr>
          <w:rFonts w:ascii="Times New Roman" w:hAnsi="Times New Roman"/>
          <w:color w:val="000000"/>
          <w:sz w:val="22"/>
        </w:rPr>
        <w:t>means the date on which the Committee certifies the Average ROIC Performance Multiplier, which certification will occur on or prior to June 15, [INSERT GRANT YEAR + 3].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color w:val="000000"/>
        </w:rPr>
        <w:t>“</w:t>
      </w:r>
      <w:r>
        <w:rPr>
          <w:rFonts w:ascii="Times New Roman" w:hAnsi="Times New Roman"/>
          <w:b/>
          <w:i/>
          <w:color w:val="000000"/>
          <w:sz w:val="22"/>
        </w:rPr>
        <w:t>Change in Control</w:t>
      </w:r>
      <w:r>
        <w:rPr>
          <w:color w:val="000000"/>
        </w:rPr>
        <w:t xml:space="preserve">” </w:t>
      </w:r>
      <w:r>
        <w:rPr>
          <w:rFonts w:ascii="Times New Roman" w:hAnsi="Times New Roman"/>
          <w:color w:val="000000"/>
          <w:sz w:val="22"/>
        </w:rPr>
        <w:t>means and includes each of the following occurring on or after the Grant Date:</w:t>
      </w:r>
    </w:p>
    <w:p>
      <w:pPr>
        <w:pStyle w:val="TextBody"/>
        <w:bidi w:val="0"/>
        <w:spacing w:before="240" w:after="240"/>
        <w:jc w:val="both"/>
        <w:rPr>
          <w:rFonts w:ascii="Times New Roman" w:hAnsi="Times New Roman"/>
          <w:sz w:val="20"/>
        </w:rPr>
      </w:pPr>
      <w:r>
        <w:rPr>
          <w:rFonts w:ascii="Times New Roman" w:hAnsi="Times New Roman"/>
          <w:color w:val="000000"/>
          <w:sz w:val="22"/>
        </w:rPr>
        <w:t>(i) A transaction or series of transactions (other than an offering of the Company’s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forty percent (40%) of the total combined voting power of the Company’s securities outstanding immediately after such acquisition;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The individuals who, as of the Grant Date are members of the Board (the “</w:t>
      </w:r>
      <w:r>
        <w:rPr>
          <w:rFonts w:ascii="Times New Roman" w:hAnsi="Times New Roman"/>
          <w:b/>
          <w:i/>
          <w:color w:val="000000"/>
          <w:sz w:val="22"/>
        </w:rPr>
        <w:t>Incumbent Board</w:t>
      </w:r>
      <w:r>
        <w:rPr>
          <w:rFonts w:ascii="Times New Roman" w:hAnsi="Times New Roman"/>
          <w:color w:val="000000"/>
          <w:sz w:val="20"/>
        </w:rPr>
        <w:t>”</w:t>
      </w:r>
      <w:r>
        <w:rPr>
          <w:rFonts w:ascii="Times New Roman" w:hAnsi="Times New Roman"/>
          <w:color w:val="000000"/>
          <w:sz w:val="22"/>
        </w:rPr>
        <w:t xml:space="preserve">), cease for any reason to constitute at least two-thirds of the members of the Board;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the election, or nomination for election by the Company’s common stockholders, of any new director was approved by a vote of at least two-thirds of the Incumbent Board, such new director shall, for purposes of this definition, be considered as a member of the Incumbent Board;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w:t>
      </w:r>
      <w:r>
        <w:rPr>
          <w:rFonts w:ascii="Times New Roman" w:hAnsi="Times New Roman"/>
          <w:b/>
          <w:i/>
          <w:color w:val="000000"/>
          <w:sz w:val="22"/>
        </w:rPr>
        <w:t>Proxy Contest</w:t>
      </w:r>
      <w:r>
        <w:rPr>
          <w:rFonts w:ascii="Times New Roman" w:hAnsi="Times New Roman"/>
          <w:color w:val="000000"/>
          <w:sz w:val="20"/>
        </w:rPr>
        <w:t>”</w:t>
      </w:r>
      <w:r>
        <w:rPr>
          <w:rFonts w:ascii="Times New Roman" w:hAnsi="Times New Roman"/>
          <w:color w:val="000000"/>
          <w:sz w:val="22"/>
        </w:rPr>
        <w:t>) including by reason of any agreement intended to avoid or settle any Election Contest or Proxy Contest;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hAnsi="Times New Roman"/>
          <w:b/>
          <w:i/>
          <w:color w:val="000000"/>
          <w:sz w:val="22"/>
        </w:rPr>
        <w:t>Successor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2"/>
        </w:rPr>
        <w:t>Entity</w:t>
      </w:r>
      <w:r>
        <w:rPr>
          <w:rFonts w:ascii="Times New Roman" w:hAnsi="Times New Roman"/>
          <w:color w:val="000000"/>
          <w:sz w:val="20"/>
        </w:rPr>
        <w:t>”</w:t>
      </w:r>
      <w:r>
        <w:rPr>
          <w:rFonts w:ascii="Times New Roman" w:hAnsi="Times New Roman"/>
          <w:color w:val="000000"/>
          <w:sz w:val="22"/>
        </w:rPr>
        <w:t>)) directly or indirectly, at least a majority of the combined voting power of the Successor Entity’s outstanding voting securities immediately after the transaction,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After which no person or group beneficially owns voting securities representing forty percent (40%) or more of the combined voting power of the Successor Entity;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no person or group shall be treated for purposes of this Section 4(c)(iii)(B) as beneficially owning 40% or more of combined voting power of the Successor Entity solely as a result of the voting power held in the Company prior to the consummation of the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The Board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color w:val="000000"/>
        </w:rPr>
        <w:t>“</w:t>
      </w:r>
      <w:r>
        <w:rPr>
          <w:rFonts w:ascii="Times New Roman" w:hAnsi="Times New Roman"/>
          <w:b/>
          <w:i/>
          <w:color w:val="000000"/>
          <w:sz w:val="22"/>
        </w:rPr>
        <w:t>Measurement Date</w:t>
      </w:r>
      <w:r>
        <w:rPr>
          <w:color w:val="000000"/>
        </w:rPr>
        <w:t xml:space="preserve">” </w:t>
      </w:r>
      <w:r>
        <w:rPr>
          <w:rFonts w:ascii="Times New Roman" w:hAnsi="Times New Roman"/>
          <w:color w:val="000000"/>
          <w:sz w:val="22"/>
        </w:rPr>
        <w:t>means the first to occur of (a) March 31, [INSERT GRANT YEAR + 3], or (b) the date on which a Change in Control occurs (or, in each case, if such date is not a trading day, the immediately preceding trading day).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jc w:val="both"/>
        <w:rPr/>
      </w:pPr>
      <w:r>
        <w:rPr>
          <w:color w:val="000000"/>
        </w:rPr>
        <w:t>“</w:t>
      </w:r>
      <w:r>
        <w:rPr>
          <w:rFonts w:ascii="Times New Roman" w:hAnsi="Times New Roman"/>
          <w:b/>
          <w:i/>
          <w:color w:val="000000"/>
          <w:sz w:val="22"/>
        </w:rPr>
        <w:t>Performance Period</w:t>
      </w:r>
      <w:r>
        <w:rPr>
          <w:color w:val="000000"/>
        </w:rPr>
        <w:t xml:space="preserve">” </w:t>
      </w:r>
      <w:r>
        <w:rPr>
          <w:rFonts w:ascii="Times New Roman" w:hAnsi="Times New Roman"/>
          <w:color w:val="000000"/>
          <w:sz w:val="22"/>
        </w:rPr>
        <w:t xml:space="preserve">means the period beginning on April 1, [INSERT GRANT YEAR] and ending on the Measurement Date.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color w:val="000000"/>
        </w:rPr>
        <w:t>“</w:t>
      </w:r>
      <w:r>
        <w:rPr>
          <w:rFonts w:ascii="Times New Roman" w:hAnsi="Times New Roman"/>
          <w:b/>
          <w:i/>
          <w:color w:val="000000"/>
          <w:sz w:val="22"/>
        </w:rPr>
        <w:t>Permanent Disability</w:t>
      </w:r>
      <w:r>
        <w:rPr>
          <w:color w:val="000000"/>
        </w:rPr>
        <w:t xml:space="preserve">” </w:t>
      </w:r>
      <w:r>
        <w:rPr>
          <w:rFonts w:ascii="Times New Roman" w:hAnsi="Times New Roman"/>
          <w:color w:val="000000"/>
          <w:sz w:val="22"/>
        </w:rPr>
        <w:t>means that you are unable to perform your duties by reason of any medically determined physical or mental impairment which can be expected to result in death or which has lasted or is expected to last for a continuous period of at least twelve (12) months, as reasonably determined by the Committee, in its discretion.</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w:t>
      </w:r>
    </w:p>
    <w:p>
      <w:pPr>
        <w:pStyle w:val="TextBody"/>
        <w:bidi w:val="0"/>
        <w:jc w:val="both"/>
        <w:rPr/>
      </w:pPr>
      <w:r>
        <w:rPr>
          <w:color w:val="000000"/>
        </w:rPr>
        <w:t>“</w:t>
      </w:r>
      <w:r>
        <w:rPr>
          <w:rFonts w:ascii="Times New Roman" w:hAnsi="Times New Roman"/>
          <w:b/>
          <w:i/>
          <w:color w:val="000000"/>
          <w:sz w:val="22"/>
        </w:rPr>
        <w:t>ROIC</w:t>
      </w:r>
      <w:r>
        <w:rPr>
          <w:color w:val="000000"/>
        </w:rPr>
        <w:t xml:space="preserve">” </w:t>
      </w:r>
      <w:r>
        <w:rPr>
          <w:rFonts w:ascii="Times New Roman" w:hAnsi="Times New Roman"/>
          <w:color w:val="000000"/>
          <w:sz w:val="22"/>
        </w:rPr>
        <w:t>means, for each fiscal year, the Company’s Earnings Before Interest (“</w:t>
      </w:r>
      <w:r>
        <w:rPr>
          <w:rFonts w:ascii="Times New Roman" w:hAnsi="Times New Roman"/>
          <w:b/>
          <w:i/>
          <w:color w:val="000000"/>
          <w:sz w:val="22"/>
        </w:rPr>
        <w:t>EBIT</w:t>
      </w:r>
      <w:r>
        <w:rPr>
          <w:color w:val="000000"/>
        </w:rPr>
        <w:t>”</w:t>
      </w:r>
      <w:r>
        <w:rPr>
          <w:rFonts w:ascii="Times New Roman" w:hAnsi="Times New Roman"/>
          <w:color w:val="000000"/>
          <w:sz w:val="22"/>
        </w:rPr>
        <w:t>) multiplied by the Company’s Tax Rate, resulting in Net Operating Profit Less Taxes (“</w:t>
      </w:r>
      <w:r>
        <w:rPr>
          <w:rFonts w:ascii="Times New Roman" w:hAnsi="Times New Roman"/>
          <w:b/>
          <w:i/>
          <w:color w:val="000000"/>
          <w:sz w:val="22"/>
        </w:rPr>
        <w:t>NOPAT</w:t>
      </w:r>
      <w:r>
        <w:rPr>
          <w:color w:val="000000"/>
        </w:rPr>
        <w:t>”</w:t>
      </w:r>
      <w:r>
        <w:rPr>
          <w:rFonts w:ascii="Times New Roman" w:hAnsi="Times New Roman"/>
          <w:color w:val="000000"/>
          <w:sz w:val="22"/>
        </w:rPr>
        <w:t>). Acquired Intangible Amortization is added to NOPAT resulting in Adjusted NOPAT (“</w:t>
      </w:r>
      <w:r>
        <w:rPr>
          <w:rFonts w:ascii="Times New Roman" w:hAnsi="Times New Roman"/>
          <w:b/>
          <w:i/>
          <w:color w:val="000000"/>
          <w:sz w:val="22"/>
        </w:rPr>
        <w:t>ANOPAT</w:t>
      </w:r>
      <w:r>
        <w:rPr>
          <w:color w:val="000000"/>
        </w:rPr>
        <w:t>”</w:t>
      </w:r>
      <w:r>
        <w:rPr>
          <w:rFonts w:ascii="Times New Roman" w:hAnsi="Times New Roman"/>
          <w:color w:val="000000"/>
          <w:sz w:val="22"/>
        </w:rPr>
        <w:t>). ANOPAT is divided by Viasat’s Invested Capital, less cash, defined as the sum of Total Gross Debt and Shareholder’s Equity, less non-operating assets as reported at the end of the fiscal year for which ROIC is calculated. The inputs to calculate ROIC and NOPAT are as reported in the Company’s annual financial statements for the year-end financial statements, excluding material effect of currency fluctuations, but including the effect of acquisitions and divestitures, or material changes in GAAP or taxes, financing activities, ViaSat-3 insurance claims, or other material nonrecurring events based on the actual results. “</w:t>
      </w:r>
      <w:r>
        <w:rPr>
          <w:rFonts w:ascii="Times New Roman" w:hAnsi="Times New Roman"/>
          <w:b/>
          <w:i/>
          <w:color w:val="000000"/>
          <w:sz w:val="22"/>
        </w:rPr>
        <w:t>ROIC</w:t>
      </w:r>
      <w:r>
        <w:rPr>
          <w:color w:val="000000"/>
        </w:rPr>
        <w:t xml:space="preserve">” </w:t>
      </w:r>
      <w:r>
        <w:rPr>
          <w:rFonts w:ascii="Times New Roman" w:hAnsi="Times New Roman"/>
          <w:color w:val="000000"/>
          <w:sz w:val="22"/>
        </w:rPr>
        <w:t>or its inputs will be subject to positive or negative adjustment(s) by the Committee for outcomes it deems are extraordinary in nature, not previously identified in the Company’s operating plan for any Performance Period, and necessary to ensure fair and appropriate outcomes are achieved.</w:t>
      </w:r>
    </w:p>
    <w:p>
      <w:pPr>
        <w:pStyle w:val="TextBody"/>
        <w:bidi w:val="0"/>
        <w:jc w:val="both"/>
        <w:rPr/>
      </w:pPr>
      <w:r>
        <w:rPr/>
        <w:t> </w:t>
      </w:r>
    </w:p>
    <w:p>
      <w:pPr>
        <w:pStyle w:val="TextBody"/>
        <w:bidi w:val="0"/>
        <w:spacing w:before="0" w:after="24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vsat-ex31_1.htm"/>
      <w:bookmarkStart w:id="24" w:name="ksvsatex31_1"/>
      <w:bookmarkEnd w:id="23"/>
      <w:bookmarkEnd w:id="24"/>
      <w:r>
        <w:rPr/>
        <w:t> </w:t>
      </w:r>
      <w:r>
        <w:br w:type="page"/>
      </w:r>
    </w:p>
    <w:p>
      <w:pPr>
        <w:pStyle w:val="TextBody"/>
        <w:bidi w:val="0"/>
        <w:jc w:val="right"/>
        <w:rPr>
          <w:rFonts w:ascii="Times New Roman" w:hAnsi="Times New Roman"/>
          <w:sz w:val="20"/>
        </w:rPr>
      </w:pPr>
      <w:r>
        <w:rPr>
          <w:rFonts w:ascii="Arial" w:hAnsi="Arial"/>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EXECUTIVE OFFICER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Mark Dankberg, Chief Executive Officer of Viasat, Inc., certify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I have reviewed this quarterly report on Form 10-Q of Viasat, Inc.;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288" w:type="dxa"/>
        <w:jc w:val="left"/>
        <w:tblInd w:w="0" w:type="dxa"/>
        <w:tblLayout w:type="fixed"/>
        <w:tblCellMar>
          <w:top w:w="28" w:type="dxa"/>
          <w:left w:w="28" w:type="dxa"/>
          <w:bottom w:w="28" w:type="dxa"/>
          <w:right w:w="28" w:type="dxa"/>
        </w:tblCellMar>
      </w:tblPr>
      <w:tblGrid>
        <w:gridCol w:w="1966"/>
        <w:gridCol w:w="146"/>
        <w:gridCol w:w="217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M</w:t>
            </w:r>
            <w:r>
              <w:rPr>
                <w:rFonts w:ascii="Arial" w:hAnsi="Arial"/>
                <w:smallCaps/>
                <w:color w:val="000000"/>
                <w:sz w:val="16"/>
              </w:rPr>
              <w:t>ARK</w:t>
            </w:r>
            <w:r>
              <w:rPr>
                <w:rFonts w:ascii="Times New Roman" w:hAnsi="Times New Roman"/>
                <w:smallCaps/>
                <w:color w:val="000000"/>
                <w:sz w:val="20"/>
              </w:rPr>
              <w:t> </w:t>
            </w:r>
            <w:r>
              <w:rPr>
                <w:rFonts w:ascii="Arial" w:hAnsi="Arial"/>
                <w:smallCaps/>
                <w:color w:val="000000"/>
                <w:sz w:val="20"/>
              </w:rPr>
              <w:t>Dankber</w:t>
            </w:r>
            <w:r>
              <w:rPr>
                <w:rFonts w:ascii="Arial" w:hAnsi="Arial"/>
                <w:smallCaps/>
                <w:color w:val="000000"/>
                <w:sz w:val="16"/>
              </w:rPr>
              <w:t>G</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vsat-ex31_2.htm"/>
      <w:bookmarkStart w:id="26" w:name="ksvsatex31_2"/>
      <w:bookmarkEnd w:id="25"/>
      <w:bookmarkEnd w:id="26"/>
      <w:r>
        <w:rPr/>
        <w:t> </w:t>
      </w:r>
      <w:r>
        <w:br w:type="page"/>
      </w:r>
    </w:p>
    <w:p>
      <w:pPr>
        <w:pStyle w:val="TextBody"/>
        <w:bidi w:val="0"/>
        <w:jc w:val="right"/>
        <w:rPr>
          <w:rFonts w:ascii="Times New Roman" w:hAnsi="Times New Roman"/>
          <w:sz w:val="20"/>
        </w:rPr>
      </w:pPr>
      <w:r>
        <w:rPr>
          <w:rFonts w:ascii="Arial" w:hAnsi="Arial"/>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FINANCIAL OFFICER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Garrett Chase, Chief Financial Officer of Viasat, Inc., certify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I have reviewed this quarterly report on Form 10-Q of Viasat, Inc.;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198" w:type="dxa"/>
        <w:jc w:val="left"/>
        <w:tblInd w:w="0" w:type="dxa"/>
        <w:tblLayout w:type="fixed"/>
        <w:tblCellMar>
          <w:top w:w="28" w:type="dxa"/>
          <w:left w:w="28" w:type="dxa"/>
          <w:bottom w:w="28" w:type="dxa"/>
          <w:right w:w="28" w:type="dxa"/>
        </w:tblCellMar>
      </w:tblPr>
      <w:tblGrid>
        <w:gridCol w:w="1966"/>
        <w:gridCol w:w="146"/>
        <w:gridCol w:w="208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G</w:t>
            </w:r>
            <w:r>
              <w:rPr>
                <w:rFonts w:ascii="Arial" w:hAnsi="Arial"/>
                <w:color w:val="000000"/>
                <w:sz w:val="16"/>
              </w:rPr>
              <w:t>ARRETT</w:t>
            </w:r>
            <w:r>
              <w:rPr>
                <w:rFonts w:ascii="Times New Roman" w:hAnsi="Times New Roman"/>
                <w:color w:val="000000"/>
                <w:sz w:val="20"/>
              </w:rPr>
              <w:t> </w:t>
            </w:r>
            <w:r>
              <w:rPr>
                <w:rFonts w:ascii="Arial" w:hAnsi="Arial"/>
                <w:color w:val="000000"/>
                <w:sz w:val="20"/>
              </w:rPr>
              <w:t>C</w:t>
            </w:r>
            <w:r>
              <w:rPr>
                <w:rFonts w:ascii="Arial" w:hAnsi="Arial"/>
                <w:color w:val="000000"/>
                <w:sz w:val="16"/>
              </w:rPr>
              <w:t>HASE</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Garrett Chase</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vsat-ex32_1.htm"/>
      <w:bookmarkStart w:id="28" w:name="ksvsatex32_1"/>
      <w:bookmarkEnd w:id="27"/>
      <w:bookmarkEnd w:id="28"/>
      <w:r>
        <w:rPr/>
        <w:t> </w:t>
      </w:r>
      <w:r>
        <w:br w:type="page"/>
      </w:r>
    </w:p>
    <w:p>
      <w:pPr>
        <w:pStyle w:val="TextBody"/>
        <w:bidi w:val="0"/>
        <w:jc w:val="right"/>
        <w:rPr>
          <w:rFonts w:ascii="Times New Roman" w:hAnsi="Times New Roman"/>
          <w:sz w:val="20"/>
        </w:rPr>
      </w:pPr>
      <w:r>
        <w:rPr>
          <w:rFonts w:ascii="Arial" w:hAnsi="Arial"/>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the accompanying quarterly report on Form 10-Q of the Company for the quarterly period ended June 30, 2026 (the “Report”) fully complies with the requirements of Section 13(a) or Section 15(d), as applicable, of the Securities Exchange Act of 1934, as amended;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288" w:type="dxa"/>
        <w:jc w:val="left"/>
        <w:tblInd w:w="0" w:type="dxa"/>
        <w:tblLayout w:type="fixed"/>
        <w:tblCellMar>
          <w:top w:w="28" w:type="dxa"/>
          <w:left w:w="28" w:type="dxa"/>
          <w:bottom w:w="28" w:type="dxa"/>
          <w:right w:w="28" w:type="dxa"/>
        </w:tblCellMar>
      </w:tblPr>
      <w:tblGrid>
        <w:gridCol w:w="1966"/>
        <w:gridCol w:w="146"/>
        <w:gridCol w:w="217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M</w:t>
            </w:r>
            <w:r>
              <w:rPr>
                <w:rFonts w:ascii="Arial" w:hAnsi="Arial"/>
                <w:color w:val="000000"/>
                <w:sz w:val="16"/>
              </w:rPr>
              <w:t>ARK</w:t>
            </w:r>
            <w:r>
              <w:rPr>
                <w:rFonts w:ascii="Times New Roman" w:hAnsi="Times New Roman"/>
                <w:color w:val="000000"/>
                <w:sz w:val="20"/>
              </w:rPr>
              <w:t> </w:t>
            </w:r>
            <w:r>
              <w:rPr>
                <w:rFonts w:ascii="Arial" w:hAnsi="Arial"/>
                <w:color w:val="000000"/>
                <w:sz w:val="20"/>
              </w:rPr>
              <w:t>D</w:t>
            </w:r>
            <w:r>
              <w:rPr>
                <w:rFonts w:ascii="Arial" w:hAnsi="Arial"/>
                <w:color w:val="000000"/>
                <w:sz w:val="16"/>
              </w:rPr>
              <w:t>ANKBERG</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Arial" w:hAnsi="Arial"/>
          <w:color w:val="000000"/>
          <w:sz w:val="20"/>
        </w:rPr>
        <w:t>CERTIFICATION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the accompanying quarterly report on Form 10-Q of the Company for the quarterly period ended June 30, 2026 (the “Report”) fully complies with the requirements of Section 13(a) or Section 15(d), as applicable, of the Securities Exchange Act of 1934, as amended;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198" w:type="dxa"/>
        <w:jc w:val="left"/>
        <w:tblInd w:w="0" w:type="dxa"/>
        <w:tblLayout w:type="fixed"/>
        <w:tblCellMar>
          <w:top w:w="28" w:type="dxa"/>
          <w:left w:w="28" w:type="dxa"/>
          <w:bottom w:w="28" w:type="dxa"/>
          <w:right w:w="28" w:type="dxa"/>
        </w:tblCellMar>
      </w:tblPr>
      <w:tblGrid>
        <w:gridCol w:w="1966"/>
        <w:gridCol w:w="146"/>
        <w:gridCol w:w="208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G</w:t>
            </w:r>
            <w:r>
              <w:rPr>
                <w:rFonts w:ascii="Arial" w:hAnsi="Arial"/>
                <w:color w:val="000000"/>
                <w:sz w:val="16"/>
              </w:rPr>
              <w:t>ARRETT</w:t>
            </w:r>
            <w:r>
              <w:rPr>
                <w:rFonts w:ascii="Times New Roman" w:hAnsi="Times New Roman"/>
                <w:color w:val="000000"/>
                <w:sz w:val="20"/>
              </w:rPr>
              <w:t> </w:t>
            </w:r>
            <w:r>
              <w:rPr>
                <w:rFonts w:ascii="Arial" w:hAnsi="Arial"/>
                <w:color w:val="000000"/>
                <w:sz w:val="20"/>
              </w:rPr>
              <w:t>C</w:t>
            </w:r>
            <w:r>
              <w:rPr>
                <w:rFonts w:ascii="Arial" w:hAnsi="Arial"/>
                <w:color w:val="000000"/>
                <w:sz w:val="16"/>
              </w:rPr>
              <w:t>HASE</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Garrett Chase</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97721/000119312526210427/d108013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39720</Words>
  <Characters>220876</Characters>
  <CharactersWithSpaces>261723</CharactersWithSpaces>
  <Paragraphs>5383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