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WISE THERESA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7"/>
        <w:gridCol w:w="904"/>
        <w:gridCol w:w="773"/>
        <w:gridCol w:w="601"/>
        <w:gridCol w:w="354"/>
        <w:gridCol w:w="863"/>
        <w:gridCol w:w="468"/>
        <w:gridCol w:w="631"/>
        <w:gridCol w:w="1187"/>
        <w:gridCol w:w="1015"/>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17,388</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7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46"/>
        <w:gridCol w:w="681"/>
        <w:gridCol w:w="801"/>
        <w:gridCol w:w="936"/>
        <w:gridCol w:w="831"/>
        <w:gridCol w:w="84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3,485</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3,485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6,388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Viasat,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will vest and convert into shares of common stock of the Issuer on the first to occur of (i) the first anniversary of the date of grant or (ii) the next occurring annual meeting of the Company's stockholders, subject to the Non-Employee Director continuing in service on the Board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Until vested, the restricted stock unit shall be subject to forfeiture in the event of termination of the directorship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7728"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3668</Characters>
  <CharactersWithSpaces>4265</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