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ind w:left="460" w:right="460" w:hanging="452"/>
        <w:spacing w:after="0" w:line="25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January 2,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7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200" w:space="580"/>
            <w:col w:w="140" w:space="600"/>
            <w:col w:w="3900"/>
          </w:cols>
          <w:pgMar w:left="240" w:top="230" w:right="23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177800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33-0174996</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540" w:space="380"/>
            <w:col w:w="622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60"/>
            <w:col w:w="260" w:space="10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outstanding of the registrant’s common stock, $0.0001 par value, as of January 30, 2015 was 47,638,563.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1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40" w:type="dxa"/>
            <w:vAlign w:val="bottom"/>
            <w:gridSpan w:val="8"/>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10"/>
            <w:vMerge w:val="continue"/>
          </w:tcPr>
          <w:p>
            <w:pPr>
              <w:spacing w:after="0"/>
              <w:rPr>
                <w:sz w:val="13"/>
                <w:szCs w:val="13"/>
                <w:color w:val="auto"/>
              </w:rPr>
            </w:pPr>
          </w:p>
        </w:tc>
        <w:tc>
          <w:tcPr>
            <w:tcW w:w="7940" w:type="dxa"/>
            <w:vAlign w:val="bottom"/>
            <w:gridSpan w:val="8"/>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(Loss)</w:t>
              </w:r>
            </w:hyperlink>
          </w:p>
        </w:tc>
        <w:tc>
          <w:tcPr>
            <w:tcW w:w="44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7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Equity</w:t>
              </w:r>
            </w:hyperlink>
          </w:p>
        </w:tc>
        <w:tc>
          <w:tcPr>
            <w:tcW w:w="69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Item 3.</w:t>
              </w:r>
            </w:hyperlink>
          </w:p>
        </w:tc>
        <w:tc>
          <w:tcPr>
            <w:tcW w:w="648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40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8"/>
          </w:tcPr>
          <w:p>
            <w:pPr>
              <w:spacing w:after="0"/>
              <w:rPr>
                <w:sz w:val="17"/>
                <w:szCs w:val="17"/>
                <w:color w:val="auto"/>
              </w:rPr>
            </w:pPr>
          </w:p>
        </w:tc>
        <w:tc>
          <w:tcPr>
            <w:tcW w:w="61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8240" w:type="dxa"/>
            <w:vAlign w:val="bottom"/>
            <w:gridSpan w:val="10"/>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Item 1.</w:t>
              </w:r>
            </w:hyperlink>
          </w:p>
        </w:tc>
        <w:tc>
          <w:tcPr>
            <w:tcW w:w="136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912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Item 1A. Risk Factors</w:t>
              </w:r>
            </w:hyperlink>
          </w:p>
        </w:tc>
        <w:tc>
          <w:tcPr>
            <w:tcW w:w="942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Item 6.</w:t>
              </w:r>
            </w:hyperlink>
          </w:p>
        </w:tc>
        <w:tc>
          <w:tcPr>
            <w:tcW w:w="10480" w:type="dxa"/>
            <w:vAlign w:val="bottom"/>
            <w:gridSpan w:val="16"/>
          </w:tcPr>
          <w:p>
            <w:pPr>
              <w:ind w:left="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98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January 2, 2015</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4,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right"/>
              <w:ind w:right="59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9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97,644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268,102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38,695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44,070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577,145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729,915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413,852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Goodwill</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117,276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268,607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2,153,324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1,960,115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ind w:left="3200"/>
              <w:spacing w:after="0"/>
              <w:rPr>
                <w:sz w:val="20"/>
                <w:szCs w:val="20"/>
                <w:color w:val="auto"/>
              </w:rPr>
            </w:pPr>
            <w:r>
              <w:rPr>
                <w:rFonts w:ascii="Arial" w:cs="Arial" w:eastAsia="Arial" w:hAnsi="Arial"/>
                <w:sz w:val="18"/>
                <w:szCs w:val="18"/>
                <w:b w:val="1"/>
                <w:bCs w:val="1"/>
                <w:color w:val="auto"/>
              </w:rPr>
              <w:t>LIABILITIES AND EQUITY</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9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82,330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269,333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274,826</w:t>
            </w:r>
          </w:p>
        </w:tc>
        <w:tc>
          <w:tcPr>
            <w:tcW w:w="0" w:type="dxa"/>
            <w:vAlign w:val="bottom"/>
          </w:tcPr>
          <w:p>
            <w:pPr>
              <w:spacing w:after="0"/>
              <w:rPr>
                <w:sz w:val="1"/>
                <w:szCs w:val="1"/>
                <w:color w:val="auto"/>
              </w:rPr>
            </w:pPr>
          </w:p>
        </w:tc>
      </w:tr>
      <w:tr>
        <w:trPr>
          <w:trHeight w:val="324"/>
        </w:trPr>
        <w:tc>
          <w:tcPr>
            <w:tcW w:w="730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582,965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583,861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235,853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liabilities</w:t>
            </w:r>
          </w:p>
        </w:tc>
        <w:tc>
          <w:tcPr>
            <w:tcW w:w="1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1,129,126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1,013,480</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773,595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244,414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Common stock held in treasury</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(49,358)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Total ViaSat, Inc. stockholders’ equity</w:t>
            </w:r>
          </w:p>
        </w:tc>
        <w:tc>
          <w:tcPr>
            <w:tcW w:w="1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1,018,934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Total equity</w:t>
            </w:r>
          </w:p>
        </w:tc>
        <w:tc>
          <w:tcPr>
            <w:tcW w:w="17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1,024,198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19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2,153,324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1,960,115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January 2, 2015</w:t>
            </w: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January 3, 2014</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January 2, 2015</w:t>
            </w: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January 3,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6"/>
          </w:tcPr>
          <w:p>
            <w:pPr>
              <w:jc w:val="right"/>
              <w:ind w:right="44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Product revenues</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174,299</w:t>
            </w:r>
          </w:p>
        </w:tc>
        <w:tc>
          <w:tcPr>
            <w:tcW w:w="2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193,846</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536,352</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586,398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revenues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165,254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138,709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481,430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421,140</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339,553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332,555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1,017,782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1,007,538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Cost of product revenues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123,675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140,530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382,757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 revenues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110,237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102,606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330,583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70,962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69,100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194,462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207,474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Independent research and development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63,465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(7,640)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(9,169)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(24,606)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(3,389)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7,633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(19,569)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tcPr>
          <w:p>
            <w:pPr>
              <w:spacing w:after="0" w:line="201" w:lineRule="exact"/>
              <w:rPr>
                <w:sz w:val="20"/>
                <w:szCs w:val="20"/>
                <w:color w:val="auto"/>
              </w:rPr>
            </w:pPr>
            <w:r>
              <w:rPr>
                <w:rFonts w:ascii="Arial" w:cs="Arial" w:eastAsia="Arial" w:hAnsi="Arial"/>
                <w:sz w:val="18"/>
                <w:szCs w:val="18"/>
                <w:color w:val="auto"/>
                <w:w w:val="99"/>
              </w:rPr>
              <w:t>Less: Net (loss) income attributable to the noncontrolling interest, net of</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tax</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ViaSat, Inc.</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14,811</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32,814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(loss) per share attributable to ViaSat, Inc. common</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0.31</w:t>
            </w:r>
          </w:p>
        </w:tc>
        <w:tc>
          <w:tcPr>
            <w:tcW w:w="280" w:type="dxa"/>
            <w:vAlign w:val="bottom"/>
          </w:tcPr>
          <w:p>
            <w:pPr>
              <w:spacing w:after="0"/>
              <w:rPr>
                <w:sz w:val="20"/>
                <w:szCs w:val="20"/>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0.70</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(loss) per share attributable to ViaSat, Inc. common</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Shares used in computing basic net income (loss) per share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47,375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45,935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46,920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(loss) per share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45,576</w:t>
            </w:r>
          </w:p>
        </w:tc>
        <w:tc>
          <w:tcPr>
            <w:tcW w:w="0" w:type="dxa"/>
            <w:vAlign w:val="bottom"/>
          </w:tcPr>
          <w:p>
            <w:pPr>
              <w:spacing w:after="0"/>
              <w:rPr>
                <w:sz w:val="1"/>
                <w:szCs w:val="1"/>
                <w:color w:val="auto"/>
              </w:rPr>
            </w:pPr>
          </w:p>
        </w:tc>
      </w:tr>
      <w:tr>
        <w:trPr>
          <w:trHeight w:val="392"/>
        </w:trPr>
        <w:tc>
          <w:tcPr>
            <w:tcW w:w="57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14,784</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(5,960)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32,455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hedging, net of tax</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 net of tax</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(749)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14,051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(5,807)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31,062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comprehensive (loss) income attributable to the noncontrolling</w:t>
            </w:r>
          </w:p>
        </w:tc>
        <w:tc>
          <w:tcPr>
            <w:tcW w:w="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net of tax</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20" w:type="dxa"/>
            <w:vAlign w:val="bottom"/>
          </w:tcPr>
          <w:p>
            <w:pPr>
              <w:spacing w:after="0"/>
              <w:rPr>
                <w:sz w:val="12"/>
                <w:szCs w:val="12"/>
                <w:color w:val="auto"/>
              </w:rPr>
            </w:pPr>
          </w:p>
        </w:tc>
        <w:tc>
          <w:tcPr>
            <w:tcW w:w="13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January 2, 2015</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January 3, 2014</w:t>
            </w:r>
          </w:p>
        </w:tc>
        <w:tc>
          <w:tcPr>
            <w:tcW w:w="100" w:type="dxa"/>
            <w:vAlign w:val="bottom"/>
          </w:tcPr>
          <w:p>
            <w:pPr>
              <w:spacing w:after="0"/>
              <w:rPr>
                <w:sz w:val="12"/>
                <w:szCs w:val="12"/>
                <w:color w:val="auto"/>
              </w:rPr>
            </w:pPr>
          </w:p>
        </w:tc>
      </w:tr>
      <w:tr>
        <w:trPr>
          <w:trHeight w:val="142"/>
        </w:trPr>
        <w:tc>
          <w:tcPr>
            <w:tcW w:w="8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4"/>
          </w:tcPr>
          <w:p>
            <w:pPr>
              <w:jc w:val="right"/>
              <w:ind w:right="119"/>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32,455</w:t>
            </w:r>
          </w:p>
        </w:tc>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(5,166)</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(loss) to net cash provided by operating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132,555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117,742</w:t>
            </w: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30,857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18,009</w:t>
            </w:r>
          </w:p>
        </w:tc>
      </w:tr>
      <w:tr>
        <w:trPr>
          <w:trHeight w:val="216"/>
        </w:trPr>
        <w:tc>
          <w:tcPr>
            <w:tcW w:w="862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7,920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(20,693)</w:t>
            </w: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28,072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24,365</w:t>
            </w:r>
          </w:p>
        </w:tc>
      </w:tr>
      <w:tr>
        <w:trPr>
          <w:trHeight w:val="216"/>
        </w:trPr>
        <w:tc>
          <w:tcPr>
            <w:tcW w:w="8620" w:type="dxa"/>
            <w:vAlign w:val="bottom"/>
          </w:tcPr>
          <w:p>
            <w:pPr>
              <w:ind w:left="720"/>
              <w:spacing w:after="0"/>
              <w:rPr>
                <w:sz w:val="20"/>
                <w:szCs w:val="20"/>
                <w:color w:val="auto"/>
              </w:rPr>
            </w:pPr>
            <w:r>
              <w:rPr>
                <w:rFonts w:ascii="Arial" w:cs="Arial" w:eastAsia="Arial" w:hAnsi="Arial"/>
                <w:sz w:val="18"/>
                <w:szCs w:val="18"/>
                <w:color w:val="auto"/>
              </w:rPr>
              <w:t>Loss on disposition of fixed assets</w:t>
            </w:r>
          </w:p>
        </w:tc>
        <w:tc>
          <w:tcPr>
            <w:tcW w:w="2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24,954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24,592</w:t>
            </w: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non-cash adjustments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w:t>
            </w:r>
          </w:p>
        </w:tc>
      </w:tr>
      <w:tr>
        <w:trPr>
          <w:trHeight w:val="202"/>
        </w:trPr>
        <w:tc>
          <w:tcPr>
            <w:tcW w:w="8620" w:type="dxa"/>
            <w:vAlign w:val="bottom"/>
          </w:tcPr>
          <w:p>
            <w:pPr>
              <w:ind w:left="360"/>
              <w:spacing w:after="0" w:line="201" w:lineRule="exact"/>
              <w:rPr>
                <w:sz w:val="20"/>
                <w:szCs w:val="20"/>
                <w:color w:val="auto"/>
              </w:rPr>
            </w:pPr>
            <w:r>
              <w:rPr>
                <w:rFonts w:ascii="Arial" w:cs="Arial" w:eastAsia="Arial" w:hAnsi="Arial"/>
                <w:sz w:val="18"/>
                <w:szCs w:val="18"/>
                <w:color w:val="auto"/>
              </w:rPr>
              <w:t>Increase (decrease) in cash resulting from changes in operating assets and liabilities, net of effects of</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20" w:type="dxa"/>
            <w:vAlign w:val="bottom"/>
          </w:tcPr>
          <w:p>
            <w:pPr>
              <w:ind w:left="54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3,166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(18,688)</w:t>
            </w:r>
          </w:p>
        </w:tc>
      </w:tr>
      <w:tr>
        <w:trPr>
          <w:trHeight w:val="216"/>
        </w:trPr>
        <w:tc>
          <w:tcPr>
            <w:tcW w:w="862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(2,534)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(16,470)</w:t>
            </w: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(7,059)</w:t>
            </w:r>
          </w:p>
        </w:tc>
      </w:tr>
      <w:tr>
        <w:trPr>
          <w:trHeight w:val="216"/>
        </w:trPr>
        <w:tc>
          <w:tcPr>
            <w:tcW w:w="86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10,801</w:t>
            </w: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19,169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w:t>
            </w:r>
          </w:p>
        </w:tc>
      </w:tr>
      <w:tr>
        <w:trPr>
          <w:trHeight w:val="223"/>
        </w:trPr>
        <w:tc>
          <w:tcPr>
            <w:tcW w:w="862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(6,460)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r>
      <w:tr>
        <w:trPr>
          <w:trHeight w:val="216"/>
        </w:trPr>
        <w:tc>
          <w:tcPr>
            <w:tcW w:w="86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271,433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134,906</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equipment and satellites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(272,934)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(244,863)</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Cash paid for patents, licenses and other assets</w:t>
            </w:r>
          </w:p>
        </w:tc>
        <w:tc>
          <w:tcPr>
            <w:tcW w:w="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(37,076)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(33,210)</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related to acquisition of businesses, net of cash acquired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(56,545)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w:t>
            </w:r>
          </w:p>
        </w:tc>
      </w:tr>
      <w:tr>
        <w:trPr>
          <w:trHeight w:val="223"/>
        </w:trPr>
        <w:tc>
          <w:tcPr>
            <w:tcW w:w="862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(366,555)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(280,473)</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Proceeds from revolving credit facility borrowings</w:t>
            </w:r>
          </w:p>
        </w:tc>
        <w:tc>
          <w:tcPr>
            <w:tcW w:w="2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320,000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145,000</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revolving credit facility borrowings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(190,000)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(60,000)</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Payment of debt issuance costs</w:t>
            </w:r>
          </w:p>
        </w:tc>
        <w:tc>
          <w:tcPr>
            <w:tcW w:w="2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(2,512)</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under equity plans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21,789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15,776</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Purchase of common stock in treasury related to tax withholdings for stock-based compensation</w:t>
            </w:r>
          </w:p>
        </w:tc>
        <w:tc>
          <w:tcPr>
            <w:tcW w:w="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(14,382)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(14,829)</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(2,275)</w:t>
            </w:r>
          </w:p>
        </w:tc>
      </w:tr>
      <w:tr>
        <w:trPr>
          <w:trHeight w:val="223"/>
        </w:trPr>
        <w:tc>
          <w:tcPr>
            <w:tcW w:w="862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134,747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81,160</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39,297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(64,376)</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58,347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105,738</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97,644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41,362</w:t>
            </w:r>
          </w:p>
        </w:tc>
        <w:tc>
          <w:tcPr>
            <w:tcW w:w="10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10,194</w:t>
            </w:r>
          </w:p>
        </w:tc>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8,018</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not paid for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8,405</w:t>
            </w:r>
          </w:p>
        </w:tc>
        <w:tc>
          <w:tcPr>
            <w:tcW w:w="6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w w:val="93"/>
              </w:rPr>
              <w:t>ViaSat, Inc. Stockholders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320" w:type="dxa"/>
            <w:vAlign w:val="bottom"/>
            <w:tcBorders>
              <w:bottom w:val="single" w:sz="8" w:color="auto"/>
            </w:tcBorders>
            <w:gridSpan w:val="4"/>
          </w:tcPr>
          <w:p>
            <w:pPr>
              <w:ind w:left="340"/>
              <w:spacing w:after="0" w:line="129" w:lineRule="exact"/>
              <w:rPr>
                <w:sz w:val="20"/>
                <w:szCs w:val="20"/>
                <w:color w:val="auto"/>
              </w:rPr>
            </w:pPr>
            <w:r>
              <w:rPr>
                <w:rFonts w:ascii="Arial" w:cs="Arial" w:eastAsia="Arial" w:hAnsi="Arial"/>
                <w:sz w:val="14"/>
                <w:szCs w:val="14"/>
                <w:b w:val="1"/>
                <w:bCs w:val="1"/>
                <w:color w:val="auto"/>
                <w:w w:val="93"/>
              </w:rPr>
              <w:t>Common Stock</w:t>
            </w:r>
          </w:p>
        </w:tc>
        <w:tc>
          <w:tcPr>
            <w:tcW w:w="3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gridSpan w:val="6"/>
          </w:tcPr>
          <w:p>
            <w:pPr>
              <w:jc w:val="right"/>
              <w:ind w:right="500"/>
              <w:spacing w:after="0" w:line="129" w:lineRule="exact"/>
              <w:rPr>
                <w:sz w:val="20"/>
                <w:szCs w:val="20"/>
                <w:color w:val="auto"/>
              </w:rPr>
            </w:pPr>
            <w:r>
              <w:rPr>
                <w:rFonts w:ascii="Arial" w:cs="Arial" w:eastAsia="Arial" w:hAnsi="Arial"/>
                <w:sz w:val="14"/>
                <w:szCs w:val="14"/>
                <w:b w:val="1"/>
                <w:bCs w:val="1"/>
                <w:color w:val="auto"/>
              </w:rPr>
              <w:t>Common Stock Held</w:t>
            </w:r>
          </w:p>
        </w:tc>
        <w:tc>
          <w:tcPr>
            <w:tcW w:w="112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12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Borders>
              <w:bottom w:val="single" w:sz="8" w:color="auto"/>
            </w:tcBorders>
            <w:gridSpan w:val="5"/>
          </w:tcPr>
          <w:p>
            <w:pPr>
              <w:jc w:val="right"/>
              <w:ind w:right="430"/>
              <w:spacing w:after="0" w:line="142" w:lineRule="exact"/>
              <w:rPr>
                <w:sz w:val="20"/>
                <w:szCs w:val="20"/>
                <w:color w:val="auto"/>
              </w:rPr>
            </w:pPr>
            <w:r>
              <w:rPr>
                <w:rFonts w:ascii="Arial" w:cs="Arial" w:eastAsia="Arial" w:hAnsi="Arial"/>
                <w:sz w:val="14"/>
                <w:szCs w:val="14"/>
                <w:b w:val="1"/>
                <w:bCs w:val="1"/>
                <w:color w:val="auto"/>
              </w:rPr>
              <w:t>in Treasury</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12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2"/>
              </w:rPr>
              <w:t>Shares</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188"/>
              <w:spacing w:after="0" w:line="119" w:lineRule="exact"/>
              <w:rPr>
                <w:sz w:val="20"/>
                <w:szCs w:val="20"/>
                <w:color w:val="auto"/>
              </w:rPr>
            </w:pPr>
            <w:r>
              <w:rPr>
                <w:rFonts w:ascii="Arial" w:cs="Arial" w:eastAsia="Arial" w:hAnsi="Arial"/>
                <w:sz w:val="13"/>
                <w:szCs w:val="13"/>
                <w:b w:val="1"/>
                <w:bCs w:val="1"/>
                <w:color w:val="auto"/>
              </w:rPr>
              <w:t>Paid-in</w:t>
            </w:r>
          </w:p>
        </w:tc>
        <w:tc>
          <w:tcPr>
            <w:tcW w:w="9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Retained</w:t>
            </w:r>
          </w:p>
        </w:tc>
        <w:tc>
          <w:tcPr>
            <w:tcW w:w="9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9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Interest 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Issued</w:t>
            </w:r>
          </w:p>
        </w:tc>
        <w:tc>
          <w:tcPr>
            <w:tcW w:w="760" w:type="dxa"/>
            <w:vAlign w:val="bottom"/>
            <w:gridSpan w:val="3"/>
            <w:vMerge w:val="continue"/>
          </w:tcPr>
          <w:p>
            <w:pPr>
              <w:spacing w:after="0"/>
              <w:rPr>
                <w:sz w:val="14"/>
                <w:szCs w:val="14"/>
                <w:color w:val="auto"/>
              </w:rPr>
            </w:pPr>
          </w:p>
        </w:tc>
        <w:tc>
          <w:tcPr>
            <w:tcW w:w="94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8"/>
              </w:rPr>
              <w:t>Capital</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Subsidiary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gridSpan w:val="8"/>
          </w:tcPr>
          <w:p>
            <w:pPr>
              <w:ind w:left="66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4, 2014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47,419,831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0"/>
              </w:rPr>
              <w:t>$776,452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$ 211,600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(1,190,572)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(49,358)</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946,635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673,300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8"/>
              <w:spacing w:after="0"/>
              <w:rPr>
                <w:sz w:val="20"/>
                <w:szCs w:val="20"/>
                <w:color w:val="auto"/>
              </w:rPr>
            </w:pPr>
            <w:r>
              <w:rPr>
                <w:rFonts w:ascii="Arial" w:cs="Arial" w:eastAsia="Arial" w:hAnsi="Arial"/>
                <w:sz w:val="18"/>
                <w:szCs w:val="18"/>
                <w:color w:val="auto"/>
              </w:rPr>
              <w:t>14,319</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14,319</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stock under</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Employee Stock Purchase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152,268</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7,470</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8"/>
              <w:spacing w:after="0"/>
              <w:rPr>
                <w:sz w:val="20"/>
                <w:szCs w:val="20"/>
                <w:color w:val="auto"/>
              </w:rPr>
            </w:pPr>
            <w:r>
              <w:rPr>
                <w:rFonts w:ascii="Arial" w:cs="Arial" w:eastAsia="Arial" w:hAnsi="Arial"/>
                <w:sz w:val="18"/>
                <w:szCs w:val="18"/>
                <w:color w:val="auto"/>
              </w:rPr>
              <w:t>28,900</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28,900</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settlement</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certain accrued</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180,526</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10,194</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RSU awards vesting</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50,021</w:t>
            </w:r>
          </w:p>
        </w:tc>
        <w:tc>
          <w:tcPr>
            <w:tcW w:w="20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 treasury shares</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pursuant to vesting of</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certain RSU agreements</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9"/>
              </w:rPr>
              <w:t>Retirement of common stock</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held in treasury</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(1,204,972)</w:t>
            </w:r>
          </w:p>
        </w:tc>
        <w:tc>
          <w:tcPr>
            <w:tcW w:w="200" w:type="dxa"/>
            <w:vAlign w:val="bottom"/>
          </w:tcPr>
          <w:p>
            <w:pPr>
              <w:spacing w:after="0"/>
              <w:rPr>
                <w:sz w:val="20"/>
                <w:szCs w:val="20"/>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8"/>
              <w:spacing w:after="0"/>
              <w:rPr>
                <w:sz w:val="20"/>
                <w:szCs w:val="20"/>
                <w:color w:val="auto"/>
              </w:rPr>
            </w:pPr>
            <w:r>
              <w:rPr>
                <w:rFonts w:ascii="Arial" w:cs="Arial" w:eastAsia="Arial" w:hAnsi="Arial"/>
                <w:sz w:val="18"/>
                <w:szCs w:val="18"/>
                <w:color w:val="auto"/>
              </w:rPr>
              <w:t>(50,168)</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1,204,972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50,168</w:t>
            </w:r>
          </w:p>
        </w:tc>
        <w:tc>
          <w:tcPr>
            <w:tcW w:w="20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RSU awards vesting, net of</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which have been retired</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364,589</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(13,572)</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(13,572)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32,814</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32,455</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Balance at January 2, 2015</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47,635,563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color w:val="auto"/>
                <w:w w:val="71"/>
              </w:rPr>
              <w:t>5</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773,595</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244,414</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9"/>
              </w:rPr>
              <w:t>920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1,024,198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accompanying condensed consolidated balance sheet at January 2, 2015, the condensed consolidated statements of operations and comprehensive income (loss) for the three and nine months ended January 2, 2015 and January 3, 2014, the condensed consolidated statements of cash flows for the nine months ended January 2, 2015 and January 3, 2014 and the condensed consolidated statement of equity for the nine months ended January 2, 2015 have been prepared by the management of ViaSat, Inc. (also referred to hereafter as the Company or ViaSat), and have not been audited. These financial statements have been prepared on the same basis as the audited consolidated financial statements for the fiscal year ended April 4, 2014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April 4, 2014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78"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12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Company’s fiscal year is the 52 or 53 weeks ending on the Friday closest to March 31 of the specified year. For example, references to fiscal year 2015 refer to the fiscal year ending on April 3, 2015. The Company’s quarters for fiscal year 2015 end on July 4, 2014, October 3, 2014, January 2, 2015 and April 3, 2015. This results in a 53 week fiscal year approximately every four to five years. Fiscal year 2015 is a 52 week year, compared with a 53 week year in fiscal year 2014. As a result of the shift in the fiscal calendar, the second quarter of fiscal year 2014 included an additional week. The Company does not believe that the extra week results in any material impact on its financial results.</w:t>
      </w:r>
    </w:p>
    <w:p>
      <w:pPr>
        <w:spacing w:after="0" w:line="17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first quarter of fiscal year 2015, the Company completed the acquisition of NetNearU Corp. (NetNearU), a privately held Delaware corporation (see Note 10). During the first quarter of fiscal year 2014, the Company completed the acquisition of LonoCloud, Inc. (LonoCloud), an early-stage privately held company. These acquisitions were accounted for as purchases and, accordingly, the condensed consolidated financial statements include the operating results of NetNearU and LonoCloud from the dates of acquisition.</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January 2, 2015 and January 3, 2014, the Company recorded losses of approximately $0.3 million and $1.7 million, respectively, related to loss contracts. During the nine months ended January 2, 2015 and January 3, 2014, the Company recorded losses of approximately $0.4 million and $2.7 million, respectively, related to loss contracts.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4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w:t>
      </w:r>
    </w:p>
    <w:p>
      <w:pPr>
        <w:spacing w:after="0" w:line="5" w:lineRule="exact"/>
        <w:rPr>
          <w:sz w:val="20"/>
          <w:szCs w:val="20"/>
          <w:color w:val="auto"/>
        </w:rPr>
      </w:pPr>
    </w:p>
    <w:p>
      <w:pPr>
        <w:ind w:right="60" w:firstLine="8"/>
        <w:spacing w:after="0" w:line="253"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9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8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8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2011 and subsequent fiscal years. During the second quarter of fiscal year 2015, the DCAA completed its incurred cost audit for fiscal year 2004 and approved the Company’s incurred cost claims for fiscal years 2005 through 2010 without further audit. Although the</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Company has recorded contract revenues subsequent to fiscal year 2010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January 2, 2015 and April 4, 2014, the Company had $5.2 million and $6.7 million, respectively, in contract-related reserves for its estimate of potential refunds to customers for potential cost adjustments on several multi-year U.S. government cost reimbursable contracts (see Note 8). The decrease in contract-related reserves, recorded during the second quarter of fiscal year 2015, reflects the conclusion of the DCAA’s incurred cost audit for fiscal year 2004 and the DCAA’s approval of the Company’s incurred cost claims for fiscal years 2005 through 2010.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In accordance with the authoritative guidance for advertising costs (ASC 720-35), advertising costs are expensed as incurred and included in selling, general and administrative (SG&amp;A) expenses. Advertising expenses for the three months ended January 2, 2015 and January 3, 2014 were $5.7 million and $5.4 million, respectively, and for the nine months ended January 2, 2015 and January 3, 2014 were $13.0 million and $14.5 million,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gateway facilities,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relates to losses incurred for unreturned customer premise equipment (CPE).</w:t>
      </w:r>
    </w:p>
    <w:p>
      <w:pPr>
        <w:spacing w:after="0" w:line="172"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Interest expense is capitalized on the carrying value of assets under construction, in accordance with the authoritative guidance for the capitalization of interest (ASC 835-20). With respect to assets under construction, including the ViaSat-2 satellite which commenced construction during the first quarter of fiscal year 2014, the Company capitalized $4.1 million and $2.5 million of interest expense for the three months ended January 2, 2015 and January 3, 2014, respectively, and capitalized $10.8 million and $5.4 million of interest expense for the nine months ended January 2, 2015 and January 3, 2014, respectively.</w:t>
      </w:r>
    </w:p>
    <w:p>
      <w:pPr>
        <w:spacing w:after="0" w:line="154"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Company owns two satellites: ViaSat-1 (its first high-capacity Ka-band spot-beam satellite, which was placed into service in January 2012) and WildBlue-1 (which was placed into service in March 2007). In May 2013, the Company entered into a satellite construction contract for ViaSat-2, its second high-capacity Ka-band satellite. In addition, the Company has an exclusive prepaid lifetime capital lease of Ka-band capacity over the contiguous United States on Telesat Canada’s Anik F2 satellite (which was placed into service in April 2005) and owns related gateway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gateway and networking equipment, CPE units and related installation costs over their estimated useful lives. The total cost and accumulated depreciation of CPE units included in property and equipment, net, as of January 2, 2015 were $238.1 million and $99.8 million, respectively. The total cost and accumulated depreciation of CPE units included in property and equipment, net, as of April 4, 2014 were $221.0 million and $79.8 million, respectively.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January 2, 2015 and April 4, 2014. The Company had capitalized costs of $15.0 million and $13.5 million related to acquiring and obtaining orbital slots and other licenses included in other assets as of January 2, 2015 and April 4, 2014, respectively. Accumulated amortization related to these assets was approximately $1.3 million and $1.0 million as of January 2, 2015 and April 4, 2014, respectively. Amortization expense related to these assets was an insignificant amount and $0.3 million for the three and nine months ended January 2, 2015, respectively. Amortization expense related to these assets was an insignificant amount for the three and nine months ended January 3, 2014. If a patent, orbital slot or orbital license is rejected, abandoned or otherwise invalidated, the unamortized cost is expensed in that period. During the three and nine months ended January 2, 2015 and January 3, 2014, the Company did not write off any significant costs due to abandonment or impairment.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Debt issuance costs are amortized and recognized as interest expense on a straight-line basis over the expected term of the related debt, the results of which are not materially different from the effective interest rate basis. Unamortized debt issuance costs related to extinguished debt are expensed at the time the debt is extinguished and recorded in loss on extinguishment of debt in the consolidated statements of operations and comprehensive income (loss). Other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$109.6 million and $91.0 million related to software developed for resale were included in other assets as of January 2, 2015 and April 4, 2014, respectively. The Company capitalized $13.1 million and $35.8 million of costs related to software developed for resale for the three and nine months ended January 2, 2015, respectively. The Company capitalized $11.4 million and $28.3 million of costs related to software developed for resale for the three and nine months ended January 3, 2014, respectively. Amortization expense for software development costs was $7.6 million and $17.2 million for the three and nine months ended January 2, 2015, respectively, and $2.3 million and $6.9 million for the three and nine months ended January 3, 2014,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$3.7 million and $3.5 million as of January 2, 2015 and April 4, 2014,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w:t>
      </w:r>
    </w:p>
    <w:p>
      <w:pPr>
        <w:sectPr>
          <w:pgSz w:w="11900" w:h="16838" w:orient="portrait"/>
          <w:cols w:equalWidth="0" w:num="1">
            <w:col w:w="11360"/>
          </w:cols>
          <w:pgMar w:left="240" w:top="459" w:right="299" w:bottom="1440" w:gutter="0" w:footer="0" w:header="0"/>
        </w:sectPr>
      </w:pP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60"/>
          </w:cols>
          <w:pgMar w:left="240" w:top="459" w:right="2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January 2, 2015 and April 4, 2014, no such amounts were accrued related to the aforementioned provisions.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During the first nine months of fiscal years 2015 and 2014, the Company issued 629,896 and 620,875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229,686 and 230,316 shares of common stock with a total value of $14.4 million and $14.8 million during the first nine months of fiscal years 2015 and 2014, respectively.</w:t>
      </w:r>
    </w:p>
    <w:p>
      <w:pPr>
        <w:spacing w:after="0" w:line="15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During the first nine months of fiscal year 2015, the Company retired 1,420,258 shares of treasury stock with a total value of $63.7 million. These shares remain as authorized stock; however they are now considered to be unissued. This treasury stock retirement resulted in a decrease in common stock held in treasury and in paid-in capital of $63.7 million in the Company’s condensed consolidated balance sheet. The retirement of treasury stock had no impact on the Company’s total consolidated stockholders’ equity.</w:t>
      </w:r>
    </w:p>
    <w:p>
      <w:pPr>
        <w:spacing w:after="0" w:line="18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As of April 4, 2014 and January 2, 2015, the Company had 1,190,572 shares and no shares of common stock held in treasury, respectively. During the third quarter of fiscal year 2015, the Board of Directors of the Company approved the retirement of all shares of treasury stock and, with respect to the future issuance of shares of common stock upon vesting of restricted stock units, approved the immediate retirement of shares withheld for employee withholding taxes. Although shares withheld for employee withholding taxes are not issued, they are treated as common stock repurchases for accounting purposes, as they reduce the number of shares that otherwise would have been issued upon vesting of the restricted stock units.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During the three and nine months ended January 2, 2015, the Company settled certain foreign exchange contracts and in connection therewith recognized a loss of $0.1 million recorded in cost of revenues based on the nature of the underlying transactions. During the three and nine months ended January 3, 2014, the Company recognized an immaterial gain and loss, respectively, related to the settlement of certain foreign exchange contracts recorded in cost of revenues based on the nature of the underlying transactions. The Company had no foreign currency forward contracts outstanding as of January 2, 2015. The fair value of the Company’s foreign currency forward contracts was an other current asset of less than $0.1 million as of April 4, 2014. The notional value of foreign currency forward contracts outstanding as of April 4, 2014 was $3.3 million.</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were no gains or losses from ineffectiveness of these derivative instruments recorded for the three and nine months ended January 2, 2015 and January 3,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condensed consolidated statements of operations and comprehensive income (loss) for the three and nine months ended January 2, 2015 and January 3, 2014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$10.1 million and $28.1 million of stock-based compensation expense for the three and nine months ended January 2, 2015, respectively. The Company recognized $8.7 million and $24.4 million of stock-based compensation expense for the three and nine months ended January 3, 2014, respectively.</w:t>
      </w:r>
    </w:p>
    <w:p>
      <w:pPr>
        <w:sectPr>
          <w:pgSz w:w="11900" w:h="16838" w:orient="portrait"/>
          <w:cols w:equalWidth="0" w:num="1">
            <w:col w:w="11400"/>
          </w:cols>
          <w:pgMar w:left="240" w:top="459" w:right="259" w:bottom="1440" w:gutter="0" w:footer="0" w:header="0"/>
        </w:sectPr>
      </w:pP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459"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For the nine months ended January 2, 2015 and January 3, 2014, the Company recorded no incremental tax benefits from stock options exercised and restricted stock unit awards vesting as the excess tax benefit from stock options exercised and restricted stock unit awards vesting increased the Company’s net operating loss carryforward.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4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Company’s analysis of the need for a valuation allowance on deferred tax assets considered the losses incurred during the fiscal years ended April 4, 2014 and March 29, 2013 and the income generated during the nine months ended January 2, 2015. In fiscal year 2013, the Company recorded a significant loss, a substantial portion of which resulted from an extinguishment of debt charge that was recorded upon the refinancing of the Company’s former 8.875% Senior Notes due 2016 (2016 Notes) with the proceeds from the issuance of additional 6.875% Senior Notes due 2020 (2020 Notes), which provides a benefit to net income due to the lower interest rate of the 2020 Notes. The loss from fiscal year 2014 was less significant and a substantial portion of that loss related to legal expense focused on protecting and extending the Company’s technology advantages in the litigation against Space Systems/Loral, Inc. (SS/L) and its former parent company Loral Space &amp; Communications, Inc. (Loral), which was resolved in the Company’s favor during the second quarter of fiscal year 2015 (see Note 8). In addition to these events, the Company’s evaluation considered other factors, including the Company’s contractual backlog, the Company’s history of positive earnings, current earnings trends assuming the Company’s satellite subscriber base continues to grow, taxable income adjusted for certain items, and forecasted income by jurisdiction. The Company also considered the lengthy period over which these net deferred tax assets can be realized and the Company’s history of not having federal tax loss carryforwards expire unused.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March 2013, the FASB issued ASU 2013-05, Foreign Currency Matters (ASC 830): Parent’s Accounting for the Cumulative Translation Adjustment upon Derecognition of Certain Subsidiaries or Groups of Assets within a Foreign Entity or of an Investment in a Foreign Entity. ASU 2013-05 clarifies that the cumulative translation adjustment should be released into net income only when a reporting entity ceases to have a controlling financial interest in a subsidiary or a business within a foreign entity. Further, for an equity method investment that is a foreign entity, a pro rata portion of the cumulative translation adjustment should be released into net income upon a partial sale of such an equity method investment. These amendments are to be applied prospectively to derecognition events occurring after the effective date. This guidance became effective for the Company beginning in the first quarter of fiscal year 2015 and the authoritative guidance did not have a material impact on the Company’s consolidated financial statements and disclosures.</w:t>
      </w:r>
    </w:p>
    <w:p>
      <w:pPr>
        <w:spacing w:after="0" w:line="167"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In July 2013, the FASB issued ASU 2013-11, Income Taxes (ASC 740): Presentation of an Unrecognized Tax Benefit When a Net Operating Loss Carryforward, a Similar Tax Loss, or a Tax Credit Carryforward Exists</w:t>
      </w:r>
      <w:r>
        <w:rPr>
          <w:rFonts w:ascii="Arial" w:cs="Arial" w:eastAsia="Arial" w:hAnsi="Arial"/>
          <w:sz w:val="17"/>
          <w:szCs w:val="17"/>
          <w:i w:val="1"/>
          <w:iCs w:val="1"/>
          <w:color w:val="auto"/>
        </w:rPr>
        <w:t>.</w:t>
      </w:r>
      <w:r>
        <w:rPr>
          <w:rFonts w:ascii="Arial" w:cs="Arial" w:eastAsia="Arial" w:hAnsi="Arial"/>
          <w:sz w:val="17"/>
          <w:szCs w:val="17"/>
          <w:color w:val="auto"/>
        </w:rPr>
        <w:t xml:space="preserve"> ASU 2013-11 requires the netting of unrecognized tax benefits against available deferred tax assets for losses and other carryforward benefits that would be available to offset the liability for uncertain tax positions rather than presenting the unrecognized tax benefits on a gross basis. This guidance became effective for the Company beginning in the first quarter of fiscal year 2015 and the authoritative guidance did not have a material impact on the Company’s consolidated financial statements and disclosures.</w:t>
      </w:r>
    </w:p>
    <w:p>
      <w:pPr>
        <w:spacing w:after="0" w:line="17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April 2014, the FASB issued ASU 2014-08, Presentation of Financial Statements and Property, Plant, and Equipment: Reporting Discontinued Operations and Disclosures of Disposals of Components of an Entity.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These amendments will become effective prospectively for the Company beginning in fiscal year 2016, including interim periods within that reporting period, with early adoption permitted. The adoption of this standard is not expected to have a material impact on the Company’s consolidated financial statements and disclosures.</w:t>
      </w:r>
    </w:p>
    <w:p>
      <w:pPr>
        <w:sectPr>
          <w:pgSz w:w="11900" w:h="16838" w:orient="portrait"/>
          <w:cols w:equalWidth="0" w:num="1">
            <w:col w:w="11380"/>
          </w:cols>
          <w:pgMar w:left="240" w:top="459" w:right="279" w:bottom="1440" w:gutter="0" w:footer="0" w:header="0"/>
        </w:sectPr>
      </w:pP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459" w:right="27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2018, including interim periods within that reporting period. Early application is not permitted, but the guidance permits the use of either the retrospective or cumulative effect transition method. The Company has not selected a transition method and the Company is currently evaluating the impact this guidance will have on its consolidated financial statements and disclosures.</w:t>
      </w:r>
    </w:p>
    <w:p>
      <w:pPr>
        <w:spacing w:after="0" w:line="15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November 2014, the FASB issued ASU 2014-17, Business Combinations (ASC 805): Pushdown Accounting. ASU 2014-17 provides companies with the option to apply pushdown accounting in their separate financial statements upon occurrence of an event in which an acquirer obtains control of the acquired entity. The election to apply pushdown accounting can be made either in the period in which the change of control occurred, or in a subsequent period. This guidance became effective for the Company in November 2014 and the authoritative guidance did not have a material impact on the Company’s consolidated financial statements and disclosures.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January 2, 2015</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April 4, 2014</w:t>
            </w: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ind w:left="580"/>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Billed</w:t>
            </w:r>
          </w:p>
        </w:tc>
        <w:tc>
          <w:tcPr>
            <w:tcW w:w="1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119,555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149,478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143,651</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268,102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271,891</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Raw materials</w:t>
            </w:r>
          </w:p>
        </w:tc>
        <w:tc>
          <w:tcPr>
            <w:tcW w:w="11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46,349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42,786</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Work in process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21,461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22,279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61,377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54,536</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129,187</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39,160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41,341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4,357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43,517</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Satellite — WildBlue-1 (estimated useful life of 10 years)</w:t>
            </w:r>
          </w:p>
        </w:tc>
        <w:tc>
          <w:tcPr>
            <w:tcW w:w="1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195,890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195,890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99,090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Satellite — ViaSat-1 (estimated useful life of 17 years)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363,204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363,204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Satellite — ViaSat-2 (under construction)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283,836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146,610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942,020</w:t>
            </w:r>
          </w:p>
        </w:tc>
        <w:tc>
          <w:tcPr>
            <w:tcW w:w="7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(212,105)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(173,958)</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729,915</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Equipment and software (estimated useful life of 2-7 years)</w:t>
            </w:r>
          </w:p>
        </w:tc>
        <w:tc>
          <w:tcPr>
            <w:tcW w:w="1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496,145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452,197</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CPE leased equipment (estimated useful life of 4-5 years)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238,062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221,017</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Furniture and fixtures (estimated useful life of 7 years)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19,987</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18,773</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 (estimated useful life of 2-17 years)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66,814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62,159</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Building (estimated useful life of 24 years)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8,923</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1,621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Construction in progress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13,938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845,490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781,752</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Less accumulated depreciation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(431,638)</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(360,086)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413,852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421,666</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516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ind w:left="12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January 2, 2015</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April 4, 2014</w:t>
            </w: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ind w:left="580"/>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Technology (weighted average useful life of 6 years)</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67,279</w:t>
            </w:r>
          </w:p>
        </w:tc>
        <w:tc>
          <w:tcPr>
            <w:tcW w:w="6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57,084</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and customer relationships (weighted average useful life of 8 years)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99,649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88,853</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8,600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name (weighted average useful life of 3 years)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23"/>
        </w:trPr>
        <w:tc>
          <w:tcPr>
            <w:tcW w:w="7920" w:type="dxa"/>
            <w:vAlign w:val="bottom"/>
          </w:tcPr>
          <w:p>
            <w:pPr>
              <w:ind w:left="360"/>
              <w:spacing w:after="0"/>
              <w:rPr>
                <w:sz w:val="20"/>
                <w:szCs w:val="20"/>
                <w:color w:val="auto"/>
              </w:rPr>
            </w:pPr>
            <w:r>
              <w:rPr>
                <w:rFonts w:ascii="Arial" w:cs="Arial" w:eastAsia="Arial" w:hAnsi="Arial"/>
                <w:sz w:val="18"/>
                <w:szCs w:val="18"/>
                <w:color w:val="auto"/>
              </w:rPr>
              <w:t>Other (weighted average useful life of 7 years)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190,195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166,537</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Less accumulated amortization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rPr>
              <w:t>(143,666)</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(131,140)</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46,529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35,397</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software costs, net</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109,581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91,022</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Patents, orbital slots and other licenses,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16,900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98,584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110,711</w:t>
            </w:r>
          </w:p>
        </w:tc>
        <w:tc>
          <w:tcPr>
            <w:tcW w:w="0" w:type="dxa"/>
            <w:vAlign w:val="bottom"/>
          </w:tcPr>
          <w:p>
            <w:pPr>
              <w:spacing w:after="0"/>
              <w:rPr>
                <w:sz w:val="1"/>
                <w:szCs w:val="1"/>
                <w:color w:val="auto"/>
              </w:rPr>
            </w:pPr>
          </w:p>
        </w:tc>
      </w:tr>
      <w:tr>
        <w:trPr>
          <w:trHeight w:val="223"/>
        </w:trPr>
        <w:tc>
          <w:tcPr>
            <w:tcW w:w="792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43,542</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268,607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256,968</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Collections in excess of revenues and deferred revenues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98,818</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69,127</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Accrued employee compensation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27,379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23,954</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vacation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23,451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22,550</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Warranty reserve, current portion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9,355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9,368</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other long-term debt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23"/>
        </w:trPr>
        <w:tc>
          <w:tcPr>
            <w:tcW w:w="792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26,934</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187,003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175,974</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long-term portion</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Deferred rent, long-term portion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8,006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9,758</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Warranty reserve, long-term portion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Deferred income taxes, long-term portion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Satellite performance incentives obligation, long-term portion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20,250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20,567</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40,975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76"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30" w:lineRule="exact"/>
        <w:rPr>
          <w:rFonts w:ascii="Arial" w:cs="Arial" w:eastAsia="Arial" w:hAnsi="Arial"/>
          <w:sz w:val="18"/>
          <w:szCs w:val="18"/>
          <w:color w:val="auto"/>
        </w:rPr>
      </w:pPr>
    </w:p>
    <w:p>
      <w:pPr>
        <w:ind w:left="440" w:right="240" w:hanging="324"/>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6" w:lineRule="exact"/>
        <w:rPr>
          <w:rFonts w:ascii="Arial" w:cs="Arial" w:eastAsia="Arial" w:hAnsi="Arial"/>
          <w:sz w:val="18"/>
          <w:szCs w:val="18"/>
          <w:color w:val="auto"/>
        </w:rPr>
      </w:pPr>
    </w:p>
    <w:p>
      <w:pPr>
        <w:ind w:left="440" w:right="12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hierarchy for its assets measured at fair value on a recurring basis as of January 2, 2015 and April 4, 2014:</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Fair Value as of</w:t>
            </w:r>
          </w:p>
        </w:tc>
        <w:tc>
          <w:tcPr>
            <w:tcW w:w="540" w:type="dxa"/>
            <w:vAlign w:val="bottom"/>
          </w:tcPr>
          <w:p>
            <w:pPr>
              <w:spacing w:after="0"/>
              <w:rPr>
                <w:sz w:val="14"/>
                <w:szCs w:val="14"/>
                <w:color w:val="auto"/>
              </w:rPr>
            </w:pPr>
          </w:p>
        </w:tc>
        <w:tc>
          <w:tcPr>
            <w:tcW w:w="10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Level 1</w:t>
            </w: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January 2, 2015</w:t>
            </w:r>
          </w:p>
        </w:tc>
        <w:tc>
          <w:tcPr>
            <w:tcW w:w="5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ind w:left="420"/>
              <w:spacing w:after="0" w:line="142" w:lineRule="exact"/>
              <w:rPr>
                <w:sz w:val="20"/>
                <w:szCs w:val="20"/>
                <w:color w:val="auto"/>
              </w:rPr>
            </w:pPr>
            <w:r>
              <w:rPr>
                <w:rFonts w:ascii="Arial" w:cs="Arial" w:eastAsia="Arial" w:hAnsi="Arial"/>
                <w:sz w:val="14"/>
                <w:szCs w:val="14"/>
                <w:b w:val="1"/>
                <w:bCs w:val="1"/>
                <w:color w:val="auto"/>
              </w:rPr>
              <w:t>(In thousands)</w:t>
            </w:r>
          </w:p>
        </w:tc>
        <w:tc>
          <w:tcPr>
            <w:tcW w:w="4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Cash equivalents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2,032</w:t>
            </w:r>
          </w:p>
        </w:tc>
        <w:tc>
          <w:tcPr>
            <w:tcW w:w="5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2,032</w:t>
            </w:r>
          </w:p>
        </w:tc>
        <w:tc>
          <w:tcPr>
            <w:tcW w:w="5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2,032</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60"/>
          </w:cols>
          <w:pgMar w:left="240" w:top="459" w:right="2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Fair Value as of</w:t>
            </w:r>
          </w:p>
        </w:tc>
        <w:tc>
          <w:tcPr>
            <w:tcW w:w="9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Level 1</w:t>
            </w:r>
          </w:p>
        </w:tc>
        <w:tc>
          <w:tcPr>
            <w:tcW w:w="60" w:type="dxa"/>
            <w:vAlign w:val="bottom"/>
          </w:tcPr>
          <w:p>
            <w:pPr>
              <w:spacing w:after="0"/>
              <w:rPr>
                <w:sz w:val="14"/>
                <w:szCs w:val="14"/>
                <w:color w:val="auto"/>
              </w:rPr>
            </w:pPr>
          </w:p>
        </w:tc>
        <w:tc>
          <w:tcPr>
            <w:tcW w:w="4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Level 2</w:t>
            </w:r>
          </w:p>
        </w:tc>
        <w:tc>
          <w:tcPr>
            <w:tcW w:w="540" w:type="dxa"/>
            <w:vAlign w:val="bottom"/>
          </w:tcPr>
          <w:p>
            <w:pPr>
              <w:spacing w:after="0"/>
              <w:rPr>
                <w:sz w:val="14"/>
                <w:szCs w:val="14"/>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April 4, 2014</w:t>
            </w: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2,087</w:t>
            </w:r>
          </w:p>
        </w:tc>
        <w:tc>
          <w:tcPr>
            <w:tcW w:w="520" w:type="dxa"/>
            <w:vAlign w:val="bottom"/>
          </w:tcPr>
          <w:p>
            <w:pPr>
              <w:spacing w:after="0"/>
              <w:rPr>
                <w:sz w:val="18"/>
                <w:szCs w:val="18"/>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$2,087</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2,087</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7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6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 The Company’s long-term debt consists of borrowings under its revolving credit facility (the Credit Facility), reported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amount of borrowings, and $575.0 million in aggregate principal amount of 2020 Notes reported at amortized cost. However, for disclosure purposes, the Company is required to measure the fair value of outstanding debt on a recurring basis. As of January 2, 2015 and April 4, 2014, the fair value of the Company’s outstanding long-term debt related to the 2020 Notes was determined using quoted prices in active markets (Level 1) and was approximately $598.0 million and $616.7 million, respectively. The fair value of the Company’s long-term debt related to the Credit Facility approximates its carrying amount due to the variable interest rate on the revolving line of credit, which approximates a market interest rate.</w:t>
      </w:r>
    </w:p>
    <w:p>
      <w:pPr>
        <w:spacing w:after="0" w:line="178"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i w:val="1"/>
          <w:iCs w:val="1"/>
          <w:color w:val="auto"/>
        </w:rPr>
        <w:t xml:space="preserve">Satellite performance incentives obligation </w:t>
      </w:r>
      <w:r>
        <w:rPr>
          <w:rFonts w:ascii="Arial" w:cs="Arial" w:eastAsia="Arial" w:hAnsi="Arial"/>
          <w:sz w:val="17"/>
          <w:szCs w:val="17"/>
          <w:color w:val="auto"/>
        </w:rPr>
        <w:t>— The Company’s contract with the manufacturer of ViaSat-1 requires the Company to make monthly in-orbit 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each of January 2, 2015 and April 4, 2014, the Company’s estimated satellite performance incentives obligation and accrued interest was $22.5 million and $22.6 million,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(Loss) Per Share</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380" w:type="dxa"/>
            <w:vAlign w:val="bottom"/>
            <w:gridSpan w:val="4"/>
          </w:tcPr>
          <w:p>
            <w:pPr>
              <w:jc w:val="right"/>
              <w:ind w:right="1380"/>
              <w:spacing w:after="0"/>
              <w:rPr>
                <w:sz w:val="20"/>
                <w:szCs w:val="20"/>
                <w:color w:val="auto"/>
              </w:rPr>
            </w:pPr>
            <w:r>
              <w:rPr>
                <w:rFonts w:ascii="Arial" w:cs="Arial" w:eastAsia="Arial" w:hAnsi="Arial"/>
                <w:sz w:val="14"/>
                <w:szCs w:val="14"/>
                <w:b w:val="1"/>
                <w:bCs w:val="1"/>
                <w:color w:val="auto"/>
              </w:rPr>
              <w:t>Three Months Ended</w:t>
            </w:r>
          </w:p>
        </w:tc>
        <w:tc>
          <w:tcPr>
            <w:tcW w:w="2720" w:type="dxa"/>
            <w:vAlign w:val="bottom"/>
            <w:gridSpan w:val="4"/>
          </w:tcPr>
          <w:p>
            <w:pPr>
              <w:ind w:left="58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400" w:type="dxa"/>
            <w:vAlign w:val="bottom"/>
          </w:tcPr>
          <w:p>
            <w:pPr>
              <w:spacing w:after="0"/>
              <w:rPr>
                <w:sz w:val="12"/>
                <w:szCs w:val="12"/>
                <w:color w:val="auto"/>
              </w:rPr>
            </w:pPr>
          </w:p>
        </w:tc>
        <w:tc>
          <w:tcPr>
            <w:tcW w:w="17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January 2, 2015</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January 3, 2014</w:t>
            </w:r>
          </w:p>
        </w:tc>
        <w:tc>
          <w:tcPr>
            <w:tcW w:w="700" w:type="dxa"/>
            <w:vAlign w:val="bottom"/>
            <w:tcBorders>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January 2, 2015</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January 3, 2014</w:t>
            </w:r>
          </w:p>
        </w:tc>
        <w:tc>
          <w:tcPr>
            <w:tcW w:w="32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rPr>
              <w:t>Common shares outstanding used in calculating</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basic net income (loss) per share attributable to</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ViaSat, Inc. common stockholders</w:t>
            </w:r>
          </w:p>
        </w:tc>
        <w:tc>
          <w:tcPr>
            <w:tcW w:w="1000" w:type="dxa"/>
            <w:vAlign w:val="bottom"/>
          </w:tcPr>
          <w:p>
            <w:pPr>
              <w:jc w:val="right"/>
              <w:spacing w:after="0"/>
              <w:rPr>
                <w:sz w:val="20"/>
                <w:szCs w:val="20"/>
                <w:color w:val="auto"/>
              </w:rPr>
            </w:pPr>
            <w:r>
              <w:rPr>
                <w:rFonts w:ascii="Arial" w:cs="Arial" w:eastAsia="Arial" w:hAnsi="Arial"/>
                <w:sz w:val="18"/>
                <w:szCs w:val="18"/>
                <w:color w:val="auto"/>
              </w:rPr>
              <w:t>47,375</w:t>
            </w:r>
          </w:p>
        </w:tc>
        <w:tc>
          <w:tcPr>
            <w:tcW w:w="700" w:type="dxa"/>
            <w:vAlign w:val="bottom"/>
          </w:tcPr>
          <w:p>
            <w:pPr>
              <w:spacing w:after="0"/>
              <w:rPr>
                <w:sz w:val="20"/>
                <w:szCs w:val="20"/>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45,935</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46,920</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45,576</w:t>
            </w: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to purchase common stock as determined</w:t>
            </w:r>
          </w:p>
        </w:tc>
        <w:tc>
          <w:tcPr>
            <w:tcW w:w="10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by application of the treasury stock method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7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518</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rPr>
              <w:t>Restricted stock units to acquire common stock as</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determined by application of the treasury stock</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method</w:t>
            </w:r>
          </w:p>
        </w:tc>
        <w:tc>
          <w:tcPr>
            <w:tcW w:w="1000" w:type="dxa"/>
            <w:vAlign w:val="bottom"/>
          </w:tcPr>
          <w:p>
            <w:pPr>
              <w:jc w:val="right"/>
              <w:spacing w:after="0"/>
              <w:rPr>
                <w:sz w:val="20"/>
                <w:szCs w:val="20"/>
                <w:color w:val="auto"/>
              </w:rPr>
            </w:pPr>
            <w:r>
              <w:rPr>
                <w:rFonts w:ascii="Arial" w:cs="Arial" w:eastAsia="Arial" w:hAnsi="Arial"/>
                <w:sz w:val="18"/>
                <w:szCs w:val="18"/>
                <w:color w:val="auto"/>
              </w:rPr>
              <w:t>503</w:t>
            </w:r>
          </w:p>
        </w:tc>
        <w:tc>
          <w:tcPr>
            <w:tcW w:w="700" w:type="dxa"/>
            <w:vAlign w:val="bottom"/>
          </w:tcPr>
          <w:p>
            <w:pPr>
              <w:spacing w:after="0"/>
              <w:rPr>
                <w:sz w:val="20"/>
                <w:szCs w:val="20"/>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521</w:t>
            </w: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Potentially issuable shares in connection with</w:t>
            </w:r>
          </w:p>
        </w:tc>
        <w:tc>
          <w:tcPr>
            <w:tcW w:w="10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certain terms of the ViaSat 401(k) Profit Sharing</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and Employee Stock Purchase Plan</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7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9"/>
        </w:trPr>
        <w:tc>
          <w:tcPr>
            <w:tcW w:w="4400" w:type="dxa"/>
            <w:vAlign w:val="bottom"/>
          </w:tcPr>
          <w:p>
            <w:pPr>
              <w:spacing w:after="0"/>
              <w:rPr>
                <w:sz w:val="20"/>
                <w:szCs w:val="20"/>
                <w:color w:val="auto"/>
              </w:rPr>
            </w:pPr>
            <w:r>
              <w:rPr>
                <w:rFonts w:ascii="Arial" w:cs="Arial" w:eastAsia="Arial" w:hAnsi="Arial"/>
                <w:sz w:val="18"/>
                <w:szCs w:val="18"/>
                <w:color w:val="auto"/>
              </w:rPr>
              <w:t>Shares used in computing diluted net income (loss)</w:t>
            </w:r>
          </w:p>
        </w:tc>
        <w:tc>
          <w:tcPr>
            <w:tcW w:w="10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per share attributable to ViaSat, Inc. common</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000" w:type="dxa"/>
            <w:vAlign w:val="bottom"/>
          </w:tcPr>
          <w:p>
            <w:pPr>
              <w:jc w:val="right"/>
              <w:spacing w:after="0"/>
              <w:rPr>
                <w:sz w:val="20"/>
                <w:szCs w:val="20"/>
                <w:color w:val="auto"/>
              </w:rPr>
            </w:pPr>
            <w:r>
              <w:rPr>
                <w:rFonts w:ascii="Arial" w:cs="Arial" w:eastAsia="Arial" w:hAnsi="Arial"/>
                <w:sz w:val="18"/>
                <w:szCs w:val="18"/>
                <w:color w:val="auto"/>
              </w:rPr>
              <w:t>48,439</w:t>
            </w:r>
          </w:p>
        </w:tc>
        <w:tc>
          <w:tcPr>
            <w:tcW w:w="700" w:type="dxa"/>
            <w:vAlign w:val="bottom"/>
          </w:tcPr>
          <w:p>
            <w:pPr>
              <w:spacing w:after="0"/>
              <w:rPr>
                <w:sz w:val="20"/>
                <w:szCs w:val="20"/>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45,935</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48,097</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45,576</w:t>
            </w:r>
          </w:p>
        </w:tc>
      </w:tr>
      <w:tr>
        <w:trPr>
          <w:trHeight w:val="20"/>
        </w:trPr>
        <w:tc>
          <w:tcPr>
            <w:tcW w:w="4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Antidilutive shares relating to stock options excluded from the calculation comprised 508,799 and 379,968 shares for the three and nine months ended January 2, 2015, respectively.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Antidilutive shares relating to restricted stock units excluded from the calculation comprised 385,817 and 128,589 for the three and nine months ended January 2, 2015, respectively.</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weighted average number of shares used to calculate basic and diluted net income (loss) per share attributable to ViaSat, Inc. common stockholders is the same for both the three and nine months ended January 3, 2014, as the Company incurred a net loss attributable to ViaSat, Inc. common stockholders for the three and nine months ended January 3, 2014 and inclusion of common share equivalents would be antidilutive. Common share equivalents excluded from the calculation for the three months ended January 3, 2014 were 947,362 shares relating to stock options, 585,543 shares relating to restricted stock units and 112,493 shares relating to certain terms of the amended ViaSat 401(k) Profit Sharing Plan and Employee Stock Purchase Plan. Common share equivalents excluded from the calculation for the nine months ended January 3, 2014 were 878,116 shares relating to stock options, 625,587 shares relating to restricted stock units and 136,767 shares relating to certain terms of the amended ViaSat 401(k) Profit Sharing Plan and Employee Stock Purchase Plan.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During the first nine months of fiscal year 2015, the Company’s goodwill increased by approximately $33.6 million, of which $34.3 million was related to the acquisition of NetNearU recorded within the Company’s government systems segment, partially offset by the effect of foreign currency translation recorded within the Company’s government systems and commercial networks segments.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which is not materially different from the economic benefit method. Amortization expense related to other acquired intangible assets was $4.7 million and $3.7 million for the three months ended January 2, 2015 and January 3, 2014, respectively, and $13.3 million and $10.9 million for the nine months ended January 2, 2015 and January 3, 2014, respectively.</w:t>
      </w:r>
    </w:p>
    <w:p>
      <w:pPr>
        <w:spacing w:after="0" w:line="18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January 2, 2015</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13,338</w:t>
            </w:r>
          </w:p>
        </w:tc>
        <w:tc>
          <w:tcPr>
            <w:tcW w:w="100" w:type="dxa"/>
            <w:vAlign w:val="bottom"/>
            <w:shd w:val="clear" w:color="auto" w:fill="CCEEFF"/>
          </w:tcPr>
          <w:p>
            <w:pPr>
              <w:spacing w:after="0"/>
              <w:rPr>
                <w:sz w:val="18"/>
                <w:szCs w:val="18"/>
                <w:color w:val="auto"/>
              </w:rPr>
            </w:pPr>
          </w:p>
        </w:tc>
      </w:tr>
      <w:tr>
        <w:trPr>
          <w:trHeight w:val="324"/>
        </w:trPr>
        <w:tc>
          <w:tcPr>
            <w:tcW w:w="6760" w:type="dxa"/>
            <w:vAlign w:val="bottom"/>
          </w:tcPr>
          <w:p>
            <w:pPr>
              <w:spacing w:after="0"/>
              <w:rPr>
                <w:sz w:val="20"/>
                <w:szCs w:val="20"/>
                <w:color w:val="auto"/>
              </w:rPr>
            </w:pPr>
            <w:r>
              <w:rPr>
                <w:rFonts w:ascii="Arial" w:cs="Arial" w:eastAsia="Arial" w:hAnsi="Arial"/>
                <w:sz w:val="18"/>
                <w:szCs w:val="18"/>
                <w:color w:val="auto"/>
              </w:rPr>
              <w:t>Expected for the remainder of fiscal year 2015</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24"/>
                <w:szCs w:val="24"/>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15,019</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46,529</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January 2, 2015 and April 4, 2014:</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579"/>
              <w:spacing w:after="0"/>
              <w:rPr>
                <w:sz w:val="20"/>
                <w:szCs w:val="20"/>
                <w:color w:val="auto"/>
              </w:rPr>
            </w:pPr>
            <w:r>
              <w:rPr>
                <w:rFonts w:ascii="Arial" w:cs="Arial" w:eastAsia="Arial" w:hAnsi="Arial"/>
                <w:sz w:val="14"/>
                <w:szCs w:val="14"/>
                <w:b w:val="1"/>
                <w:bCs w:val="1"/>
                <w:color w:val="auto"/>
              </w:rPr>
              <w:t>As of</w:t>
            </w:r>
          </w:p>
        </w:tc>
        <w:tc>
          <w:tcPr>
            <w:tcW w:w="122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3620" w:type="dxa"/>
            <w:vAlign w:val="bottom"/>
          </w:tcPr>
          <w:p>
            <w:pPr>
              <w:spacing w:after="0"/>
              <w:rPr>
                <w:sz w:val="14"/>
                <w:szCs w:val="14"/>
                <w:color w:val="auto"/>
              </w:rPr>
            </w:pPr>
          </w:p>
        </w:tc>
        <w:tc>
          <w:tcPr>
            <w:tcW w:w="3840" w:type="dxa"/>
            <w:vAlign w:val="bottom"/>
            <w:gridSpan w:val="3"/>
          </w:tcPr>
          <w:p>
            <w:pPr>
              <w:ind w:left="2540"/>
              <w:spacing w:after="0"/>
              <w:rPr>
                <w:sz w:val="20"/>
                <w:szCs w:val="20"/>
                <w:color w:val="auto"/>
              </w:rPr>
            </w:pPr>
            <w:r>
              <w:rPr>
                <w:rFonts w:ascii="Arial" w:cs="Arial" w:eastAsia="Arial" w:hAnsi="Arial"/>
                <w:sz w:val="14"/>
                <w:szCs w:val="14"/>
                <w:b w:val="1"/>
                <w:bCs w:val="1"/>
                <w:color w:val="auto"/>
              </w:rPr>
              <w:t>January 2, 2015</w:t>
            </w:r>
          </w:p>
        </w:tc>
        <w:tc>
          <w:tcPr>
            <w:tcW w:w="122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96"/>
              </w:rPr>
              <w:t>April 4, 2014</w:t>
            </w:r>
          </w:p>
        </w:tc>
      </w:tr>
      <w:tr>
        <w:trPr>
          <w:trHeight w:val="142"/>
        </w:trPr>
        <w:tc>
          <w:tcPr>
            <w:tcW w:w="3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2"/>
          </w:tcPr>
          <w:p>
            <w:pPr>
              <w:jc w:val="right"/>
              <w:ind w:right="67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2020 Notes</w:t>
            </w:r>
          </w:p>
        </w:tc>
        <w:tc>
          <w:tcPr>
            <w:tcW w:w="274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9"/>
              <w:spacing w:after="0"/>
              <w:rPr>
                <w:sz w:val="20"/>
                <w:szCs w:val="20"/>
                <w:color w:val="auto"/>
              </w:rPr>
            </w:pPr>
            <w:r>
              <w:rPr>
                <w:rFonts w:ascii="Arial" w:cs="Arial" w:eastAsia="Arial" w:hAnsi="Arial"/>
                <w:sz w:val="18"/>
                <w:szCs w:val="18"/>
                <w:color w:val="auto"/>
              </w:rPr>
              <w:t>575,000</w:t>
            </w:r>
          </w:p>
        </w:tc>
        <w:tc>
          <w:tcPr>
            <w:tcW w:w="1120" w:type="dxa"/>
            <w:vAlign w:val="bottom"/>
          </w:tcPr>
          <w:p>
            <w:pPr>
              <w:jc w:val="right"/>
              <w:spacing w:after="0"/>
              <w:rPr>
                <w:sz w:val="20"/>
                <w:szCs w:val="20"/>
                <w:color w:val="auto"/>
              </w:rPr>
            </w:pPr>
            <w:r>
              <w:rPr>
                <w:rFonts w:ascii="Arial" w:cs="Arial" w:eastAsia="Arial" w:hAnsi="Arial"/>
                <w:sz w:val="18"/>
                <w:szCs w:val="18"/>
                <w:color w:val="auto"/>
              </w:rPr>
              <w:t>$  575,000</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Unamortized premium on the 2020 Notes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7,965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100" w:type="dxa"/>
            <w:vAlign w:val="bottom"/>
            <w:shd w:val="clear" w:color="auto" w:fill="CCEEFF"/>
          </w:tcPr>
          <w:p>
            <w:pPr>
              <w:spacing w:after="0"/>
              <w:rPr>
                <w:sz w:val="18"/>
                <w:szCs w:val="18"/>
                <w:color w:val="auto"/>
              </w:rPr>
            </w:pPr>
          </w:p>
        </w:tc>
      </w:tr>
      <w:tr>
        <w:trPr>
          <w:trHeight w:val="365"/>
        </w:trPr>
        <w:tc>
          <w:tcPr>
            <w:tcW w:w="3620" w:type="dxa"/>
            <w:vAlign w:val="bottom"/>
          </w:tcPr>
          <w:p>
            <w:pPr>
              <w:spacing w:after="0"/>
              <w:rPr>
                <w:sz w:val="24"/>
                <w:szCs w:val="24"/>
                <w:color w:val="auto"/>
              </w:rPr>
            </w:pPr>
          </w:p>
        </w:tc>
        <w:tc>
          <w:tcPr>
            <w:tcW w:w="2540" w:type="dxa"/>
            <w:vAlign w:val="bottom"/>
          </w:tcPr>
          <w:p>
            <w:pPr>
              <w:jc w:val="right"/>
              <w:ind w:right="1656"/>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As of</w:t>
            </w:r>
          </w:p>
        </w:tc>
        <w:tc>
          <w:tcPr>
            <w:tcW w:w="64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 2015</w:t>
            </w:r>
          </w:p>
        </w:tc>
        <w:tc>
          <w:tcPr>
            <w:tcW w:w="154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6"/>
              </w:rPr>
              <w:t>April 4, 2014</w:t>
            </w: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3"/>
          </w:tcPr>
          <w:p>
            <w:pPr>
              <w:jc w:val="right"/>
              <w:ind w:right="67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senior notes, net of premium</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582,965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583,861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Less: current portion of the senior notes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senior notes long-term,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582,965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583,861</w:t>
            </w:r>
          </w:p>
        </w:tc>
        <w:tc>
          <w:tcPr>
            <w:tcW w:w="100" w:type="dxa"/>
            <w:vAlign w:val="bottom"/>
            <w:shd w:val="clear" w:color="auto" w:fill="CCEEFF"/>
          </w:tcPr>
          <w:p>
            <w:pPr>
              <w:spacing w:after="0"/>
              <w:rPr>
                <w:sz w:val="18"/>
                <w:szCs w:val="18"/>
                <w:color w:val="auto"/>
              </w:rPr>
            </w:pPr>
          </w:p>
        </w:tc>
      </w:tr>
      <w:tr>
        <w:trPr>
          <w:trHeight w:val="324"/>
        </w:trPr>
        <w:tc>
          <w:tcPr>
            <w:tcW w:w="6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6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other long-term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236,919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107,756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Less: current portion of other long-term debt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6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105,900</w:t>
            </w:r>
          </w:p>
        </w:tc>
        <w:tc>
          <w:tcPr>
            <w:tcW w:w="100" w:type="dxa"/>
            <w:vAlign w:val="bottom"/>
            <w:shd w:val="clear" w:color="auto" w:fill="CCEEFF"/>
          </w:tcPr>
          <w:p>
            <w:pPr>
              <w:spacing w:after="0"/>
              <w:rPr>
                <w:sz w:val="18"/>
                <w:szCs w:val="18"/>
                <w:color w:val="auto"/>
              </w:rPr>
            </w:pPr>
          </w:p>
        </w:tc>
      </w:tr>
      <w:tr>
        <w:trPr>
          <w:trHeight w:val="324"/>
        </w:trPr>
        <w:tc>
          <w:tcPr>
            <w:tcW w:w="61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819,884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691,617</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18"/>
                <w:szCs w:val="18"/>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818,818</w:t>
            </w:r>
          </w:p>
        </w:tc>
        <w:tc>
          <w:tcPr>
            <w:tcW w:w="6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689,761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January 2, 2015, the Company’s Credit Facility provided a $500.0 million revolving line of credit (including up to $150.0 million of letters of credit), with a maturity date of November 26, 2018. Borrowings under the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At January 2, 2015, the weighted average effective interest rate on the Company’s outstanding borrowings under the Credit Facility was 2.17%. The Company has capitalized certain amounts of interest expense on the Credit Facility in connection with the construction of various assets during the construction period. The Credit Facility is required to be guaranteed by certain significant domestic subsidiaries of the Company (as defined in the Credit Facility) and secured by substantially all of the Company’s and any such subsidiaries’ assets. As of January 2, 2015, none of the Company’s subsidiaries guaranteed the Credit Facility.</w:t>
      </w:r>
    </w:p>
    <w:p>
      <w:pPr>
        <w:spacing w:after="0" w:line="166"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Credit Facility contains financial covenants regarding a maximum total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was in compliance with its financial covenants under the Credit Facility as of January 2, 2015. At January 2, 2015, the Company had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$235.0 million in principal amount of outstanding borrowings under the Credit Facility and $40.5 million outstanding under standby letters of credit, leaving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 availability under the Credit Facility as of January 2, 2015 of $224.5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February 2012, the Company issued $275.0 million in principal amount of 2020 Notes in a private placement to institutional buyers, which were exchanged in August 2012 for substantially identical 2020 Notes that had been registered with the Securities and Exchange Commission (the SEC). These initial 2020 Notes were issued at face value and are recorded as long-term debt in the Company’s condensed consolidated financial statements. On October 12, 2012, the Company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the Company received in connection with the issuance of the additional 2020 Notes is recorded as long-term debt in the Company’s condensed consolidated financial statements and is being amortized as a reduction to interest expense on an effective interest rate basis over the term of those 2020 Notes.</w:t>
      </w:r>
    </w:p>
    <w:p>
      <w:pPr>
        <w:spacing w:after="0" w:line="1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2020 Notes are required to be guaranteed on an unsecured senior basis by each of the Company’s existing and future subsidiaries that guarantees the Credit Facility. During the second quarter of fiscal year 2014, the last remaining subsidiary guarantor, ViaSat Communications, Inc., was merged into the Company. Accordingly, as of January 2, 2015,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Facility (to the extent of the value of the</w:t>
      </w:r>
    </w:p>
    <w:p>
      <w:pPr>
        <w:sectPr>
          <w:pgSz w:w="11900" w:h="16838" w:orient="portrait"/>
          <w:cols w:equalWidth="0" w:num="1">
            <w:col w:w="11400"/>
          </w:cols>
          <w:pgMar w:left="240" w:top="459" w:right="25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Prior to June 15, 2015, the Company may redeem up to 35% of the 2020 Notes at a redemption price of 106.875% of the principal amount thereof, plus accrued and unpaid interest, if any, thereon to the redemption date, from the net cash proceeds of specified equity offerings. The Company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6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12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condensed consolidated financial statement.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January 2, 2015 and January 3, 2014:</w:t>
      </w:r>
    </w:p>
    <w:p>
      <w:pPr>
        <w:spacing w:after="0" w:line="19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left="276"/>
              <w:spacing w:after="0"/>
              <w:rPr>
                <w:sz w:val="20"/>
                <w:szCs w:val="20"/>
                <w:color w:val="auto"/>
              </w:rPr>
            </w:pPr>
            <w:r>
              <w:rPr>
                <w:rFonts w:ascii="Arial" w:cs="Arial" w:eastAsia="Arial" w:hAnsi="Arial"/>
                <w:sz w:val="14"/>
                <w:szCs w:val="14"/>
                <w:b w:val="1"/>
                <w:bCs w:val="1"/>
                <w:color w:val="auto"/>
                <w:w w:val="94"/>
              </w:rPr>
              <w:t>Nine Months Ended</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January 2, 2015</w:t>
            </w:r>
          </w:p>
        </w:tc>
        <w:tc>
          <w:tcPr>
            <w:tcW w:w="1380" w:type="dxa"/>
            <w:vAlign w:val="bottom"/>
            <w:tcBorders>
              <w:bottom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w w:val="92"/>
              </w:rPr>
              <w:t>January 3, 2014</w:t>
            </w:r>
          </w:p>
        </w:tc>
        <w:tc>
          <w:tcPr>
            <w:tcW w:w="120" w:type="dxa"/>
            <w:vAlign w:val="bottom"/>
          </w:tcPr>
          <w:p>
            <w:pPr>
              <w:spacing w:after="0"/>
              <w:rPr>
                <w:sz w:val="12"/>
                <w:szCs w:val="12"/>
                <w:color w:val="auto"/>
              </w:rPr>
            </w:pPr>
          </w:p>
        </w:tc>
      </w:tr>
      <w:tr>
        <w:trPr>
          <w:trHeight w:val="142"/>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4"/>
          </w:tcPr>
          <w:p>
            <w:pPr>
              <w:jc w:val="center"/>
              <w:ind w:left="27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Change in liability for warranties issued in period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4,512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8,184</w:t>
            </w:r>
          </w:p>
        </w:tc>
        <w:tc>
          <w:tcPr>
            <w:tcW w:w="12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made (in cash or in kind) during the period</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(5,559)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(4,987)</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15,976</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17,304</w:t>
            </w:r>
          </w:p>
        </w:tc>
        <w:tc>
          <w:tcPr>
            <w:tcW w:w="1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2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In May 2013, the Company entered into an agreement to purchase ViaSat-2, the Company’s second high-capacity Ka-band satellite, from The Boeing Company (Boeing) at a price of approximately $358.0 million, plus an additional amount for launch support services to be performed by Boeing.</w:t>
      </w:r>
    </w:p>
    <w:p>
      <w:pPr>
        <w:spacing w:after="0" w:line="124" w:lineRule="exact"/>
        <w:rPr>
          <w:sz w:val="20"/>
          <w:szCs w:val="20"/>
          <w:color w:val="auto"/>
        </w:rPr>
      </w:pPr>
    </w:p>
    <w:p>
      <w:pPr>
        <w:ind w:right="420" w:firstLine="456"/>
        <w:spacing w:after="0" w:line="302" w:lineRule="auto"/>
        <w:rPr>
          <w:sz w:val="20"/>
          <w:szCs w:val="20"/>
          <w:color w:val="auto"/>
        </w:rPr>
      </w:pPr>
      <w:r>
        <w:rPr>
          <w:rFonts w:ascii="Arial" w:cs="Arial" w:eastAsia="Arial" w:hAnsi="Arial"/>
          <w:sz w:val="16"/>
          <w:szCs w:val="16"/>
          <w:color w:val="auto"/>
        </w:rPr>
        <w:t>From time to time, 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ectPr>
          <w:pgSz w:w="11900" w:h="16838" w:orient="portrait"/>
          <w:cols w:equalWidth="0" w:num="1">
            <w:col w:w="11420"/>
          </w:cols>
          <w:pgMar w:left="240" w:top="459" w:right="239" w:bottom="1440" w:gutter="0" w:footer="0" w:header="0"/>
        </w:sectPr>
      </w:pP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2011 and subsequent fiscal years. During the second quarter of fiscal year 2015, the DCAA completed its incurred cost audit for fiscal year 2004 and approved the Company’s incurred cost claims for fiscal years 2005 through 2010 without further audit. Although the Company has recorded contract revenues subsequent to fiscal year 2010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January 2, 2015 and April 4, 2014, the Company had $5.2 million and $6.7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 The decrease in contract-related reserves reflects the conclusion of the DCAA’s incurred cost audit for fiscal year 2004 and the DCAA’s approval of the Company’s incurred cost claims for fiscal years 2005 through 2010.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Matters Resolved During the First Nine Months of Fiscal Year 2015</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September 5, 2014, the Company entered into a settlement agreement with SS/L and Loral (the Settlement Agreement), pursuant to which SS/L and Loral are required to pay the Company a total of $108.7 million, inclusive of interest, over a two and a half year period from the date of settlement. In exchange, the Company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w:t>
      </w:r>
    </w:p>
    <w:p>
      <w:pPr>
        <w:spacing w:after="0" w:line="188"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Company accounted for the amounts payable by SS/L and Loral under the Settlement Agreement as a multiple-element arrangement and allocated the total consideration to the identifiable elements based upon their fair value. The consideration assigned to each element was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license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 damages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108,712</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During the third quarter of fiscal year 2015, the Company recorded $6.9 million with respect to amounts realized under the Settlement Agreement during the quarter, of which $6.0 million was recognized as product revenues in the Company’s satellite services segment and $0.9 million was recognized as interest income in the condensed consolidated financial statements. During the first nine months of fiscal year 2015, the Company recorded $46.9 million with respect to amounts realized under the Settlement Agreement, of which $27.0 million was recognized as product revenues and $18.7 million was recognized as a reduction to SG&amp;A expenses in the Company’s satellite services segment, and $1.2 million was recognized as interest income in the condensed consolidated financial statements. The remaining payments under the Settlement Agreement will be recognized in future periods when realized, and will be recorded as product revenues in the satellite services segment and interest income.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currently estimates its annual effective income tax expense rate to be approximately 21.2% for fiscal year 2015. The estimated effective tax rate is different from the expected statutory rate primarily due to federal research and development tax credits recorded as a result of the Tax Increase Prevention Act of 2014 enacted on December 19, 2014, which extended the research and development credit from January 1, 2014 to December 31, 2014. In the first two quarters of fiscal year 2015, the Company’s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estimated annual effective income tax rate did not include the effect of the extension of the research and development tax credit, which resulted in an adjustment of approximately $5.9 million in tax benefits in the third quarter of fiscal year 2015. Also as a result of the extension of the research and development tax credit, approximately $2.4 million of research and development credit generated in the fourth quarter of fiscal year 2014 was recognized as a discrete tax benefit in the third quarter of fiscal year 2015. If the federal research and development tax credit is reinstated through the end of fiscal year 2015, the Company may have a lower annual effective income tax expense rate for fiscal year 2015, and the amount of any such decrease will depend on the effective date of any such reinstatement, the terms of the reinstatement, as well as the amount of eligible research and development expenses in the reinstated period.</w:t>
      </w:r>
    </w:p>
    <w:p>
      <w:pPr>
        <w:spacing w:after="0" w:line="18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Future realization of the existing deferred tax asset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The Company’s analysis of the need for a valuation allowance on deferred tax assets considered the losses incurred during the fiscal years ended April 4, 2014 and March 29, 2013 and the income generated during the nine months ended January 2, 2015. In fiscal year 2013, the Company recorded a significant loss, a substantial portion of which resulted from an extinguishment of debt charge that was recorded upon the refinancing of the Company’s former 2016 Notes with the proceeds from the issuance of additional 2020 Notes, which provides a benefit to net income due to the lower interest rate of the 2020 Notes. The loss from fiscal year 2014 was less significant and a substantial portion of that loss related to legal expense focused on protecting and extending our technology advantages in the litigation against SS/L and its former parent company Loral, which was resolved in the Company’s favor during the second quarter of fiscal year 2015 (see Note 8). In addition to these events, the Company’s evaluation considered other factors, including the Company’s contractual backlog, the Company’s history of positive earnings, current earnings trends assuming the Company’s satellite subscriber base continues to grow, taxable income adjusted for certain items, and forecasted income by jurisdiction. The Company also considered the lengthy period over which these net deferred tax assets can be realized and the Company’s history of not having federal tax loss carryforwards expire unused. The Company will continue to evaluate the ability to realize its deferred tax assets on a quarterly basis to determine if the weight of available evidence suggests that an additional valuation allowance is needed.</w:t>
      </w:r>
    </w:p>
    <w:p>
      <w:pPr>
        <w:spacing w:after="0" w:line="169"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For the three and nine months ended January 2, 2015, the Company’s gross unrecognized tax benefits increased by $2.3 million and $3.8 million, respectively. In the next twelve months it is reasonably possible that the amount of unrecognized tax benefits will not change significantly.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Acquisition</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On June 6, 2014, the Company completed the acquisition of all outstanding shares of NetNearU. The purchase price for NetNearU is estimated to be approximately $59.9 million in cash consideration (subject to certain minor working capital post-closing adjustments). The preliminary net cash outlay for the acquisition, after taking into account estimated cash acquired of $4.1 million, was approximately $55.8 million.</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accounts for business combinations pursuant to the authoritative guidance for business combinations (ASC 805). Accordingly, the Company allocated the purchase price of the acquired company to the net tangible assets and intangible assets acquired based upon their estimated fair values. Under the authoritative guidance for business combinations, acquisition-related transaction costs and acquisition-related restructuring charges are not included as components of consideration transferred but are accounted for as expenses in the period in which the costs are incurred. Merger-related transaction costs incurred by the Company during the first quarter of fiscal year 2015 were approximately $0.4 million, which were recorded in SG&amp;A expenses.</w:t>
      </w:r>
    </w:p>
    <w:p>
      <w:pPr>
        <w:spacing w:after="0" w:line="1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preliminary estimated purchase price allocation of the acquired assets and assumed liabilities based on the estimated fair values as of June 6, 2014 is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340" w:type="dxa"/>
            <w:vAlign w:val="bottom"/>
            <w:gridSpan w:val="4"/>
          </w:tcPr>
          <w:p>
            <w:pPr>
              <w:ind w:left="23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Goodwill</w:t>
            </w:r>
          </w:p>
        </w:tc>
        <w:tc>
          <w:tcPr>
            <w:tcW w:w="2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Total liabilities assumed</w:t>
            </w:r>
          </w:p>
        </w:tc>
        <w:tc>
          <w:tcPr>
            <w:tcW w:w="2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56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Amounts assigned to identifiable intangible assets are being amortized on a straight-line basis over their estimated useful lives and are as follows: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4"/>
              </w:rPr>
              <w:t>Fair value</w:t>
            </w:r>
          </w:p>
        </w:tc>
        <w:tc>
          <w:tcPr>
            <w:tcW w:w="7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40" w:type="dxa"/>
            <w:vAlign w:val="bottom"/>
            <w:gridSpan w:val="3"/>
          </w:tcPr>
          <w:p>
            <w:pPr>
              <w:ind w:left="1920"/>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1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Trade name</w:t>
            </w:r>
          </w:p>
        </w:tc>
        <w:tc>
          <w:tcPr>
            <w:tcW w:w="1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20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intangible assets acquired in the NetNearU business combination were determined, in accordance with the authoritative guidance for business combinations, based on the estimated fair values using valuation techniques consistent with the market approach and/or income approach to measure fair value. The remaining useful lives were estimated based on the underlying agreements and/or the future economic benefit expected to be received from the assets.</w:t>
      </w:r>
    </w:p>
    <w:p>
      <w:pPr>
        <w:spacing w:after="0" w:line="18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NetNearU has developed a comprehensive network management system for WiFi and other Internet access networks that the Company expects to use to extend the Company’s Exede</w:t>
      </w:r>
      <w:r>
        <w:rPr>
          <w:rFonts w:ascii="Arial" w:cs="Arial" w:eastAsia="Arial" w:hAnsi="Arial"/>
          <w:sz w:val="13"/>
          <w:szCs w:val="13"/>
          <w:color w:val="auto"/>
        </w:rPr>
        <w:t>®</w:t>
      </w:r>
      <w:r>
        <w:rPr>
          <w:rFonts w:ascii="Arial" w:cs="Arial" w:eastAsia="Arial" w:hAnsi="Arial"/>
          <w:sz w:val="16"/>
          <w:szCs w:val="16"/>
          <w:color w:val="auto"/>
        </w:rPr>
        <w:t xml:space="preserve"> broadband services to a wider subscriber base in multiple markets, including commercial airlines, live events, hospitality, enterprise networking and government broadband projects. NetNearU’s primary operations currently support government applications with the potential for future expansion into commercial applications. These current benefits and additional opportunities were among the factors that were taken into account in setting the purchase price and contributed to the recognition of preliminary estimated goodwill, which was recorded within the Company’s government systems segment. The intangible assets and goodwill recognized are not deductible for federal income tax purposes.</w:t>
      </w:r>
    </w:p>
    <w:p>
      <w:pPr>
        <w:spacing w:after="0" w:line="16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consolidated financial statements include the operating results of NetNearU from the date of acquisition. Pro forma results of operations have not been presented because the effect of the acquisition was insignificant to the financial statements for all periods presented.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primarily in the United States.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Internet Protocol (IP)-based fixed and mobile secure government communications systems, network management systems, products, services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Segment revenues and operating profits (losses) for the three and nine months ended January 2, 2015 and January 3, 2014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January 2, 2015</w:t>
            </w: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3, 2014</w:t>
            </w:r>
          </w:p>
        </w:tc>
        <w:tc>
          <w:tcPr>
            <w:tcW w:w="48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January 2, 2015</w:t>
            </w:r>
          </w:p>
        </w:tc>
        <w:tc>
          <w:tcPr>
            <w:tcW w:w="2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January 3,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ind w:left="5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Satellite 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Product (1)</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27,468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700"/>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117,683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98,637</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342,015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284,815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98,648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369,483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Product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79,832</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87,845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251,533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700"/>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4,014</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11,564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91,859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263,097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Government Systems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Product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88,318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105,990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257,351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700"/>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43,393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36,058</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127,851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121,695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131,711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142,048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385,202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Elimination of intersegment revenues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339,553</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332,555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1,017,782</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1,007,538</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Operating profits (losses):</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Satellite Services (2)</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(9,761)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47,823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(7,558)</w:t>
            </w:r>
          </w:p>
        </w:tc>
        <w:tc>
          <w:tcPr>
            <w:tcW w:w="2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(6,528)</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(20,801)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Systems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19,966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21,465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Elimination of intersegment operating profits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operating profit before corporate and amortization of acquired</w:t>
            </w:r>
          </w:p>
        </w:tc>
        <w:tc>
          <w:tcPr>
            <w:tcW w:w="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22,829</w:t>
            </w: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5,176</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76,803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(4,651)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(10,949)</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63,465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4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the amounts realized under the Settlement Agreement during the three and nine months ended January 2, 2015, $6.0 million and $27.0 million, respectively, was recognized as product revenues in the Company’s satellite services segment. See Note 8.</w:t>
      </w:r>
    </w:p>
    <w:p>
      <w:pPr>
        <w:spacing w:after="0" w:line="1" w:lineRule="exact"/>
        <w:rPr>
          <w:rFonts w:ascii="Arial" w:cs="Arial" w:eastAsia="Arial" w:hAnsi="Arial"/>
          <w:sz w:val="18"/>
          <w:szCs w:val="18"/>
          <w:color w:val="auto"/>
        </w:rPr>
      </w:pPr>
    </w:p>
    <w:p>
      <w:pPr>
        <w:ind w:left="460" w:right="64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profits for the satellite services segment for the three and nine months ended January 2, 2015 include $6.0 million and $45.7 million, respectively, relating to amounts realized under the Settlement Agreement. See Note 8.</w:t>
      </w:r>
    </w:p>
    <w:p>
      <w:pPr>
        <w:spacing w:after="0" w:line="184"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and equipment, including its satellites, gateways and other networking equipment, are assigned to corporate assets as they are available for use by the various segments throughout their estimated useful lives. Segment assets as of January 2, 2015 and April 4, 2014 were as follows:</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As of</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January 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April 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2015</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4"/>
          </w:tcPr>
          <w:p>
            <w:pPr>
              <w:jc w:val="right"/>
              <w:ind w:right="516"/>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Satellite Services</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73,059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Networks</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222,885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Government Systems</w:t>
            </w:r>
          </w:p>
        </w:tc>
        <w:tc>
          <w:tcPr>
            <w:tcW w:w="3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264,838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segment assets</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560,782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Corporate assets</w:t>
            </w:r>
          </w:p>
        </w:tc>
        <w:tc>
          <w:tcPr>
            <w:tcW w:w="3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1,592,542</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1,450,430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2,153,324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1,960,115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380" w:type="dxa"/>
            <w:vAlign w:val="bottom"/>
            <w:vMerge w:val="restart"/>
          </w:tcPr>
          <w:p>
            <w:pPr>
              <w:jc w:val="right"/>
              <w:ind w:right="199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acquired intangible assets, net and goodwill included in segment assets as of January 2, 2015 and April 4, 2014 were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7"/>
          </w:tcPr>
          <w:p>
            <w:pPr>
              <w:jc w:val="center"/>
              <w:ind w:right="880"/>
              <w:spacing w:after="0"/>
              <w:rPr>
                <w:sz w:val="20"/>
                <w:szCs w:val="20"/>
                <w:color w:val="auto"/>
              </w:rPr>
            </w:pPr>
            <w:r>
              <w:rPr>
                <w:rFonts w:ascii="Arial" w:cs="Arial" w:eastAsia="Arial" w:hAnsi="Arial"/>
                <w:sz w:val="14"/>
                <w:szCs w:val="14"/>
                <w:b w:val="1"/>
                <w:bCs w:val="1"/>
                <w:color w:val="auto"/>
                <w:w w:val="95"/>
              </w:rPr>
              <w:t>Other Acquired Intangible</w:t>
            </w:r>
          </w:p>
        </w:tc>
        <w:tc>
          <w:tcPr>
            <w:tcW w:w="220" w:type="dxa"/>
            <w:vAlign w:val="bottom"/>
          </w:tcPr>
          <w:p>
            <w:pPr>
              <w:spacing w:after="0"/>
              <w:rPr>
                <w:sz w:val="14"/>
                <w:szCs w:val="14"/>
                <w:color w:val="auto"/>
              </w:rPr>
            </w:pPr>
          </w:p>
        </w:tc>
        <w:tc>
          <w:tcPr>
            <w:tcW w:w="1300" w:type="dxa"/>
            <w:vAlign w:val="bottom"/>
            <w:gridSpan w:val="4"/>
            <w:vMerge w:val="restart"/>
          </w:tcPr>
          <w:p>
            <w:pPr>
              <w:jc w:val="right"/>
              <w:ind w:right="87"/>
              <w:spacing w:after="0"/>
              <w:rPr>
                <w:sz w:val="20"/>
                <w:szCs w:val="20"/>
                <w:color w:val="auto"/>
              </w:rPr>
            </w:pPr>
            <w:r>
              <w:rPr>
                <w:rFonts w:ascii="Arial" w:cs="Arial" w:eastAsia="Arial" w:hAnsi="Arial"/>
                <w:sz w:val="14"/>
                <w:szCs w:val="14"/>
                <w:b w:val="1"/>
                <w:bCs w:val="1"/>
                <w:color w:val="auto"/>
              </w:rPr>
              <w:t>Goodwill</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89"/>
              </w:rPr>
              <w:t>Assets, Net</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3"/>
          </w:tcPr>
          <w:p>
            <w:pPr>
              <w:ind w:left="120"/>
              <w:spacing w:after="0" w:line="119" w:lineRule="exact"/>
              <w:rPr>
                <w:sz w:val="20"/>
                <w:szCs w:val="20"/>
                <w:color w:val="auto"/>
              </w:rPr>
            </w:pPr>
            <w:r>
              <w:rPr>
                <w:rFonts w:ascii="Arial" w:cs="Arial" w:eastAsia="Arial" w:hAnsi="Arial"/>
                <w:sz w:val="13"/>
                <w:szCs w:val="13"/>
                <w:b w:val="1"/>
                <w:bCs w:val="1"/>
                <w:color w:val="auto"/>
              </w:rPr>
              <w:t>As of</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ind w:right="157"/>
              <w:spacing w:after="0" w:line="119" w:lineRule="exact"/>
              <w:rPr>
                <w:sz w:val="20"/>
                <w:szCs w:val="20"/>
                <w:color w:val="auto"/>
              </w:rPr>
            </w:pPr>
            <w:r>
              <w:rPr>
                <w:rFonts w:ascii="Arial" w:cs="Arial" w:eastAsia="Arial" w:hAnsi="Arial"/>
                <w:sz w:val="13"/>
                <w:szCs w:val="13"/>
                <w:b w:val="1"/>
                <w:bCs w:val="1"/>
                <w:color w:val="auto"/>
              </w:rPr>
              <w:t>As of</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As of</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ind w:right="75"/>
              <w:spacing w:after="0" w:line="119" w:lineRule="exact"/>
              <w:rPr>
                <w:sz w:val="20"/>
                <w:szCs w:val="20"/>
                <w:color w:val="auto"/>
              </w:rPr>
            </w:pPr>
            <w:r>
              <w:rPr>
                <w:rFonts w:ascii="Arial" w:cs="Arial" w:eastAsia="Arial" w:hAnsi="Arial"/>
                <w:sz w:val="13"/>
                <w:szCs w:val="13"/>
                <w:b w:val="1"/>
                <w:bCs w:val="1"/>
                <w:color w:val="auto"/>
                <w:w w:val="92"/>
              </w:rPr>
              <w:t>As of</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rPr>
              <w:t>January 2, 2015</w:t>
            </w:r>
          </w:p>
        </w:tc>
        <w:tc>
          <w:tcPr>
            <w:tcW w:w="6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2"/>
              </w:rPr>
              <w:t>April 4, 2014</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January 2, 2015</w:t>
            </w:r>
          </w:p>
        </w:tc>
        <w:tc>
          <w:tcPr>
            <w:tcW w:w="18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April 4, 2014</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20,636</w:t>
            </w:r>
          </w:p>
        </w:tc>
        <w:tc>
          <w:tcPr>
            <w:tcW w:w="6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28,931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9,809</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9,809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Commercial Networks</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1,811</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2,583</w:t>
            </w: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43,936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44,148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24,082</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3,883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29,670</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46,529</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35,397</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117,276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83,627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Amortization of acquired intangible assets by segment for the three and nine months ended January 2, 2015 and January 3, 2014 was as follows: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6"/>
              </w:rPr>
              <w:t>Nine Months Ended</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16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January 2, 2015</w:t>
            </w: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3, 2014</w:t>
            </w: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January 2, 2015</w:t>
            </w: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3, 2014</w:t>
            </w:r>
          </w:p>
        </w:tc>
        <w:tc>
          <w:tcPr>
            <w:tcW w:w="32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2,765</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8,295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8,295</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Commercial Networks</w:t>
            </w:r>
          </w:p>
        </w:tc>
        <w:tc>
          <w:tcPr>
            <w:tcW w:w="34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369</w:t>
            </w:r>
          </w:p>
        </w:tc>
        <w:tc>
          <w:tcPr>
            <w:tcW w:w="4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1,084</w:t>
            </w:r>
          </w:p>
        </w:tc>
        <w:tc>
          <w:tcPr>
            <w:tcW w:w="4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994</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3,959</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1,660</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7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3,652</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13,338</w:t>
            </w:r>
          </w:p>
        </w:tc>
        <w:tc>
          <w:tcPr>
            <w:tcW w:w="4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10,949</w:t>
            </w:r>
          </w:p>
        </w:tc>
        <w:tc>
          <w:tcPr>
            <w:tcW w:w="3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Certain Relationships and Related-Party Transactions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John Stenbit, a director of the Company since August 2004, also serves on the board of directors of Loral. Telesat Canada is an entity owned by TeleSat Holdings, Inc., a joint venture between Loral and the Public Sector Pension Investment Board. From time to time, the Company enters into various contracts in the ordinary course of business with Telesat Canada. These contracts are substantially the same as disclosed in the most recent Annual Report on Form 10-K.</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98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456"/>
        <w:spacing w:after="0" w:line="284"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activities; the performance and anticipated benefits of the ViaSat-2 satellite; the expected capacity, service, coverage, service speeds and other features of ViaSat-2,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realize the anticipated benefits of the ViaSat-2 satellite; unexpected expenses related to the satellite project; our ability to successfully implement our business plan for our broadband satellite services on our anticipated timeline or at all, including with respect to the ViaSat-2 satellite system; risks associated with the construction, launch and operation of ViaSat-2 and our other satellites, including the effect of any anomaly, operational failure or degradation in satellite performance; our ability to successfully develop, introduce and sell new technologies, products and services; negative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April 4, 2014,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a leading provider of high-speed fixed and mobile broadband services, advanced satellite and other wireless networks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6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During the first quarter of fiscal year 2015, we completed the acquisition of NetNearU Corp. (NetNearU), a privately held Delaware corporation. NetNearU has developed a comprehensive network management system for WiFi and other Internet access networks that we expect to use to extend our Exede</w:t>
      </w:r>
      <w:r>
        <w:rPr>
          <w:rFonts w:ascii="Arial" w:cs="Arial" w:eastAsia="Arial" w:hAnsi="Arial"/>
          <w:sz w:val="14"/>
          <w:szCs w:val="14"/>
          <w:color w:val="auto"/>
        </w:rPr>
        <w:t>®</w:t>
      </w:r>
      <w:r>
        <w:rPr>
          <w:rFonts w:ascii="Arial" w:cs="Arial" w:eastAsia="Arial" w:hAnsi="Arial"/>
          <w:sz w:val="17"/>
          <w:szCs w:val="17"/>
          <w:color w:val="auto"/>
        </w:rPr>
        <w:t xml:space="preserve"> broadband services to a wider subscriber base in multiple markets, including commercial airlines, live events, hospitality, enterprise networking and government broadband projects. NetNearU’s primary operations currently support government applications. The purchase price for NetNearU is estimated to be approximately $59.9 million in cash consideration (subject to certain minor working capital post-closing adjustments).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121"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Our satellite services segment provides retail and wholesale satellite-based broadband services for our consumer, enterprise and mobile broadband customers primarily in the United States. Our Exede broadband services are designed to offer a high-quality broadband service choice to the millions of unserved and under-served consumers in the United States and to significantly expand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quality, capability and availability of high-speed broadband satellite services for U.S. consumers and enterprises. Our satellite services business also provides a platform for the provision of network management services to domestic and international satellite service providers. In May 2013, we entered into a satellite construction contract for ViaSat-2, our second high-capacity Ka-band satellite.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31" w:lineRule="exact"/>
        <w:rPr>
          <w:sz w:val="20"/>
          <w:szCs w:val="20"/>
          <w:color w:val="auto"/>
        </w:rPr>
      </w:pPr>
    </w:p>
    <w:p>
      <w:pPr>
        <w:ind w:left="900" w:right="54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Retail and wholesale broadband satellite services offered to consumers and small businesses under the Exede and WildBlue brands, which provide two-way satellite-based broadband internet access and Voice over Internet Protocol (VoIP). As of January 2, 2015, we provided broadband satellite services to approximately 675,000 subscribers.</w:t>
      </w:r>
    </w:p>
    <w:p>
      <w:pPr>
        <w:spacing w:after="0" w:line="86"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Enterprise broadband services, which include in-flight WiFi (including our flagship Exede In The Air service), live on-line event streaming, oil and natural gas data gathering services and high definition satellite news gathering.</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On September 5, 2014, we entered into a settlement agreement with Space Systems/Loral, Inc. (SS/L) and its former parent company Loral Space &amp; Communications, Inc. (Loral) (the Settlement Agreement), pursuant to which SS/L and Loral are required to pay us a total of $108.7 million, inclusive of interest, over a two and a half year period from the date of settlement. In exchange, we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 Payments under the Settlement Agreement will be recorded as product revenues and as a reduction of selling, general and administrative (SG&amp;A) expenses in our satellite services segment, and as interest income. For further information, see Note 8 to the condensed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18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76" w:lineRule="exact"/>
        <w:rPr>
          <w:sz w:val="20"/>
          <w:szCs w:val="20"/>
          <w:color w:val="auto"/>
        </w:rPr>
      </w:pPr>
    </w:p>
    <w:p>
      <w:pPr>
        <w:ind w:left="9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121"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31" w:lineRule="exact"/>
        <w:rPr>
          <w:sz w:val="20"/>
          <w:szCs w:val="20"/>
          <w:color w:val="auto"/>
        </w:rPr>
      </w:pPr>
    </w:p>
    <w:p>
      <w:pPr>
        <w:ind w:left="900" w:right="200" w:hanging="325"/>
        <w:spacing w:after="0" w:line="25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satellite networking services, network management systems and global mobile broadband capability, and include products designed for manpacks, aircraft, unmanned aerial vehicles (UAVs), seagoing vessels, ground mobile vehicles and fixed applications.</w:t>
      </w:r>
    </w:p>
    <w:p>
      <w:pPr>
        <w:spacing w:after="0" w:line="93" w:lineRule="exact"/>
        <w:rPr>
          <w:rFonts w:ascii="Arial" w:cs="Arial" w:eastAsia="Arial" w:hAnsi="Arial"/>
          <w:sz w:val="18"/>
          <w:szCs w:val="18"/>
          <w:color w:val="auto"/>
        </w:rPr>
      </w:pPr>
    </w:p>
    <w:p>
      <w:pPr>
        <w:ind w:left="900" w:right="140" w:hanging="325"/>
        <w:spacing w:after="0" w:line="286"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Information security and assurance products and secure networking solutions, which provide advanced, high-speed IP-based “Type 1” and High Assurance Internet Protocol Encryption (HAIPE</w:t>
      </w:r>
      <w:r>
        <w:rPr>
          <w:rFonts w:ascii="Arial" w:cs="Arial" w:eastAsia="Arial" w:hAnsi="Arial"/>
          <w:sz w:val="14"/>
          <w:szCs w:val="14"/>
          <w:color w:val="auto"/>
        </w:rPr>
        <w:t>®</w:t>
      </w:r>
      <w:r>
        <w:rPr>
          <w:rFonts w:ascii="Arial" w:cs="Arial" w:eastAsia="Arial" w:hAnsi="Arial"/>
          <w:sz w:val="17"/>
          <w:szCs w:val="17"/>
          <w:color w:val="auto"/>
        </w:rPr>
        <w:t>)-compliant encryption solutions that enable military and government users to communicate information securely over networks, and that secure data stored on computers and storage devices.</w:t>
      </w:r>
    </w:p>
    <w:p>
      <w:pPr>
        <w:sectPr>
          <w:pgSz w:w="11900" w:h="16838" w:orient="portrait"/>
          <w:cols w:equalWidth="0" w:num="1">
            <w:col w:w="11400"/>
          </w:cols>
          <w:pgMar w:left="240" w:top="459" w:right="259" w:bottom="1440" w:gutter="0" w:footer="0" w:header="0"/>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Tactical data links, including Multifunctional Information Distribution System (MIDS) terminals for military fighter jets and their successor, MIDS Joint Tactical Radio System (MIDS-JTRS) terminals, “disposable” weapon data links and portable small tactical terminals.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satellite services segment revenues are primarily derived from our domestic satellite broadband services business and from our worldwide managed network services.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products in our commercial networks and government systems segments are provided primarily through three types of contracts: fixed-price, time-and-materials and cost-reimbursement contracts. Fixed-price contracts (which require us to provide products and services under a contract at a specified price) comprised approximately 90% and 92% of our total revenues for these segments for the three months ended January 2, 2015 and January 3, 2014, respectively, and 89% and 93% of our total revenues for these segments for the nine months ended January 2, 2015 and January 3, 2014,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7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22% and 32% of our total revenues in the three months ended January 2, 2015 and January 3, 2014, respectively. Revenues for our funded research and development from our customer contracts were approximately 24% and 31% of our total revenues in the nine months ended January 2, 2015 and January 3, 2014, respectively.</w:t>
      </w:r>
    </w:p>
    <w:p>
      <w:pPr>
        <w:spacing w:after="0" w:line="17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4% and 5% of total revenues during the three months ended January 2, 2015 and January 3, 2014, respectively, and approximately 3% and 4% of total revenues during the nine months ended January 2, 2015 and January 3, 2014, respectively. As a government contractor, we are able to recover a portion of our IR&amp;D expenses pursuant to our government contracts.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January 2, 2015 and January 3, 2014, we recorded losses of approximately $0.3 million and $1.7 million, respectively, related to loss contracts. During the nine months ended January 2, 2015 and January 3, 2014, we recorded losses of approximately $0.4 million and $2.7 million, respectively, related to loss contracts.</w:t>
      </w:r>
    </w:p>
    <w:p>
      <w:pPr>
        <w:spacing w:after="0" w:line="18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January 2, 2015 would change our income before income taxes by approximately $0.5 million.</w:t>
      </w:r>
    </w:p>
    <w:p>
      <w:pPr>
        <w:spacing w:after="0" w:line="17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66"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8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8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gateway facilities,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own two satellites: ViaSat-1 (our first high-capacity Ka-band spot-beam satellite, which was placed into service in January 2012) and WildBlue-1 (which was placed into service in March 2007). In May 2013, we entered into a satellite construction contract for ViaSat-2, our second high-capacity Ka-band satellite. In addition, we have an exclusive prepaid lifetime capital lease of Ka-band capacity over the contiguous United States on Telesat Canada’s Anik F2 satellite (which was placed into service in April 2005) and own related gateway and networking equipment on all of our satellites. Property and equipment also includes the indoor and outdoor customer premise equipment (CPE) units leased to subscribers under a retail leasing program as part of our satellite services segment.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nine months ended January 2, 2015 and January 3, 2014.</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permits us to make a qualitative assessment of whether it is more likely than not that a reporting unit’s fair value is less than its carrying amount before applying the two step goodwill impairment test. If, after completing our qualitative assessment we determine that it is more likely than not that the carrying value exceeds estimated fair value, we compare the fair value to our carrying value (including goodwill). If the estimated fair value is greater than the carrying value, we conclude that no impairment exists.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6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Furthermore, in addition to the qualitative analysis, we believe it is appropriate to conduct a quantitative analysis periodically as a prudent review of our reporting unit goodwill fair values. Our quantitative analysis estimates the fair values of the reporting units using discounted cash flows and other indicators of fair value. The forecast of future cash flow is based on our best estimate of the future revenue and operating costs, based primarily on existing firm orders, expected future orders, contracts with suppliers, labor resources and general market conditions. Based on a quantitative analysis for fiscal year 2014, we concluded that estimated fair values of our reporting units significantly exceed their respective carrying value.</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Based on our qualitative and quantitative assessment performed during the fourth quarter of fiscal year 2014, we concluded that it was more likely than not that the estimated fair value of our reporting units exceeded its carrying value as of April 4, 2014 and, therefore, determined it was not necessary to perform step two of the goodwill impairment test.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11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Management evaluates the realizability of our deferred tax assets and assesses the need for a valuation allowance on a quarterly basis. In accordance with the authoritative guidance for income taxes (ASC 740), net deferred tax assets are reduced by a valuation allowance if, based on all the available evidence, it is more likely than not that some or all of the deferred tax assets will not be realized. Our valuation allowance against deferred tax assets increased from $12.8 million at April 4, 2014 to $14.7 million at January 2, 2015. The valuation allowance primarily relates to state net operating loss carryforwards and research and development credit carryforwards available to reduce state income taxes.</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analysis of the need for a valuation allowance on deferred tax assets considered the losses incurred during the fiscal years ended April 4, 2014 and March 29, 2013 and the income generated during the nine months ended January 2, 2015. In fiscal year 2013, we recorded a significant loss, a substantial portion of which resulted from an extinguishment of debt charge that was recorded upon the refinancing of our former 8.875% Senior Notes due 2016 (2016 Notes) with the proceeds from the issuance of additional 6.875% Senior Notes due 2020 (2020 Notes), which provides a benefit to net income due to the lower interest rate of the 2020 Notes. The loss from fiscal year 2014 was less significant and substantial portion of that loss related to legal expense focused on protecting and extending our technology advantages in the litigation against SS/L and Loral, which was resolved in our favor during the second quarter of fiscal year 2015 (see Note 8 to the condensed consolidated financial statements). In addition to these events, our evaluation considered other factors, including our contractual backlog, our history of positive earnings, current earnings trends assuming our satellite subscriber base continues to grow, taxable income adjusted for certain items, and forecasted income by jurisdiction. We also considered the lengthy period over which these net deferred tax assets can be realized and our history of not having federal tax loss carryforwards expire unused.</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7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34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66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w w:val="96"/>
              </w:rPr>
              <w:t>January 3,</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w w:val="93"/>
              </w:rPr>
              <w:t>January 2,</w:t>
            </w: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January 3,</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2015</w:t>
            </w: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1"/>
              </w:rPr>
              <w:t>100.0%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tcPr>
          <w:p>
            <w:pPr>
              <w:ind w:left="360"/>
              <w:spacing w:after="0"/>
              <w:rPr>
                <w:sz w:val="20"/>
                <w:szCs w:val="20"/>
                <w:color w:val="auto"/>
              </w:rPr>
            </w:pPr>
            <w:r>
              <w:rPr>
                <w:rFonts w:ascii="Arial" w:cs="Arial" w:eastAsia="Arial" w:hAnsi="Arial"/>
                <w:sz w:val="18"/>
                <w:szCs w:val="18"/>
                <w:color w:val="auto"/>
              </w:rPr>
              <w:t>Product revenues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51.3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52.7</w:t>
            </w:r>
          </w:p>
        </w:tc>
        <w:tc>
          <w:tcPr>
            <w:tcW w:w="4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 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48.7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0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product 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36.4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0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tcPr>
          <w:p>
            <w:pPr>
              <w:ind w:left="360"/>
              <w:spacing w:after="0"/>
              <w:rPr>
                <w:sz w:val="20"/>
                <w:szCs w:val="20"/>
                <w:color w:val="auto"/>
              </w:rPr>
            </w:pPr>
            <w:r>
              <w:rPr>
                <w:rFonts w:ascii="Arial" w:cs="Arial" w:eastAsia="Arial" w:hAnsi="Arial"/>
                <w:sz w:val="18"/>
                <w:szCs w:val="18"/>
                <w:color w:val="auto"/>
              </w:rPr>
              <w:t>Cost of service revenues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32.5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4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20.8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tcPr>
          <w:p>
            <w:pPr>
              <w:ind w:left="360"/>
              <w:spacing w:after="0"/>
              <w:rPr>
                <w:sz w:val="20"/>
                <w:szCs w:val="20"/>
                <w:color w:val="auto"/>
              </w:rPr>
            </w:pPr>
            <w:r>
              <w:rPr>
                <w:rFonts w:ascii="Arial" w:cs="Arial" w:eastAsia="Arial" w:hAnsi="Arial"/>
                <w:sz w:val="18"/>
                <w:szCs w:val="18"/>
                <w:color w:val="auto"/>
              </w:rPr>
              <w:t>Independent research and development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240" w:type="dxa"/>
            <w:vAlign w:val="bottom"/>
            <w:gridSpan w:val="3"/>
          </w:tcPr>
          <w:p>
            <w:pPr>
              <w:ind w:left="46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6240" w:type="dxa"/>
            <w:vAlign w:val="bottom"/>
            <w:gridSpan w:val="3"/>
          </w:tcPr>
          <w:p>
            <w:pPr>
              <w:ind w:left="46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4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ViaSat, Inc.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540"/>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w w:val="92"/>
              </w:rPr>
              <w:t>Three Months Ended January 2, 2015 vs. Three Months Ended January 3, 2014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Dollar</w:t>
            </w: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460" w:type="dxa"/>
            <w:vAlign w:val="bottom"/>
            <w:vMerge w:val="restart"/>
          </w:tcPr>
          <w:p>
            <w:pPr>
              <w:spacing w:after="0"/>
              <w:rPr>
                <w:sz w:val="10"/>
                <w:szCs w:val="10"/>
                <w:color w:val="auto"/>
              </w:rPr>
            </w:pPr>
          </w:p>
        </w:tc>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4"/>
          </w:tcPr>
          <w:p>
            <w:pPr>
              <w:ind w:left="20"/>
              <w:spacing w:after="0" w:line="119" w:lineRule="exact"/>
              <w:rPr>
                <w:sz w:val="20"/>
                <w:szCs w:val="20"/>
                <w:color w:val="auto"/>
              </w:rPr>
            </w:pPr>
            <w:r>
              <w:rPr>
                <w:rFonts w:ascii="Arial" w:cs="Arial" w:eastAsia="Arial" w:hAnsi="Arial"/>
                <w:sz w:val="13"/>
                <w:szCs w:val="13"/>
                <w:b w:val="1"/>
                <w:bCs w:val="1"/>
                <w:color w:val="auto"/>
              </w:rPr>
              <w:t>January 2,</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w w:val="99"/>
              </w:rPr>
              <w:t>January 3,</w:t>
            </w:r>
          </w:p>
        </w:tc>
        <w:tc>
          <w:tcPr>
            <w:tcW w:w="600" w:type="dxa"/>
            <w:vAlign w:val="bottom"/>
          </w:tcPr>
          <w:p>
            <w:pPr>
              <w:spacing w:after="0"/>
              <w:rPr>
                <w:sz w:val="10"/>
                <w:szCs w:val="10"/>
                <w:color w:val="auto"/>
              </w:rPr>
            </w:pPr>
          </w:p>
        </w:tc>
        <w:tc>
          <w:tcPr>
            <w:tcW w:w="102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Increase</w:t>
            </w:r>
          </w:p>
        </w:tc>
        <w:tc>
          <w:tcPr>
            <w:tcW w:w="60" w:type="dxa"/>
            <w:vAlign w:val="bottom"/>
          </w:tcPr>
          <w:p>
            <w:pPr>
              <w:spacing w:after="0"/>
              <w:rPr>
                <w:sz w:val="10"/>
                <w:szCs w:val="10"/>
                <w:color w:val="auto"/>
              </w:rPr>
            </w:pPr>
          </w:p>
        </w:tc>
        <w:tc>
          <w:tcPr>
            <w:tcW w:w="9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37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78"/>
              </w:rPr>
              <w:t>(Decrease)</w:t>
            </w:r>
          </w:p>
        </w:tc>
        <w:tc>
          <w:tcPr>
            <w:tcW w:w="4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Service revenues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26.5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332.6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total revenues increased by $7.0 million as a result of the $26.5 million increase in service revenues, offset by a $19.5 million decrease in product revenues. The service revenue increase was comprised of $19.0 million in our satellite services segment and $7.3 million in our government systems segment. The product revenue decrease was driven by a decrease of $17.7 million in our government systems segment and $8.0 million in our commercial networks segment, offset by an increase of $6.1 million in our satellite services segment (related to the Settlement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Dollar</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4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9"/>
              </w:rPr>
              <w:t>January 2,</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January 3,</w:t>
            </w:r>
          </w:p>
        </w:tc>
        <w:tc>
          <w:tcPr>
            <w:tcW w:w="600" w:type="dxa"/>
            <w:vAlign w:val="bottom"/>
          </w:tcPr>
          <w:p>
            <w:pPr>
              <w:spacing w:after="0"/>
              <w:rPr>
                <w:sz w:val="10"/>
                <w:szCs w:val="10"/>
                <w:color w:val="auto"/>
              </w:rPr>
            </w:pPr>
          </w:p>
        </w:tc>
        <w:tc>
          <w:tcPr>
            <w:tcW w:w="10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9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6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Cost of revenues decreased by $9.2 million due to a $16.9 million decrease in cost of product revenues, offset by an increase in cost of service revenues of $7.6 million. The cost of product revenues decrease was primarily due to decreased revenues, causing an $18.5 million decrease in cost of product revenues on a constant margin basis, prior to the effects of product revenues related to the implied license under the Settlement Agreement. This cost of product revenues decrease mainly related to our government satellite communications systems (driven by command and control situational awareness) in our government systems segment and our commercial networks segment from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fixed satellite networks (driven by consumer broadband products). The cost of service revenues increase was primarily due to increased service revenues, which caused a $19.6 million increase in cost of service revenues on a constant margin basis. This increase mainly related to our Exede broadband services in our satellite services segment. However, as our Exede subscribers have continued to grow and related revenues scale, we have also experienced improved margins from our broadband services in our satellite services segment partially offsetting the cost of service revenue growth. Additionally, we have experienced improved margins in our government systems segment related to our government satellite communication systems services.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0" w:lineRule="exact"/>
        <w:rPr>
          <w:sz w:val="20"/>
          <w:szCs w:val="20"/>
          <w:color w:val="auto"/>
        </w:rPr>
      </w:pPr>
    </w:p>
    <w:p>
      <w:pPr>
        <w:spacing w:after="0" w:line="28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Dollar</w:t>
            </w: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20" w:type="dxa"/>
            <w:vAlign w:val="bottom"/>
            <w:vMerge w:val="restart"/>
          </w:tcPr>
          <w:p>
            <w:pPr>
              <w:spacing w:after="0"/>
              <w:rPr>
                <w:sz w:val="10"/>
                <w:szCs w:val="10"/>
                <w:color w:val="auto"/>
              </w:rPr>
            </w:pPr>
          </w:p>
        </w:tc>
        <w:tc>
          <w:tcPr>
            <w:tcW w:w="13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2,</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3,</w:t>
            </w:r>
          </w:p>
        </w:tc>
        <w:tc>
          <w:tcPr>
            <w:tcW w:w="64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Increase</w:t>
            </w:r>
          </w:p>
        </w:tc>
        <w:tc>
          <w:tcPr>
            <w:tcW w:w="10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38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3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71.0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$1.9 million increase in SG&amp;A expenses was primarily attributable to higher selling costs of $2.5 million (mainly due to our satellite services segment) and new business proposal costs of $1.4 million (due to our government systems segment and our commercial networks segment). These increases were partially offset by lower support costs of $2.0 million (primarily due to our satellite services segment, offset by our government systems segment). SG&amp;A expenses consisted primarily of personnel costs and expenses for business development, marketing and sales, bid and proposal, facilities, finance, contract administration and general management.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Dollar</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30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13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2,</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3,</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Increase</w:t>
            </w:r>
          </w:p>
        </w:tc>
        <w:tc>
          <w:tcPr>
            <w:tcW w:w="10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2"/>
              <w:spacing w:after="0"/>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2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development</w:t>
            </w:r>
          </w:p>
        </w:tc>
        <w:tc>
          <w:tcPr>
            <w:tcW w:w="14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4"/>
              </w:rPr>
              <w:t>Independent research and</w:t>
            </w:r>
          </w:p>
        </w:tc>
        <w:tc>
          <w:tcPr>
            <w:tcW w:w="230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11.9</w:t>
            </w: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$3.3 million decrease in IR&amp;D expenses reflected decreased IR&amp;D efforts in our commercial networks segment of $2.0 million (primarily due to a decrease in next-generation consumer broadband and next-generation satellite communication systems, offset by an increase in mobile broadband satellite communication systems) and in our government systems segment of $0.9 million (primarily due to a decrease in advancement of integrated government satellite communications platforms).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$1.0 million increase in amortization of acquired intangible assets in the third quarter of fiscal year 2015 compared to the prior year period was the result of our acquisition of NetNearU in June 2014. Current and expected amortization expense for acquired intangible assets for each of the following periods is as follows:</w:t>
      </w:r>
    </w:p>
    <w:p>
      <w:pPr>
        <w:spacing w:after="0" w:line="200" w:lineRule="exact"/>
        <w:rPr>
          <w:sz w:val="20"/>
          <w:szCs w:val="20"/>
          <w:color w:val="auto"/>
        </w:rPr>
      </w:pPr>
    </w:p>
    <w:p>
      <w:pPr>
        <w:spacing w:after="0" w:line="24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January 2, 2015</w:t>
            </w:r>
          </w:p>
        </w:tc>
        <w:tc>
          <w:tcPr>
            <w:tcW w:w="3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w w:val="96"/>
              </w:rPr>
              <w:t>Expected for the remainder of fiscal year 2015</w:t>
            </w:r>
          </w:p>
        </w:tc>
        <w:tc>
          <w:tcPr>
            <w:tcW w:w="3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200" w:type="dxa"/>
            <w:vAlign w:val="bottom"/>
            <w:vMerge w:val="restart"/>
          </w:tcPr>
          <w:p>
            <w:pPr>
              <w:jc w:val="right"/>
              <w:ind w:right="2710"/>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$0.9 million increase in interest income in the three months ended January 2, 2015 compared to the prior year period was primarily due to the recognition of $0.9 million of payments made under the Settlement Agreement as interest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$1.5 million decrease in interest expense in the three months ended January 2, 2015 compared to the prior year period was due primarily to an increase of $1.6 million in the amount of interest capitalized during the third quarter of fiscal year 2015 compared to the same period last fiscal year. This decrease was partially offset by increased interest expense on outstanding borrowings under our revolving credit facility (the Credit Facility) during the third quarter of fiscal year 2015 due primarily to higher outstanding balances compared to the prior year period. Capitalized interest expense during the three months ended January 2, 2015 and January 3, 2014 is related to the construction of ViaSat-2 and other assets.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currently estimate our annual effective income tax expense rate to be approximately 21.2% for fiscal year 2015. For the three months ended January 2, 2015, we recorded an income tax benefit of $3.4 million. The income tax benefit rate for the three months ended January 3, 2014 was less than the income tax benefit rate for the three months ended January 2, 2015, due primarily to federal research and development tax credits recorded in the current year period as a result of the Tax Increase Prevention Act of 2014 enacted on December 19, 2014, which extended the research and development credit from January 1, 2014 to December 31, 2014. In the first two quarters of fiscal year 2015, our estimated annual effective income tax rate did not include the effect of the extension of the research and development tax credit, which resulted in an adjustment of approximately $5.9 million in tax benefits in the third quarter of fiscal year 2015. Also as a result of the extension of the research and development tax credit, approximately $2.4 million of research and development credit generated in the fourth quarter of fiscal year 2014 was recognized as a discrete tax benefit in the third quarter of fiscal year 2015. If the federal research and development tax credit is reinstated through the end of fiscal year 2015, we may have a lower annual effective income tax expense rate for fiscal year 2015, and the amount of any such decrease will depend on the effective date of any such reinstatement, the terms of the reinstatement, as well as the amount of eligible research and development expenses in the reinstated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January 2, 2015 vs. Three Months Ended January 3,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0" w:lineRule="exact"/>
        <w:rPr>
          <w:sz w:val="20"/>
          <w:szCs w:val="20"/>
          <w:color w:val="auto"/>
        </w:rPr>
      </w:pPr>
    </w:p>
    <w:p>
      <w:pPr>
        <w:spacing w:after="0" w:line="28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Dollar</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000" w:type="dxa"/>
            <w:vAlign w:val="bottom"/>
          </w:tcPr>
          <w:p>
            <w:pPr>
              <w:spacing w:after="0"/>
              <w:rPr>
                <w:sz w:val="10"/>
                <w:szCs w:val="10"/>
                <w:color w:val="auto"/>
              </w:rPr>
            </w:pPr>
          </w:p>
        </w:tc>
        <w:tc>
          <w:tcPr>
            <w:tcW w:w="9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3,</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Increase</w:t>
            </w:r>
          </w:p>
        </w:tc>
        <w:tc>
          <w:tcPr>
            <w:tcW w:w="9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0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6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117.7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Our satellite services segment revenues grew by $25.2 million as a result of a $19.0 million increase in service revenues and a $6.1 million increase in product revenues. The increase in service revenues related primarily to retail and wholesale broadband services, and was primarily driven by an increase in the number of our Exede broadband subscribers, as well as higher average revenue per subscriber. Total subscribers grew 9% from approximately 620,000 at January 3, 2014 to approximately 675,000 at January 2, 2015. The increase in product revenues was primarily due to the recognition of $6.0 million of payments under the Settlement Agreement as product revenue in our satellite services segment.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0" w:lineRule="exact"/>
        <w:rPr>
          <w:sz w:val="20"/>
          <w:szCs w:val="20"/>
          <w:color w:val="auto"/>
        </w:rPr>
      </w:pPr>
    </w:p>
    <w:p>
      <w:pPr>
        <w:spacing w:after="0" w:line="28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Dollar</w:t>
            </w: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60" w:type="dxa"/>
            <w:vAlign w:val="bottom"/>
            <w:vMerge w:val="restart"/>
          </w:tcPr>
          <w:p>
            <w:pPr>
              <w:spacing w:after="0"/>
              <w:rPr>
                <w:sz w:val="10"/>
                <w:szCs w:val="10"/>
                <w:color w:val="auto"/>
              </w:rPr>
            </w:pPr>
          </w:p>
        </w:tc>
        <w:tc>
          <w:tcPr>
            <w:tcW w:w="1660" w:type="dxa"/>
            <w:vAlign w:val="bottom"/>
          </w:tcPr>
          <w:p>
            <w:pPr>
              <w:spacing w:after="0"/>
              <w:rPr>
                <w:sz w:val="10"/>
                <w:szCs w:val="10"/>
                <w:color w:val="auto"/>
              </w:rPr>
            </w:pPr>
          </w:p>
        </w:tc>
        <w:tc>
          <w:tcPr>
            <w:tcW w:w="138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w w:val="99"/>
              </w:rPr>
              <w:t>January 2,</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3,</w:t>
            </w:r>
          </w:p>
        </w:tc>
        <w:tc>
          <w:tcPr>
            <w:tcW w:w="780" w:type="dxa"/>
            <w:vAlign w:val="bottom"/>
          </w:tcPr>
          <w:p>
            <w:pPr>
              <w:spacing w:after="0"/>
              <w:rPr>
                <w:sz w:val="10"/>
                <w:szCs w:val="10"/>
                <w:color w:val="auto"/>
              </w:rPr>
            </w:pP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Increase</w:t>
            </w:r>
          </w:p>
        </w:tc>
        <w:tc>
          <w:tcPr>
            <w:tcW w:w="10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3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(9.8)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20.2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040" w:type="dxa"/>
            <w:vAlign w:val="bottom"/>
            <w:gridSpan w:val="3"/>
          </w:tcPr>
          <w:p>
            <w:pPr>
              <w:jc w:val="right"/>
              <w:ind w:right="58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change from an operating loss to an operating profit for our satellite services segment was primarily due to higher earnings contributions of $18.3 million from higher service revenues, primarily due to the continued growth in the size of our Exede broadband services subscriber base, which resulted in increased service revenues and improved margins. In addition, product revenues increased from the Settlement Agreement.</w:t>
      </w:r>
    </w:p>
    <w:p>
      <w:pPr>
        <w:sectPr>
          <w:pgSz w:w="11900" w:h="16838" w:orient="portrait"/>
          <w:cols w:equalWidth="0" w:num="1">
            <w:col w:w="11420"/>
          </w:cols>
          <w:pgMar w:left="240" w:top="459" w:right="239" w:bottom="1440"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0" w:lineRule="exact"/>
        <w:rPr>
          <w:sz w:val="20"/>
          <w:szCs w:val="20"/>
          <w:color w:val="auto"/>
        </w:rPr>
      </w:pPr>
    </w:p>
    <w:p>
      <w:pPr>
        <w:spacing w:after="0" w:line="28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Dollar</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00" w:type="dxa"/>
            <w:vAlign w:val="bottom"/>
          </w:tcPr>
          <w:p>
            <w:pPr>
              <w:spacing w:after="0"/>
              <w:rPr>
                <w:sz w:val="10"/>
                <w:szCs w:val="10"/>
                <w:color w:val="auto"/>
              </w:rPr>
            </w:pPr>
          </w:p>
        </w:tc>
        <w:tc>
          <w:tcPr>
            <w:tcW w:w="13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3,</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Increase</w:t>
            </w:r>
          </w:p>
        </w:tc>
        <w:tc>
          <w:tcPr>
            <w:tcW w:w="10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8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6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Our commercial networks segment revenues decreased by $7.8 million, primarily due to the $8.0 million decrease in product revenues. Of this product revenue decrease, $14.0 million related to fixed satellite networks (driven primarily by our large scale Australian Ka-band infrastructure project as it moves closer to completion as well as consumer broadband products due to reduced revenues from terminal sales, partially offset by our next-generation Ka-band system contract in Canada). This decrease was partially offset by a $6.7 million increase in product revenues for our antenna systems products.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0" w:lineRule="exact"/>
        <w:rPr>
          <w:sz w:val="20"/>
          <w:szCs w:val="20"/>
          <w:color w:val="auto"/>
        </w:rPr>
      </w:pPr>
    </w:p>
    <w:p>
      <w:pPr>
        <w:spacing w:after="0" w:line="28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60" w:type="dxa"/>
            <w:vAlign w:val="bottom"/>
            <w:vMerge w:val="restart"/>
          </w:tcPr>
          <w:p>
            <w:pPr>
              <w:spacing w:after="0"/>
              <w:rPr>
                <w:sz w:val="10"/>
                <w:szCs w:val="10"/>
                <w:color w:val="auto"/>
              </w:rPr>
            </w:pPr>
          </w:p>
        </w:tc>
        <w:tc>
          <w:tcPr>
            <w:tcW w:w="166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2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3,</w:t>
            </w:r>
          </w:p>
        </w:tc>
        <w:tc>
          <w:tcPr>
            <w:tcW w:w="780" w:type="dxa"/>
            <w:vAlign w:val="bottom"/>
          </w:tcPr>
          <w:p>
            <w:pPr>
              <w:spacing w:after="0"/>
              <w:rPr>
                <w:sz w:val="10"/>
                <w:szCs w:val="10"/>
                <w:color w:val="auto"/>
              </w:rPr>
            </w:pPr>
          </w:p>
        </w:tc>
        <w:tc>
          <w:tcPr>
            <w:tcW w:w="9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(Increase)</w:t>
            </w:r>
          </w:p>
        </w:tc>
        <w:tc>
          <w:tcPr>
            <w:tcW w:w="10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7"/>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2015</w:t>
            </w:r>
          </w:p>
        </w:tc>
        <w:tc>
          <w:tcPr>
            <w:tcW w:w="4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3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9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(6.5)</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(7.1)%</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The $1.0 million increase in our commercial networks segment operating loss was primarily due to lower earnings contributions of $2.5 million due mainly to lower revenues from fixed satellite networks (driven primarily by consumer broadband products). In addition, our commercial networks segment experienced lower margins in our fixed satellite networks (driven primarily by consumer broadband products due to a change in the mix towards funded development activities versus terminal production contracts) and in our antenna systems products and services. In addition, the operating loss was due to higher new business proposal and selling costs of $0.6 million, offset by decreased IR&amp;D expenses of $2.0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Dollar</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40" w:type="dxa"/>
            <w:vAlign w:val="bottom"/>
          </w:tcPr>
          <w:p>
            <w:pPr>
              <w:spacing w:after="0"/>
              <w:rPr>
                <w:sz w:val="10"/>
                <w:szCs w:val="10"/>
                <w:color w:val="auto"/>
              </w:rPr>
            </w:pPr>
          </w:p>
        </w:tc>
        <w:tc>
          <w:tcPr>
            <w:tcW w:w="9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2,</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3,</w:t>
            </w:r>
          </w:p>
        </w:tc>
        <w:tc>
          <w:tcPr>
            <w:tcW w:w="600" w:type="dxa"/>
            <w:vAlign w:val="bottom"/>
          </w:tcPr>
          <w:p>
            <w:pPr>
              <w:spacing w:after="0"/>
              <w:rPr>
                <w:sz w:val="10"/>
                <w:szCs w:val="10"/>
                <w:color w:val="auto"/>
              </w:rPr>
            </w:pPr>
          </w:p>
        </w:tc>
        <w:tc>
          <w:tcPr>
            <w:tcW w:w="10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9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6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government systems segment revenues decreased by $10.3 million, due to a $17.7 million decrease in product revenues, offset by a $7.3 million increase in service revenues. The product revenue decrease was primarily due to a $23.2 million revenue decrease in government satellite communication systems (mainly attributable to command and control situational awareness), partially offset by a $4.2 million increase in revenues related to tactical data link products and a $1.1 million increase in information assurance products. Of the service revenue increase, $6.8 million related to NetNearU, our newly acquired subsidiary, and $2.7 million related to government satellite communication systems services (mainly attributable to broadband networking services revenues for military customers).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7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Dollar</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00" w:type="dxa"/>
            <w:vAlign w:val="bottom"/>
            <w:vMerge w:val="restart"/>
          </w:tcPr>
          <w:p>
            <w:pPr>
              <w:spacing w:after="0"/>
              <w:rPr>
                <w:sz w:val="10"/>
                <w:szCs w:val="10"/>
                <w:color w:val="auto"/>
              </w:rPr>
            </w:pPr>
          </w:p>
        </w:tc>
        <w:tc>
          <w:tcPr>
            <w:tcW w:w="10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9"/>
              </w:rPr>
              <w:t>January 2,</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January 3,</w:t>
            </w:r>
          </w:p>
        </w:tc>
        <w:tc>
          <w:tcPr>
            <w:tcW w:w="70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Increase</w:t>
            </w:r>
          </w:p>
        </w:tc>
        <w:tc>
          <w:tcPr>
            <w:tcW w:w="10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370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3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37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20.0</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21.5</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$1.5 million decrease in our government systems segment operating profit reflected higher new business proposal, support and selling costs of $2.8 million, offset by decreased IR&amp;D expenses of $0.9 million and higher earnings contributions of $0.4 million.</w:t>
      </w:r>
    </w:p>
    <w:p>
      <w:pPr>
        <w:spacing w:after="0" w:line="275" w:lineRule="exact"/>
        <w:rPr>
          <w:sz w:val="20"/>
          <w:szCs w:val="20"/>
          <w:color w:val="auto"/>
        </w:rPr>
      </w:pPr>
    </w:p>
    <w:p>
      <w:pPr>
        <w:ind w:right="5480"/>
        <w:spacing w:after="0" w:line="407" w:lineRule="auto"/>
        <w:rPr>
          <w:sz w:val="20"/>
          <w:szCs w:val="20"/>
          <w:color w:val="auto"/>
        </w:rPr>
      </w:pPr>
      <w:r>
        <w:rPr>
          <w:rFonts w:ascii="Arial" w:cs="Arial" w:eastAsia="Arial" w:hAnsi="Arial"/>
          <w:sz w:val="18"/>
          <w:szCs w:val="18"/>
          <w:b w:val="1"/>
          <w:bCs w:val="1"/>
          <w:color w:val="auto"/>
        </w:rPr>
        <w:t xml:space="preserve">Nine Months Ended January 2, 2015 vs. Nine Months Ended January 3, 2014 </w:t>
      </w:r>
      <w:r>
        <w:rPr>
          <w:rFonts w:ascii="Arial" w:cs="Arial" w:eastAsia="Arial" w:hAnsi="Arial"/>
          <w:sz w:val="18"/>
          <w:szCs w:val="18"/>
          <w:i w:val="1"/>
          <w:iCs w:val="1"/>
          <w:color w:val="auto"/>
        </w:rPr>
        <w:t>Revenues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234"/>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Dollar</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6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28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January 3,</w:t>
            </w:r>
          </w:p>
        </w:tc>
        <w:tc>
          <w:tcPr>
            <w:tcW w:w="540" w:type="dxa"/>
            <w:vAlign w:val="bottom"/>
          </w:tcPr>
          <w:p>
            <w:pPr>
              <w:spacing w:after="0"/>
              <w:rPr>
                <w:sz w:val="10"/>
                <w:szCs w:val="10"/>
                <w:color w:val="auto"/>
              </w:rPr>
            </w:pPr>
          </w:p>
        </w:tc>
        <w:tc>
          <w:tcPr>
            <w:tcW w:w="94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Increase</w:t>
            </w: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4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2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0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481.4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60.3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1,017.8</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1,007.5</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total revenues increased by $10.2 million as a result of the $60.3 million increase in service revenues, offset by the $50.0 million decrease in product revenues. The service revenue increase was comprised of $57.2 million in our satellite services segment and $6.2 million in our government systems segment, offset by a decrease of $3.1 million in our commercial networks segment. The product revenue decrease was comprised of $44.2 million in our government systems segment and $33.3 million in our commercial networks segment, offset by an increase of $27.4 million in our satellite services segment (related to the Settlement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Dollar</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4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9"/>
              </w:rPr>
              <w:t>January 2,</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January 3,</w:t>
            </w:r>
          </w:p>
        </w:tc>
        <w:tc>
          <w:tcPr>
            <w:tcW w:w="600" w:type="dxa"/>
            <w:vAlign w:val="bottom"/>
          </w:tcPr>
          <w:p>
            <w:pPr>
              <w:spacing w:after="0"/>
              <w:rPr>
                <w:sz w:val="10"/>
                <w:szCs w:val="10"/>
                <w:color w:val="auto"/>
              </w:rPr>
            </w:pPr>
          </w:p>
        </w:tc>
        <w:tc>
          <w:tcPr>
            <w:tcW w:w="10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9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36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330.6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313.0</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17.6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revenues decreased by $27.2 million due to a decrease in cost of product revenues of $44.8 million, offset by a $17.6 million increase in cost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service revenues. The cost of product revenues decrease was primarily due to a decrease in product revenues, causing a $56.1 million decrease in cost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revenues on a constant margin basis, prior to the effects of product revenues related to the implied license under the Settlement Agreement. This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product revenues decrease mainly related to our government systems segment from government satellite communication systems (driven by command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situational awareness) and to our commercial networks segment from fixed satellite networks (driven by consumer broadband products). The above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$56.1 million decrease in cost of product revenues on a constant margin basis was offset by lower margins from our commercial networks segment from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satellite networks (driven by consumer broadband products), mobile broadband satellite communication systems products, and antenna systems products.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of service revenues increase was primarily due to increased service revenues, which caused a $44.8 million increase in cost of service revenues 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constant margin basis. This increase mainly related to our Exede broadband services in our satellite services segment. However, as our Exede subscribers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continued to grow and related revenues scale, we have also experienced improved margins from our broadband services in our satellite services segment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offsetting the cost of service growth. Additionally, we have experienced improved margins in our government systems segment related to our government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satellite communication systems services.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00" w:type="dxa"/>
            <w:vAlign w:val="bottom"/>
            <w:gridSpan w:val="4"/>
          </w:tcPr>
          <w:p>
            <w:pPr>
              <w:ind w:left="34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Dollar</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80" w:type="dxa"/>
            <w:vAlign w:val="bottom"/>
            <w:vMerge w:val="restart"/>
          </w:tcPr>
          <w:p>
            <w:pPr>
              <w:spacing w:after="0"/>
              <w:rPr>
                <w:sz w:val="10"/>
                <w:szCs w:val="10"/>
                <w:color w:val="auto"/>
              </w:rPr>
            </w:pPr>
          </w:p>
        </w:tc>
        <w:tc>
          <w:tcPr>
            <w:tcW w:w="12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3,</w:t>
            </w:r>
          </w:p>
        </w:tc>
        <w:tc>
          <w:tcPr>
            <w:tcW w:w="580" w:type="dxa"/>
            <w:vAlign w:val="bottom"/>
          </w:tcPr>
          <w:p>
            <w:pPr>
              <w:spacing w:after="0"/>
              <w:rPr>
                <w:sz w:val="10"/>
                <w:szCs w:val="10"/>
                <w:color w:val="auto"/>
              </w:rPr>
            </w:pPr>
          </w:p>
        </w:tc>
        <w:tc>
          <w:tcPr>
            <w:tcW w:w="10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Increase</w:t>
            </w: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398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5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194.5</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207.5</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(13.0)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$13.0 million decrease in SG&amp;A expenses was primarily attributable to the recognition of $18.7 million of payments made under the Settlement Agreement as a reduction to SG&amp;A expenses in our satellite services segment. Additionally, the decrease in SG&amp;A expenses included lower selling costs of $4.5 million (primarily due to our satellite services segment), offset by an increase in new business proposal costs of $7.4 million (mainly due to our government systems segment). SG&amp;A expenses consisted primarily of personnel costs and expenses for business development, marketing and sales, bid and proposal, facilities, finance, contract administration and general management.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Dollar</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400" w:type="dxa"/>
            <w:vAlign w:val="bottom"/>
            <w:vMerge w:val="restart"/>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3,</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Increase</w:t>
            </w:r>
          </w:p>
        </w:tc>
        <w:tc>
          <w:tcPr>
            <w:tcW w:w="9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2400" w:type="dxa"/>
            <w:vAlign w:val="bottom"/>
            <w:tcBorders>
              <w:bottom w:val="single" w:sz="8" w:color="CCEEFF"/>
            </w:tcBorders>
            <w:vMerge w:val="continue"/>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4"/>
              </w:rPr>
              <w:t>Independent research and</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33.2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(11.0)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$11.0 million decrease in IR&amp;D expenses reflected decreased IR&amp;D efforts in our government systems segment of $5.4 million (primarily due to a decrease in advancement of integrated government satellite communications platforms and development of next-generation dual band mobility solutions, offset by an increase in information assurance projects) and a decrease in our commercial networks segment of $5.0 million (primarily due to a decrease in next-generation consumer broadband and next-generation satellite communication systems, offset by an increase in mobile broadband satellite communication systems).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$2.4 million increase in amortization of acquired intangible assets in the first nine months of fiscal year 2015 compared to the prior year period was primarily the result of our acquisition of NetNearU in June 2014. Current and expected amortization expense for acquired intangible assets for each of the following periods is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January 2, 2015</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13,338</w:t>
            </w:r>
          </w:p>
        </w:tc>
        <w:tc>
          <w:tcPr>
            <w:tcW w:w="100" w:type="dxa"/>
            <w:vAlign w:val="bottom"/>
            <w:shd w:val="clear" w:color="auto" w:fill="CCEEFF"/>
          </w:tcPr>
          <w:p>
            <w:pPr>
              <w:spacing w:after="0"/>
              <w:rPr>
                <w:sz w:val="18"/>
                <w:szCs w:val="18"/>
                <w:color w:val="auto"/>
              </w:rPr>
            </w:pPr>
          </w:p>
        </w:tc>
      </w:tr>
      <w:tr>
        <w:trPr>
          <w:trHeight w:val="324"/>
        </w:trPr>
        <w:tc>
          <w:tcPr>
            <w:tcW w:w="6760" w:type="dxa"/>
            <w:vAlign w:val="bottom"/>
          </w:tcPr>
          <w:p>
            <w:pPr>
              <w:spacing w:after="0"/>
              <w:rPr>
                <w:sz w:val="20"/>
                <w:szCs w:val="20"/>
                <w:color w:val="auto"/>
              </w:rPr>
            </w:pPr>
            <w:r>
              <w:rPr>
                <w:rFonts w:ascii="Arial" w:cs="Arial" w:eastAsia="Arial" w:hAnsi="Arial"/>
                <w:sz w:val="18"/>
                <w:szCs w:val="18"/>
                <w:color w:val="auto"/>
              </w:rPr>
              <w:t>Expected for the remainder of fiscal year 2015</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24"/>
                <w:szCs w:val="24"/>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15,019</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46,529</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$1.2 million increase in interest income in the nine months ended January 2, 2015 compared to the prior year period was primarily due to the recognition of $1.2 million of payments made under the Settlement Agreement as interest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$4.6 million decrease in interest expense in the nine months ended January 2, 2015 compared to the prior year period was due primarily to an increase of $5.4 million in the amount of interest capitalized during the first nine months of fiscal year 2015 compared to the same period last fiscal year. This decrease was partially offset by increased interest expense on outstanding borrowings under our Credit Facility during the first nine months of fiscal year 2015 due primarily to higher outstanding balances compared to the prior year period. Capitalized interest expense during the nine months ended January 2, 2015 and January 3, 2014 is related to the construction of ViaSat-2 and other assets.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currently estimate our annual effective income tax expense rate to be approximately 21.2% for fiscal year 2015. For the nine months ended January 2, 2015, we recorded income tax expense of $7.6 million. The income tax benefit rate for the nine months ended January 3, 2014 was greater than the income tax expense rate for the nine months ended January 2, 2015, due primarily to the release of a valuation allowance of $2.7 million on state net operating loss carryforwards during the prior year period and the recording in the current period of federal research and development tax credits as a result of the Tax Increase Prevention Act of 2014 enacted on December 19, 2014, which extended the research and development credit from January 1, 2014 to December 31, 2014. In the first two quarters of fiscal year 2015, our estimated annual effective income tax rate did not include the effect of the extension of the research and development tax credit, which resulted in an adjustment of approximately $5.9 million in tax benefits in the third quarter of fiscal year 2015. Also as a result of the extension of the research and development tax credit, approximately $2.4 million of research and development credit generated in the fourth quarter of fiscal year 2014 was recognized as a discrete tax benefit in the third quarter of fiscal year 2015. If the federal research and development tax credit is reinstated through the end of fiscal year 2015, we may have a lower annual effective income tax expense rate for fiscal year 2015, and the amount of any such decrease will depend on the effective date of any such reinstatement, the terms of the reinstatement, as well as the amount of eligible research and development expenses in the reinstated period.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Nine Months Ended January 2, 2015 vs. Nine Months Ended January 3,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Dollar</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6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3,</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Increase</w:t>
            </w:r>
          </w:p>
        </w:tc>
        <w:tc>
          <w:tcPr>
            <w:tcW w:w="9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2014</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6"/>
              </w:rPr>
              <w:t>(Decrease)</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9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6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342.0</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284.8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57.2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satellite services segment revenues grew by $84.6 million as a result of a $57.2 million increase in service revenues and a $27.4 million increase in product revenues. The increase in service revenues related primarily to retail and wholesale broadband services, and was primarily driven by an increase in the number of Exede broadband subscribers, as well as related higher average revenue per subscriber. Total subscribers grew 9% from approximately 620,000 at January 3, 2014 to approximately 675,000 at January 2, 2015. The service revenue increase also included the expansion of our in-flight Wi-Fi service with over 270 aircraft in service as of the end of the third quarter of fiscal year 2015. The increase in product revenues was primarily due to the recognition of $27.0 million of payments under the Settlement Agreement as product revenue in our satellite services segment.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2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Dollar</w:t>
            </w: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60" w:type="dxa"/>
            <w:vAlign w:val="bottom"/>
            <w:vMerge w:val="restart"/>
          </w:tcPr>
          <w:p>
            <w:pPr>
              <w:spacing w:after="0"/>
              <w:rPr>
                <w:sz w:val="10"/>
                <w:szCs w:val="10"/>
                <w:color w:val="auto"/>
              </w:rPr>
            </w:pPr>
          </w:p>
        </w:tc>
        <w:tc>
          <w:tcPr>
            <w:tcW w:w="1660" w:type="dxa"/>
            <w:vAlign w:val="bottom"/>
          </w:tcPr>
          <w:p>
            <w:pPr>
              <w:spacing w:after="0"/>
              <w:rPr>
                <w:sz w:val="10"/>
                <w:szCs w:val="10"/>
                <w:color w:val="auto"/>
              </w:rPr>
            </w:pPr>
          </w:p>
        </w:tc>
        <w:tc>
          <w:tcPr>
            <w:tcW w:w="138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w w:val="99"/>
              </w:rPr>
              <w:t>January 2,</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January 3,</w:t>
            </w:r>
          </w:p>
        </w:tc>
        <w:tc>
          <w:tcPr>
            <w:tcW w:w="780" w:type="dxa"/>
            <w:vAlign w:val="bottom"/>
          </w:tcPr>
          <w:p>
            <w:pPr>
              <w:spacing w:after="0"/>
              <w:rPr>
                <w:sz w:val="10"/>
                <w:szCs w:val="10"/>
                <w:color w:val="auto"/>
              </w:rPr>
            </w:pP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Increase</w:t>
            </w:r>
          </w:p>
        </w:tc>
        <w:tc>
          <w:tcPr>
            <w:tcW w:w="10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3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47.8</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(37.4)</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85.2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040" w:type="dxa"/>
            <w:vAlign w:val="bottom"/>
            <w:gridSpan w:val="3"/>
          </w:tcPr>
          <w:p>
            <w:pPr>
              <w:jc w:val="right"/>
              <w:ind w:right="580"/>
              <w:spacing w:after="0"/>
              <w:rPr>
                <w:sz w:val="20"/>
                <w:szCs w:val="20"/>
                <w:color w:val="auto"/>
              </w:rPr>
            </w:pPr>
            <w:r>
              <w:rPr>
                <w:rFonts w:ascii="Arial" w:cs="Arial" w:eastAsia="Arial" w:hAnsi="Arial"/>
                <w:sz w:val="18"/>
                <w:szCs w:val="18"/>
                <w:color w:val="auto"/>
              </w:rPr>
              <w:t>12.9%</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(13.1)%</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change from an operating loss to an operating profit for our satellite services segment was primarily due to higher earnings contributions of $59.2 million. Continued growth in the size of our Exede broadband services subscriber base resulted in increased service revenues and improved margins. In addition, our satellite services segment operating profit included $45.7 million from the Settlement Agreement, which resulted in increased product revenues and a decrease in SG&amp;A expenses. Selling costs also decreased due to decreased sales and marketing support costs, reflecting a more established consumer broadband subscriber base. Additionally, legal expense decreased as a result of the Settlement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Dollar</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40" w:type="dxa"/>
            <w:vAlign w:val="bottom"/>
          </w:tcPr>
          <w:p>
            <w:pPr>
              <w:spacing w:after="0"/>
              <w:rPr>
                <w:sz w:val="10"/>
                <w:szCs w:val="10"/>
                <w:color w:val="auto"/>
              </w:rPr>
            </w:pPr>
          </w:p>
        </w:tc>
        <w:tc>
          <w:tcPr>
            <w:tcW w:w="9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2,</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3,</w:t>
            </w:r>
          </w:p>
        </w:tc>
        <w:tc>
          <w:tcPr>
            <w:tcW w:w="600" w:type="dxa"/>
            <w:vAlign w:val="bottom"/>
          </w:tcPr>
          <w:p>
            <w:pPr>
              <w:spacing w:after="0"/>
              <w:rPr>
                <w:sz w:val="10"/>
                <w:szCs w:val="10"/>
                <w:color w:val="auto"/>
              </w:rPr>
            </w:pPr>
          </w:p>
        </w:tc>
        <w:tc>
          <w:tcPr>
            <w:tcW w:w="10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9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6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380"/>
          </w:cols>
          <w:pgMar w:left="240" w:top="459" w:right="279" w:bottom="1440" w:gutter="0" w:footer="0" w:header="0"/>
        </w:sectPr>
      </w:pPr>
    </w:p>
    <w:p>
      <w:pPr>
        <w:jc w:val="center"/>
        <w:ind w:right="-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80"/>
          </w:cols>
          <w:pgMar w:left="240" w:top="459" w:right="2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commercial networks segment revenues decreased by $36.3 million, primarily due to the $33.3 million decrease in product revenues. Of this product revenue decrease, $51.9 million related to fixed satellite networks (driven primarily by our large scale Australian Ka-band infrastructure project as it moves closer to completion as well as consumer broadband products due to reduced revenues from terminal sales, partially offset by our next-generation Ka-band system contract in Canada). Our satellite networking development programs revenues also decreased $3.2 million. These decreases were partially offset by a $23.7 million increase in product revenues for our antenna systems products.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Dollar</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80" w:type="dxa"/>
            <w:vAlign w:val="bottom"/>
            <w:vMerge w:val="restart"/>
          </w:tcPr>
          <w:p>
            <w:pPr>
              <w:spacing w:after="0"/>
              <w:rPr>
                <w:sz w:val="10"/>
                <w:szCs w:val="10"/>
                <w:color w:val="auto"/>
              </w:rPr>
            </w:pPr>
          </w:p>
        </w:tc>
        <w:tc>
          <w:tcPr>
            <w:tcW w:w="1440" w:type="dxa"/>
            <w:vAlign w:val="bottom"/>
            <w:tcBorders>
              <w:top w:val="single" w:sz="8" w:color="auto"/>
            </w:tcBorders>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w w:val="99"/>
              </w:rPr>
              <w:t>January 2,</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3,</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(Increase)</w:t>
            </w:r>
          </w:p>
        </w:tc>
        <w:tc>
          <w:tcPr>
            <w:tcW w:w="10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7"/>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358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3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3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(20.8)</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(17.2)</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$17.2 million increase in our commercial networks segment operating loss was primarily due to lower earnings contributions of $20.9 million from lower revenues due to fixed satellite networks (driven primarily by consumer broadband products), as well as lower margins resulting from a change in the mix towards funded development activities versus terminal production contracts in our fixed satellite networks (driven primarily by consumer broadband products). We also experienced lower margins in our mobile broadband satellite communication systems products and antenna systems and services.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Dollar</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4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9"/>
              </w:rPr>
              <w:t>January 2,</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January 3,</w:t>
            </w:r>
          </w:p>
        </w:tc>
        <w:tc>
          <w:tcPr>
            <w:tcW w:w="600" w:type="dxa"/>
            <w:vAlign w:val="bottom"/>
          </w:tcPr>
          <w:p>
            <w:pPr>
              <w:spacing w:after="0"/>
              <w:rPr>
                <w:sz w:val="10"/>
                <w:szCs w:val="10"/>
                <w:color w:val="auto"/>
              </w:rPr>
            </w:pPr>
          </w:p>
        </w:tc>
        <w:tc>
          <w:tcPr>
            <w:tcW w:w="10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9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6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government systems segment revenues decreased by $38.0 million, due primarily to a $44.2 million decrease in product revenues. The product revenue decrease was primarily due to a $76.8 million revenue decrease in government satellite communication systems (mainly attributable to command and control situational awareness) and a $6.9 million decrease in tactical satcom radio products (relating to our majority-owned subsidiary TrellisWare Technologies, Inc.), partially offset by a $25.8 million increase in revenues related to tactical data link products and by a $12.9 million increase in information assurance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Dollar</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80" w:type="dxa"/>
            <w:vAlign w:val="bottom"/>
            <w:vMerge w:val="restart"/>
          </w:tcPr>
          <w:p>
            <w:pPr>
              <w:spacing w:after="0"/>
              <w:rPr>
                <w:sz w:val="10"/>
                <w:szCs w:val="10"/>
                <w:color w:val="auto"/>
              </w:rPr>
            </w:pPr>
          </w:p>
        </w:tc>
        <w:tc>
          <w:tcPr>
            <w:tcW w:w="1680" w:type="dxa"/>
            <w:vAlign w:val="bottom"/>
          </w:tcPr>
          <w:p>
            <w:pPr>
              <w:spacing w:after="0"/>
              <w:rPr>
                <w:sz w:val="10"/>
                <w:szCs w:val="10"/>
                <w:color w:val="auto"/>
              </w:rPr>
            </w:pPr>
          </w:p>
        </w:tc>
        <w:tc>
          <w:tcPr>
            <w:tcW w:w="110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9"/>
              </w:rPr>
              <w:t>January 2,</w:t>
            </w:r>
          </w:p>
        </w:tc>
        <w:tc>
          <w:tcPr>
            <w:tcW w:w="2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January 3,</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Increase</w:t>
            </w:r>
          </w:p>
        </w:tc>
        <w:tc>
          <w:tcPr>
            <w:tcW w:w="10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jc w:val="right"/>
              <w:ind w:right="125"/>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104"/>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1980" w:type="dxa"/>
            <w:vAlign w:val="bottom"/>
            <w:vMerge w:val="restart"/>
            <w:shd w:val="clear" w:color="auto" w:fill="CCEEFF"/>
          </w:tcPr>
          <w:p>
            <w:pPr>
              <w:spacing w:after="0" w:line="20" w:lineRule="exact"/>
              <w:rPr>
                <w:sz w:val="1"/>
                <w:szCs w:val="1"/>
                <w:color w:val="auto"/>
              </w:rPr>
            </w:pPr>
          </w:p>
        </w:tc>
        <w:tc>
          <w:tcPr>
            <w:tcW w:w="1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980" w:type="dxa"/>
            <w:vAlign w:val="bottom"/>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49.8</w:t>
            </w:r>
          </w:p>
        </w:tc>
        <w:tc>
          <w:tcPr>
            <w:tcW w:w="4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56.3</w:t>
            </w:r>
          </w:p>
        </w:tc>
        <w:tc>
          <w:tcPr>
            <w:tcW w:w="4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780" w:type="dxa"/>
            <w:vAlign w:val="bottom"/>
            <w:gridSpan w:val="3"/>
          </w:tcPr>
          <w:p>
            <w:pPr>
              <w:jc w:val="right"/>
              <w:ind w:right="300"/>
              <w:spacing w:after="0"/>
              <w:rPr>
                <w:sz w:val="20"/>
                <w:szCs w:val="20"/>
                <w:color w:val="auto"/>
              </w:rPr>
            </w:pPr>
            <w:r>
              <w:rPr>
                <w:rFonts w:ascii="Arial" w:cs="Arial" w:eastAsia="Arial" w:hAnsi="Arial"/>
                <w:sz w:val="18"/>
                <w:szCs w:val="18"/>
                <w:color w:val="auto"/>
              </w:rPr>
              <w:t>12.9%</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$6.5 million decrease in our government systems segment operating profit reflected higher new business proposal, support and selling costs of $11.1 million, offset by lower IR&amp;D costs of $5.4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reflected in the table below, our overall firm and funded backlog increased during the first nine months of fiscal year 2015. The increases in both firm and funded backlog were due to increases in both our government systems and satellite services segments.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rPr>
              <w:t>January 2, 2015</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rPr>
              <w:t>April 4,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ind w:left="720"/>
              <w:spacing w:after="0" w:line="142" w:lineRule="exact"/>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225.4</w:t>
            </w:r>
          </w:p>
        </w:tc>
        <w:tc>
          <w:tcPr>
            <w:tcW w:w="7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w:t>
            </w: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r>
              <w:rPr>
                <w:rFonts w:ascii="Arial" w:cs="Arial" w:eastAsia="Arial" w:hAnsi="Arial"/>
                <w:sz w:val="18"/>
                <w:szCs w:val="18"/>
                <w:u w:val="single" w:color="auto"/>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362.7</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r>
              <w:rPr>
                <w:rFonts w:ascii="Arial" w:cs="Arial" w:eastAsia="Arial" w:hAnsi="Arial"/>
                <w:sz w:val="18"/>
                <w:szCs w:val="18"/>
                <w:u w:val="single" w:color="auto"/>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firm backlog does not include contract options. Of the $992.9 million in firm backlog, $200.5 million is expected to be delivered during the remaining three months of fiscal year 2015, and the balance is expected to be delivered in fiscal year 2016 and thereafter. We include in our backlog only those orders for which we have accepted purchase orders.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total new awards were $313.1 million and $1,122.1 million for the three and nine months ended January 2, 2015, respectively, compared to $326.8 million and $971.9 million for the three and nine months ended January 3, 2014, respectively.</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and equity financing. At January 2, 2015, we had $97.6 million in cash and cash equivalents, $307.8 million in working capital, and $235.0 million in outstanding borrowings under our Credit Facility. At April 4, 2014, we had $58.3 million in cash and cash equivalents, $256.8 million in working capital and $105.0 million in outstanding borrowings under our Credit Facility. We invest our cash in excess of current operating requirements in short-term, interest-bearing, investment-grade securities.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ViaSat-2 satellite project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of capital expenditure payments (e.g., payments under satellite construction and launch contracts) and of network expansion activities, as well as the quality of customer, type of contract and payment terms. In our commercial networks segment, cash needs tend to be driven primarily by the type and mix of contracts in backlog, the nature and quality of customers, the level of investments in IR&amp;D activities and the payment terms of customers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88"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To further enhance our liquidity position or to finance the construction and launch of ViaSat-2 and any future satellites, we may obtain additional financing, which could consist of debt, convertible debt or equity financing from public and/or private credit and capital markets. 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Cash provided by operating activities for the first nine months of fiscal year 2015 was $271.4 million compared to $134.9 million in the prior year period. This $136.5 million increase was primarily driven by our operating results (net income adjusted for depreciation, amortization and other non-cash charges) which generated $96.8 million of higher cash inflows in addition to a $39.7 million year-over-year decrease in cash used to fund net operating assets needs. The decrease in cash used to fund net operating assets during the first nine months of fiscal year 2015 when compared to the first nine months of fiscal year 2014 was due to lower combined billed and unbilled accounts receivable, net, attributable to the timing of contractual milestones on our larger development programs, as well as a decrease in cash used for inventory, in our commercial networks segment.</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used in investing activities for the first nine months of fiscal year 2015 was $366.6 million compared to $280.5 million in the prior year period. The increase in cash used in investing activities reflects an increase of $67.6 million in cash used for the construction of our ViaSat-2 satellite and an increase of $54.1 million in cash used for acquisitions, offset by a $39.8 million decrease in capital expenditures for new CPE units and other general purpose equipment.</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Cash provided by financing activities for the first nine months of fiscal year 2015 was $134.7 million compared to $81.2 million for the prior year period. This $53.6 million increase in cash provided by financing activities was primarily related to the $130.0 million in net proceeds from borrowings under our Credit Facility during the first nine of fiscal year 2015 compared to $85.0 million in the prior year period.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service-related activities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May 2013, we entered into an agreement to purchase ViaSat-2, our second high-capacity Ka-band satellite, from The Boeing Company (Boeing) at a price of approximately $358.0 million, plus an additional amount for launch support services to be performed by Boeing. The projected total cost of the ViaSat-2 project, including the satellite, launch, insurance and related gateway infrastructure, through satellite launch is estimated to be between $600.0 million to $650.0 million, and will depend on the timing of the gateway infrastructure roll-out. Our total required cash funding may be reduced through various third party agreements, including potential joint service offerings and other strategic partnering arrangements. We believe we have adequate sources of funding for the project, which include our cash on hand, available borrowing capacity and the cash we expect to generate from operations over the next few years. We believe the upcoming launch and roll-out of the ViaSat-2 satellite and related ground infrastructure will impact our financial results in our satellite services segment in future periods, although we expect the relative impact to be less than we experienced in relation to the launch and roll-out of our ViaSat-1 satellite and related ground infrastructure.</w:t>
      </w:r>
    </w:p>
    <w:p>
      <w:pPr>
        <w:spacing w:after="0" w:line="182"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have incurred higher operating costs in connection with the late fiscal year 2012 launch and roll-out of our ViaSat-1 satellite and related ground infrastructure and our Exede broadband services, as well as higher interest expense as we capitalized a lower amount of the interest expense on our outstanding debt in fiscal year 2014 as we were in the early stages of construction of ViaSat-2, our second high-capacity Ka-band satellite. These higher operating costs included costs associated with depreciation, gateway connectivity, subscriber acquisition costs, logistics, customer care and various support systems. These additional operating costs attributed to our Exede service commencement have negatively impacted income from operations during recent fiscal years. As the total number of subscribers of our Exede broadband services has increased over time, the resultant increase in service revenues in our satellite services segment has improved income (loss) from operations for that segment, despite the additional litigation expense we have incurred to protect our proprietary technology, which was resolved in our favor during the second quarter of fiscal year 2015. At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end of the third quarter of fiscal year 2015, we had approximately 675,000 subscribers, however there can be no assurance that the number of subscribers of our Exede broadband services and service revenues in our satellite services segment will increase in any future period. We also expect to continue to invest in subscriber acquisition costs during fiscal year 2015 as we further expand our subscriber base as well as make additional investments for ViaSat-2.</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January 2, 2015, the Credit Facility provided a $500.0 million revolving line of credit (including up to $150.0 million of letters of credit) with a maturity date of November 26, 2018. Borrowings under the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January 2, 2015, the weighted average effective interest rate on our outstanding borrowings under the Credit Facility was 2.17%. The Credit Facility is required to be guaranteed by certain significant domestic subsidiaries of ViaSat (as defined in the Credit Facility) and secured by substantially all of our assets. As of January 2, 2015, none of our subsidiaries guaranteed the Credit Facility.</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Credit Facility contains financial covenants regarding a maximum total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At January 2, 2015, we had $235.0 million in principal amount of outstanding borrowings under the Credit Facility and $40.5 million outstanding under standby letters of credit, leaving borrowing availability under the Credit Facility as of January 2, 2015 of $224.5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condensed consolidated financial statements. On October 12,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condensed consolidated financial statements and is being amortized as a reduction to interest expense on an effective interest rate basis over the term of those 2020 Notes.</w:t>
      </w:r>
    </w:p>
    <w:p>
      <w:pPr>
        <w:spacing w:after="0" w:line="17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2020 Notes are required to be guaranteed on an unsecured senior basis by each of our existing and future subsidiaries that guarantees the Credit Facility. During the second quarter of fiscal year 2014, the last remaining subsidiary guarantor, ViaSat Communications, Inc., was merged into ViaSat. Accordingly, as of January 2, 2015,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Facility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88"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Prior to June 15, 2015, we may redeem up to 35% of the 2020 Notes at a redemption price of 106.875% of the principal amount thereof, plus accrued and unpaid interest, if any, thereon to the redemption date, from the net cash proceeds of specified equity offerings. We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w:t>
      </w:r>
    </w:p>
    <w:p>
      <w:pPr>
        <w:spacing w:after="0" w:line="2" w:lineRule="exact"/>
        <w:rPr>
          <w:sz w:val="20"/>
          <w:szCs w:val="20"/>
          <w:color w:val="auto"/>
        </w:rPr>
      </w:pPr>
    </w:p>
    <w:p>
      <w:pPr>
        <w:ind w:left="5620" w:right="820" w:hanging="5612"/>
        <w:spacing w:after="0" w:line="433" w:lineRule="auto"/>
        <w:tabs>
          <w:tab w:leader="none" w:pos="2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required interest payments due on such 2020 Notes through June 15, 2016 (excluding accrued but unpaid interest to the date of redemption), 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January 2,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Remainder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9"/>
            <w:vMerge w:val="restart"/>
          </w:tcPr>
          <w:p>
            <w:pPr>
              <w:jc w:val="right"/>
              <w:ind w:right="56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71"/>
        </w:trPr>
        <w:tc>
          <w:tcPr>
            <w:tcW w:w="5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Fiscal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gridSpan w:val="4"/>
            <w:vMerge w:val="continue"/>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2016-2017</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2018-2019</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 and satellite capacity agreements</w:t>
            </w: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205,645</w:t>
            </w: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86,514</w:t>
            </w:r>
          </w:p>
        </w:tc>
        <w:tc>
          <w:tcPr>
            <w:tcW w:w="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40,202</w:t>
            </w:r>
          </w:p>
        </w:tc>
        <w:tc>
          <w:tcPr>
            <w:tcW w:w="1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2020 Notes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792,422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79,063</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79,063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634,296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255,057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10,248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243,523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Satellite performance incentives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34,829</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4,140</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4,723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575,587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307,824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1,865,553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202,252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488,389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419,160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755,752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60" w:right="52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Credit Facility may fluctuate, amounts reflected represent estimated interest payments on our current outstanding balances based on the weighted average effective interest rate at January 2, 2015 until the maturity date in November 2018.</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our ViaSat-2 satellite, and operations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See “Liquidity and Capital Resources – Satellite service-related activities.”</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Our condensed consolidated balance sheets included $41.0 million and $48.9 million of “other liabilities” as of January 2, 2015 and April 4, 2014, respectively, which primarily consisted of the long-term portion of our satellite performance incentives obligation, our long-term warranty obligations, the long-term portion of deferred rent, long-term portion of deferred revenue and long-term deferred income taxes.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had no material off-balance sheet arrangements at January 2, 2015 as defined in Regulation S-K Item 303(a)(4) other than as discussed under Contractual Obligations above or disclosed in the notes to our consolidated financial statements included in this report or in our Annual Report on Form 10-K for the year ended April 4,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recently adopted and issued accounting pronouncements, see Note 1 to the condensed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financial instruments consist of cash and cash equivalents, accounts receivable, accounts payable, short-term and long-term obligations, including the Credit Facility and the 2020 Notes, and foreign currency forward contracts. We consider investments in highly liquid instruments purchased with a remaining maturity of three months or less at the date of purchase to be cash equivalents. As of January 2, 2015, we had $235.0 million in principal amount of outstanding borrowings under our Credit Facility and $575.0 million in aggregate principal amount outstanding of the 2020 Notes, and we held no short-term investments. Our 2020 Notes bear interest at a fixed rate and therefore our exposure to market risk for changes in interest rates relates primarily to borrowings under our Credit Facility, cash equivalents, short-term investments and short-term obligations.</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less than $0.1 million and $0.1 million for the three months ended January 2, 2015 and January 3, 2014, respectively.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 of January 2, 2015, we had $235.0 million in principal amount of outstanding borrowings under our Credit Facility. Our primary interest rate under the Credit Facility is the Eurodollar rate plus an applicable margin that is based on our total leverage ratio. At January 2, 2015, the weighted average effective interest rate on our outstanding borrowings under the Credit Facility was 2.17%. Assuming the outstanding balance remained constant over a year, a 50 basis point increase in the interest rate would increase interest incurred, prior to effects of capitalized interest, by approximately $1.2 million over a twelve-month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 As of January 2, 2015, there were no foreign currency forward contracts outstanding.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January 2, 2015, the end of the period covered by this report. Based upon the foregoing, our Chief Executive Officer and Chief Financial Officer concluded that our disclosure controls and procedures were effective at a reasonable assurance level as of January 2, 2015.</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459" w:right="2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April 4, 2014,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45 is incorporated herein by reference as the list of exhibits required as part of this report.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February 11, 2015</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740"/>
          </w:cols>
          <w:pgMar w:left="240" w:top="459" w:right="9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552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5840" w:type="dxa"/>
            <w:vAlign w:val="bottom"/>
            <w:gridSpan w:val="2"/>
          </w:tcPr>
          <w:p>
            <w:pPr>
              <w:ind w:left="320"/>
              <w:spacing w:after="0"/>
              <w:rPr>
                <w:sz w:val="20"/>
                <w:szCs w:val="20"/>
                <w:color w:val="auto"/>
              </w:rPr>
            </w:pPr>
            <w:r>
              <w:rPr>
                <w:rFonts w:ascii="Arial" w:cs="Arial" w:eastAsia="Arial" w:hAnsi="Arial"/>
                <w:sz w:val="18"/>
                <w:szCs w:val="18"/>
                <w:color w:val="auto"/>
                <w:w w:val="99"/>
              </w:rPr>
              <w:t>Certification of Chief Executive Officer Pursuant to Section 302 of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2"/>
          </w:tcPr>
          <w:p>
            <w:pPr>
              <w:ind w:left="32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5840" w:type="dxa"/>
            <w:vAlign w:val="bottom"/>
            <w:gridSpan w:val="2"/>
          </w:tcPr>
          <w:p>
            <w:pPr>
              <w:ind w:left="320"/>
              <w:spacing w:after="0"/>
              <w:rPr>
                <w:sz w:val="20"/>
                <w:szCs w:val="20"/>
                <w:color w:val="auto"/>
              </w:rPr>
            </w:pPr>
            <w:r>
              <w:rPr>
                <w:rFonts w:ascii="Arial" w:cs="Arial" w:eastAsia="Arial" w:hAnsi="Arial"/>
                <w:sz w:val="18"/>
                <w:szCs w:val="18"/>
                <w:color w:val="auto"/>
              </w:rPr>
              <w:t>Certification of Chief Financial Officer Pursuant to Section 302 of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2"/>
          </w:tcPr>
          <w:p>
            <w:pPr>
              <w:ind w:left="32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5840" w:type="dxa"/>
            <w:vAlign w:val="bottom"/>
            <w:gridSpan w:val="2"/>
          </w:tcPr>
          <w:p>
            <w:pPr>
              <w:ind w:left="320"/>
              <w:spacing w:after="0"/>
              <w:rPr>
                <w:sz w:val="20"/>
                <w:szCs w:val="20"/>
                <w:color w:val="auto"/>
              </w:rPr>
            </w:pPr>
            <w:r>
              <w:rPr>
                <w:rFonts w:ascii="Arial" w:cs="Arial" w:eastAsia="Arial" w:hAnsi="Arial"/>
                <w:sz w:val="18"/>
                <w:szCs w:val="18"/>
                <w:color w:val="auto"/>
                <w:w w:val="92"/>
              </w:rPr>
              <w:t>Certifications Pursuant to 18 U.S.C. Section 1350, as Adopted Pursuant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2"/>
          </w:tcPr>
          <w:p>
            <w:pPr>
              <w:ind w:left="32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840" w:type="dxa"/>
            <w:vAlign w:val="bottom"/>
            <w:gridSpan w:val="2"/>
          </w:tcPr>
          <w:p>
            <w:pPr>
              <w:ind w:left="3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84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84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84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84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Labels Linkbase</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84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40" w:type="dxa"/>
            <w:vAlign w:val="bottom"/>
            <w:gridSpan w:val="2"/>
          </w:tcPr>
          <w:p>
            <w:pPr>
              <w:ind w:left="46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32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Filed</w:t>
            </w:r>
          </w:p>
        </w:tc>
      </w:tr>
      <w:tr>
        <w:trPr>
          <w:trHeight w:val="142"/>
        </w:trPr>
        <w:tc>
          <w:tcPr>
            <w:tcW w:w="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Form</w:t>
            </w:r>
          </w:p>
        </w:tc>
        <w:tc>
          <w:tcPr>
            <w:tcW w:w="23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File No.ExhibitFiling Date</w:t>
            </w:r>
          </w:p>
        </w:tc>
        <w:tc>
          <w:tcPr>
            <w:tcW w:w="3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Herewith</w:t>
            </w:r>
          </w:p>
        </w:tc>
      </w:tr>
      <w:tr>
        <w:trPr>
          <w:trHeight w:val="304"/>
        </w:trPr>
        <w:tc>
          <w:tcPr>
            <w:tcW w:w="3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X</w:t>
            </w:r>
          </w:p>
        </w:tc>
      </w:tr>
      <w:tr>
        <w:trPr>
          <w:trHeight w:val="540"/>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540"/>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540"/>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bl>
    <w:p>
      <w:pPr>
        <w:sectPr>
          <w:pgSz w:w="11900" w:h="16838" w:orient="portrait"/>
          <w:cols w:equalWidth="0" w:num="2">
            <w:col w:w="6820" w:space="520"/>
            <w:col w:w="3760"/>
          </w:cols>
          <w:pgMar w:left="240" w:top="459" w:right="5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11, 2015</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11, 2015</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40" w:firstLine="464"/>
        <w:spacing w:after="0" w:line="277"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January 2, 2015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11, 2015</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40" w:firstLine="464"/>
        <w:spacing w:after="0" w:line="277" w:lineRule="auto"/>
        <w:tabs>
          <w:tab w:leader="none" w:pos="7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January 2, 2015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11, 2015</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4"/>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2019-12-29T19:35:46Z</dcterms:created>
  <dcterms:modified xsi:type="dcterms:W3CDTF">2019-12-29T19:35:46Z</dcterms:modified>
</cp:coreProperties>
</file>