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8689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689340"/>
                    </a:xfrm>
                    <a:prstGeom prst="rect">
                      <a:avLst/>
                    </a:prstGeom>
                    <a:noFill/>
                  </pic:spPr>
                </pic:pic>
              </a:graphicData>
            </a:graphic>
          </wp:anchor>
        </w:drawing>
      </w:r>
    </w:p>
    <w:p>
      <w:pPr>
        <w:spacing w:after="0" w:line="1231" w:lineRule="exact"/>
        <w:rPr>
          <w:sz w:val="24"/>
          <w:szCs w:val="24"/>
          <w:color w:val="auto"/>
        </w:rPr>
      </w:pPr>
    </w:p>
    <w:p>
      <w:pPr>
        <w:sectPr>
          <w:pgSz w:w="11900" w:h="16886" w:orient="portrait"/>
          <w:cols w:equalWidth="0" w:num="2">
            <w:col w:w="2300" w:space="30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Chandran Girish</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6155 EL CAMINO REAL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VIASAT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VSAT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06/07/2026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802"/>
        <w:spacing w:after="0"/>
        <w:rPr>
          <w:sz w:val="20"/>
          <w:szCs w:val="20"/>
          <w:color w:val="auto"/>
        </w:rPr>
      </w:pPr>
      <w:r>
        <w:rPr>
          <w:rFonts w:ascii="Times New Roman" w:cs="Times New Roman" w:eastAsia="Times New Roman" w:hAnsi="Times New Roman"/>
          <w:sz w:val="17"/>
          <w:szCs w:val="17"/>
          <w:color w:val="0000FF"/>
        </w:rPr>
        <w:t>CTO, SVP Engineering</w:t>
      </w:r>
    </w:p>
    <w:p>
      <w:pPr>
        <w:spacing w:after="0" w:line="308" w:lineRule="exact"/>
        <w:rPr>
          <w:sz w:val="24"/>
          <w:szCs w:val="24"/>
          <w:color w:val="auto"/>
        </w:rPr>
      </w:pPr>
    </w:p>
    <w:p>
      <w:pPr>
        <w:sectPr>
          <w:pgSz w:w="11900" w:h="16886" w:orient="portrait"/>
          <w:cols w:equalWidth="0" w:num="3">
            <w:col w:w="3180" w:space="720"/>
            <w:col w:w="3118" w:space="720"/>
            <w:col w:w="3342"/>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00" w:type="dxa"/>
            <w:vAlign w:val="bottom"/>
            <w:gridSpan w:val="6"/>
            <w:vMerge w:val="restart"/>
          </w:tcPr>
          <w:p>
            <w:pPr>
              <w:jc w:val="center"/>
              <w:ind w:right="9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1"/>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00" w:type="dxa"/>
            <w:vAlign w:val="bottom"/>
            <w:gridSpan w:val="6"/>
            <w:vMerge w:val="continue"/>
          </w:tcPr>
          <w:p>
            <w:pPr>
              <w:spacing w:after="0"/>
              <w:rPr>
                <w:sz w:val="7"/>
                <w:szCs w:val="7"/>
                <w:color w:val="auto"/>
              </w:rPr>
            </w:pPr>
          </w:p>
        </w:tc>
        <w:tc>
          <w:tcPr>
            <w:tcW w:w="36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92009</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8"/>
          </w:tcPr>
          <w:p>
            <w:pPr>
              <w:ind w:left="18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588"/>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3,681</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5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51,569</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1,986</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67.18</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49,583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8,333</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5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57,916</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4,496</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67.18</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53,420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6,250</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5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59,670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06/07/2026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3,372</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67.18</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56,298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5,756</w:t>
            </w:r>
            <w:r>
              <w:rPr>
                <w:rFonts w:ascii="Times New Roman" w:cs="Times New Roman" w:eastAsia="Times New Roman" w:hAnsi="Times New Roman"/>
                <w:sz w:val="21"/>
                <w:szCs w:val="21"/>
                <w:color w:val="008000"/>
                <w:w w:val="91"/>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176</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spouse's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8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4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8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6"/>
              </w:rPr>
              <w:t>4 and 5)</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08"/>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ind w:right="227"/>
              <w:spacing w:after="0"/>
              <w:rPr>
                <w:sz w:val="20"/>
                <w:szCs w:val="20"/>
                <w:color w:val="auto"/>
              </w:rPr>
            </w:pPr>
            <w:r>
              <w:rPr>
                <w:rFonts w:ascii="Times New Roman" w:cs="Times New Roman" w:eastAsia="Times New Roman" w:hAnsi="Times New Roman"/>
                <w:sz w:val="11"/>
                <w:szCs w:val="11"/>
                <w:color w:val="0000FF"/>
                <w:w w:val="71"/>
              </w:rPr>
              <w:t>0</w:t>
            </w:r>
          </w:p>
        </w:tc>
        <w:tc>
          <w:tcPr>
            <w:tcW w:w="160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color w:val="0000FF"/>
              </w:rPr>
              <w:t>06/07/2026</w:t>
            </w:r>
          </w:p>
        </w:tc>
        <w:tc>
          <w:tcPr>
            <w:tcW w:w="116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M</w:t>
            </w:r>
          </w:p>
        </w:tc>
        <w:tc>
          <w:tcPr>
            <w:tcW w:w="128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3,681</w:t>
            </w:r>
          </w:p>
        </w:tc>
        <w:tc>
          <w:tcPr>
            <w:tcW w:w="62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w w:val="93"/>
              </w:rPr>
              <w:t>3,681</w:t>
            </w:r>
          </w:p>
        </w:tc>
        <w:tc>
          <w:tcPr>
            <w:tcW w:w="580" w:type="dxa"/>
            <w:vAlign w:val="bottom"/>
            <w:vMerge w:val="restart"/>
          </w:tcPr>
          <w:p>
            <w:pPr>
              <w:jc w:val="right"/>
              <w:ind w:right="2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3,681</w:t>
            </w:r>
          </w:p>
        </w:tc>
        <w:tc>
          <w:tcPr>
            <w:tcW w:w="14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vMerge w:val="restart"/>
          </w:tcPr>
          <w:p>
            <w:pPr>
              <w:jc w:val="center"/>
              <w:ind w:left="56"/>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7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ind w:right="227"/>
              <w:spacing w:after="0"/>
              <w:rPr>
                <w:sz w:val="20"/>
                <w:szCs w:val="20"/>
                <w:color w:val="auto"/>
              </w:rPr>
            </w:pPr>
            <w:r>
              <w:rPr>
                <w:rFonts w:ascii="Times New Roman" w:cs="Times New Roman" w:eastAsia="Times New Roman" w:hAnsi="Times New Roman"/>
                <w:sz w:val="11"/>
                <w:szCs w:val="11"/>
                <w:color w:val="0000FF"/>
                <w:w w:val="71"/>
              </w:rPr>
              <w:t>0</w:t>
            </w:r>
          </w:p>
        </w:tc>
        <w:tc>
          <w:tcPr>
            <w:tcW w:w="160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color w:val="0000FF"/>
              </w:rPr>
              <w:t>06/07/2026</w:t>
            </w:r>
          </w:p>
        </w:tc>
        <w:tc>
          <w:tcPr>
            <w:tcW w:w="116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M</w:t>
            </w:r>
          </w:p>
        </w:tc>
        <w:tc>
          <w:tcPr>
            <w:tcW w:w="128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8,333</w:t>
            </w:r>
          </w:p>
        </w:tc>
        <w:tc>
          <w:tcPr>
            <w:tcW w:w="62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w w:val="93"/>
              </w:rPr>
              <w:t>8,333</w:t>
            </w:r>
          </w:p>
        </w:tc>
        <w:tc>
          <w:tcPr>
            <w:tcW w:w="580" w:type="dxa"/>
            <w:vAlign w:val="bottom"/>
            <w:vMerge w:val="restart"/>
          </w:tcPr>
          <w:p>
            <w:pPr>
              <w:jc w:val="right"/>
              <w:ind w:right="2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8,333</w:t>
            </w:r>
          </w:p>
        </w:tc>
        <w:tc>
          <w:tcPr>
            <w:tcW w:w="14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vMerge w:val="restart"/>
          </w:tcPr>
          <w:p>
            <w:pPr>
              <w:jc w:val="center"/>
              <w:ind w:left="56"/>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7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ind w:right="227"/>
              <w:spacing w:after="0"/>
              <w:rPr>
                <w:sz w:val="20"/>
                <w:szCs w:val="20"/>
                <w:color w:val="auto"/>
              </w:rPr>
            </w:pPr>
            <w:r>
              <w:rPr>
                <w:rFonts w:ascii="Times New Roman" w:cs="Times New Roman" w:eastAsia="Times New Roman" w:hAnsi="Times New Roman"/>
                <w:sz w:val="11"/>
                <w:szCs w:val="11"/>
                <w:color w:val="0000FF"/>
                <w:w w:val="71"/>
              </w:rPr>
              <w:t>0</w:t>
            </w:r>
          </w:p>
        </w:tc>
        <w:tc>
          <w:tcPr>
            <w:tcW w:w="160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color w:val="0000FF"/>
              </w:rPr>
              <w:t>06/07/2026</w:t>
            </w:r>
          </w:p>
        </w:tc>
        <w:tc>
          <w:tcPr>
            <w:tcW w:w="116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M</w:t>
            </w:r>
          </w:p>
        </w:tc>
        <w:tc>
          <w:tcPr>
            <w:tcW w:w="128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6,250</w:t>
            </w:r>
          </w:p>
        </w:tc>
        <w:tc>
          <w:tcPr>
            <w:tcW w:w="62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w w:val="93"/>
              </w:rPr>
              <w:t>6,250</w:t>
            </w:r>
          </w:p>
        </w:tc>
        <w:tc>
          <w:tcPr>
            <w:tcW w:w="580" w:type="dxa"/>
            <w:vAlign w:val="bottom"/>
            <w:vMerge w:val="restart"/>
          </w:tcPr>
          <w:p>
            <w:pPr>
              <w:jc w:val="right"/>
              <w:ind w:right="2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6,249</w:t>
            </w:r>
          </w:p>
        </w:tc>
        <w:tc>
          <w:tcPr>
            <w:tcW w:w="14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vMerge w:val="restart"/>
          </w:tcPr>
          <w:p>
            <w:pPr>
              <w:jc w:val="center"/>
              <w:ind w:left="56"/>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7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gridSpan w:val="2"/>
          </w:tcPr>
          <w:p>
            <w:pPr>
              <w:jc w:val="right"/>
              <w:ind w:right="227"/>
              <w:spacing w:after="0"/>
              <w:rPr>
                <w:sz w:val="20"/>
                <w:szCs w:val="20"/>
                <w:color w:val="auto"/>
              </w:rPr>
            </w:pPr>
            <w:r>
              <w:rPr>
                <w:rFonts w:ascii="Times New Roman" w:cs="Times New Roman" w:eastAsia="Times New Roman" w:hAnsi="Times New Roman"/>
                <w:sz w:val="11"/>
                <w:szCs w:val="11"/>
                <w:color w:val="008000"/>
              </w:rPr>
              <w:t>(6)</w:t>
            </w:r>
          </w:p>
        </w:tc>
        <w:tc>
          <w:tcPr>
            <w:tcW w:w="160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0000FF"/>
              </w:rPr>
              <w:t>06/07/2026</w:t>
            </w:r>
          </w:p>
        </w:tc>
        <w:tc>
          <w:tcPr>
            <w:tcW w:w="1160" w:type="dxa"/>
            <w:vAlign w:val="bottom"/>
          </w:tcPr>
          <w:p>
            <w:pPr>
              <w:ind w:left="760"/>
              <w:spacing w:after="0"/>
              <w:rPr>
                <w:sz w:val="20"/>
                <w:szCs w:val="20"/>
                <w:color w:val="auto"/>
              </w:rPr>
            </w:pPr>
            <w:r>
              <w:rPr>
                <w:rFonts w:ascii="Times New Roman" w:cs="Times New Roman" w:eastAsia="Times New Roman" w:hAnsi="Times New Roman"/>
                <w:sz w:val="13"/>
                <w:szCs w:val="13"/>
                <w:color w:val="0000FF"/>
              </w:rPr>
              <w:t>A</w:t>
            </w:r>
          </w:p>
        </w:tc>
        <w:tc>
          <w:tcPr>
            <w:tcW w:w="128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0000FF"/>
              </w:rPr>
              <w:t>24,574</w:t>
            </w:r>
          </w:p>
        </w:tc>
        <w:tc>
          <w:tcPr>
            <w:tcW w:w="62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0000FF"/>
                <w:w w:val="94"/>
              </w:rPr>
              <w:t>24,574</w:t>
            </w:r>
          </w:p>
        </w:tc>
        <w:tc>
          <w:tcPr>
            <w:tcW w:w="580" w:type="dxa"/>
            <w:vAlign w:val="bottom"/>
          </w:tcPr>
          <w:p>
            <w:pPr>
              <w:jc w:val="right"/>
              <w:ind w:right="2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24,574</w:t>
            </w:r>
          </w:p>
        </w:tc>
        <w:tc>
          <w:tcPr>
            <w:tcW w:w="14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60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jc w:val="center"/>
              <w:ind w:left="56"/>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4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gridSpan w:val="2"/>
            <w:vMerge w:val="restart"/>
          </w:tcPr>
          <w:p>
            <w:pPr>
              <w:jc w:val="right"/>
              <w:ind w:right="227"/>
              <w:spacing w:after="0"/>
              <w:rPr>
                <w:sz w:val="20"/>
                <w:szCs w:val="20"/>
                <w:color w:val="auto"/>
              </w:rPr>
            </w:pPr>
            <w:r>
              <w:rPr>
                <w:rFonts w:ascii="Times New Roman" w:cs="Times New Roman" w:eastAsia="Times New Roman" w:hAnsi="Times New Roman"/>
                <w:sz w:val="11"/>
                <w:szCs w:val="11"/>
                <w:color w:val="008000"/>
              </w:rPr>
              <w:t>(6)</w:t>
            </w:r>
          </w:p>
        </w:tc>
        <w:tc>
          <w:tcPr>
            <w:tcW w:w="160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color w:val="0000FF"/>
              </w:rPr>
              <w:t>06/07/2026</w:t>
            </w:r>
          </w:p>
        </w:tc>
        <w:tc>
          <w:tcPr>
            <w:tcW w:w="116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A</w:t>
            </w:r>
          </w:p>
        </w:tc>
        <w:tc>
          <w:tcPr>
            <w:tcW w:w="1280" w:type="dxa"/>
            <w:vAlign w:val="bottom"/>
            <w:vMerge w:val="restart"/>
          </w:tcPr>
          <w:p>
            <w:pPr>
              <w:jc w:val="right"/>
              <w:ind w:right="596"/>
              <w:spacing w:after="0"/>
              <w:rPr>
                <w:sz w:val="20"/>
                <w:szCs w:val="20"/>
                <w:color w:val="auto"/>
              </w:rPr>
            </w:pPr>
            <w:r>
              <w:rPr>
                <w:rFonts w:ascii="Times New Roman" w:cs="Times New Roman" w:eastAsia="Times New Roman" w:hAnsi="Times New Roman"/>
                <w:sz w:val="13"/>
                <w:szCs w:val="13"/>
                <w:color w:val="0000FF"/>
              </w:rPr>
              <w:t>8,191</w:t>
            </w:r>
          </w:p>
        </w:tc>
        <w:tc>
          <w:tcPr>
            <w:tcW w:w="62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(8)</w:t>
            </w:r>
          </w:p>
        </w:tc>
        <w:tc>
          <w:tcPr>
            <w:tcW w:w="62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w w:val="93"/>
              </w:rPr>
              <w:t>8,191</w:t>
            </w:r>
          </w:p>
        </w:tc>
        <w:tc>
          <w:tcPr>
            <w:tcW w:w="580" w:type="dxa"/>
            <w:vAlign w:val="bottom"/>
            <w:vMerge w:val="restart"/>
          </w:tcPr>
          <w:p>
            <w:pPr>
              <w:jc w:val="right"/>
              <w:ind w:right="2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8,191</w:t>
            </w:r>
          </w:p>
        </w:tc>
        <w:tc>
          <w:tcPr>
            <w:tcW w:w="14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gridSpan w:val="2"/>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vMerge w:val="restart"/>
          </w:tcPr>
          <w:p>
            <w:pPr>
              <w:jc w:val="center"/>
              <w:ind w:left="56"/>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7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160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86"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right="80" w:firstLine="1"/>
        <w:spacing w:after="0" w:line="252"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entry represents the number of shares of Viasat, Inc. common stock withheld by the Issuer to satisfy the tax withholding obligation of the Reporting Person. These shares were not sold by the Reporting Person but were instead offset from the total number of vested shares received by the Reporting Person from the Issuer.</w:t>
      </w:r>
    </w:p>
    <w:p>
      <w:pPr>
        <w:spacing w:after="0" w:line="19"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112 shares of common stock the Reporting Person acquired under the Viasat 401(k) Plan since the date of the Reporting Person's last ownership report.</w:t>
      </w:r>
    </w:p>
    <w:p>
      <w:pPr>
        <w:spacing w:after="0" w:line="42" w:lineRule="exact"/>
        <w:rPr>
          <w:rFonts w:ascii="Times New Roman" w:cs="Times New Roman" w:eastAsia="Times New Roman" w:hAnsi="Times New Roman"/>
          <w:sz w:val="13"/>
          <w:szCs w:val="13"/>
          <w:color w:val="008000"/>
        </w:rPr>
      </w:pPr>
    </w:p>
    <w:p>
      <w:pPr>
        <w:ind w:firstLine="1"/>
        <w:spacing w:after="0" w:line="252"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restricted stock unit grant was for 14,725 units on 06/07/2023. Subject to the reporting persons election to defer the receipt of the common stock, the units vest and convert into shares of common stock (on a 1 for 1 basis) at the rate of 1/4 on the 13th month anniversary of the grant date and 1/4 on each of the second, third and fourth anniversary of the grant date.</w:t>
      </w:r>
    </w:p>
    <w:p>
      <w:pPr>
        <w:spacing w:after="0" w:line="19" w:lineRule="exact"/>
        <w:rPr>
          <w:rFonts w:ascii="Times New Roman" w:cs="Times New Roman" w:eastAsia="Times New Roman" w:hAnsi="Times New Roman"/>
          <w:sz w:val="13"/>
          <w:szCs w:val="13"/>
          <w:color w:val="008000"/>
        </w:rPr>
      </w:pPr>
    </w:p>
    <w:p>
      <w:pPr>
        <w:ind w:firstLine="1"/>
        <w:spacing w:after="0" w:line="252"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restricted stock unit grant was for 25,000 units on 06/07/2024. Subject to the reporting persons election to defer the receipt of the common stock, the units vest and convert into shares of common stock (on a 1 for 1 basis) at the rate of 1/3 on the 13th month anniversary of the grant date; 1/3 on the second anniversary of the grant date; and 1/3 on the third anniversary of the grant date.</w:t>
      </w:r>
    </w:p>
    <w:p>
      <w:pPr>
        <w:spacing w:after="0" w:line="19"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remaining restricted stock units will vest on June 7, 2027.</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Viasat, Inc. common stock.</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 and convert into shares of common stock (on a 1-for-1 basis) in three substantially equal installments on June 7, 2027, June 7, 2028 and June 7, 2029.</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 and convert into shares of common stock (on a 1-for-1 basis) on June 7, 2027.</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Until vested, the restricted stock unit shall be subject to forfeiture in the event of termination of employment or service with the Issuer.</w:t>
      </w:r>
    </w:p>
    <w:p>
      <w:pPr>
        <w:spacing w:after="0" w:line="32"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Stacy Nguyen,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06/09/2026</w:t>
            </w:r>
          </w:p>
        </w:tc>
        <w:tc>
          <w:tcPr>
            <w:tcW w:w="0" w:type="dxa"/>
            <w:vAlign w:val="bottom"/>
          </w:tcPr>
          <w:p>
            <w:pPr>
              <w:spacing w:after="0"/>
              <w:rPr>
                <w:sz w:val="1"/>
                <w:szCs w:val="1"/>
                <w:color w:val="auto"/>
              </w:rPr>
            </w:pPr>
          </w:p>
        </w:tc>
      </w:tr>
      <w:tr>
        <w:trPr>
          <w:trHeight w:val="82"/>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360" w:firstLine="1"/>
        <w:spacing w:after="0" w:line="33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52"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06976" TargetMode="External"/><Relationship Id="rId14" Type="http://schemas.openxmlformats.org/officeDocument/2006/relationships/hyperlink" Target="http://www.sec.gov/cgi-bin/browse-edgar?action=getcompany&amp;CIK=0000797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2026-06-09T20:02:19Z</dcterms:created>
  <dcterms:modified xsi:type="dcterms:W3CDTF">2026-06-09T20:02:19Z</dcterms:modified>
</cp:coreProperties>
</file>