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6994525" cy="5522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5522595"/>
                    </a:xfrm>
                    <a:prstGeom prst="rect">
                      <a:avLst/>
                    </a:prstGeom>
                    <a:noFill/>
                  </pic:spPr>
                </pic:pic>
              </a:graphicData>
            </a:graphic>
          </wp:anchor>
        </w:drawing>
      </w:r>
    </w:p>
    <w:p>
      <w:pPr>
        <w:spacing w:after="0" w:line="1231"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Curran Lisa L</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6155 EL CAMINO REAL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VIASAT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VSAT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06/07/2026</w:t>
      </w:r>
    </w:p>
    <w:p>
      <w:pPr>
        <w:spacing w:after="0" w:line="20" w:lineRule="exact"/>
        <w:rPr>
          <w:sz w:val="24"/>
          <w:szCs w:val="24"/>
          <w:color w:val="auto"/>
        </w:rPr>
      </w:pPr>
      <w:r>
        <w:rPr>
          <w:sz w:val="24"/>
          <w:szCs w:val="24"/>
          <w:color w:val="auto"/>
        </w:rPr>
        <w:br w:type="column"/>
      </w:r>
    </w:p>
    <w:p>
      <w:pPr>
        <w:ind w:left="2" w:right="640" w:hanging="2"/>
        <w:spacing w:after="0" w:line="255"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702"/>
        <w:spacing w:after="0"/>
        <w:rPr>
          <w:sz w:val="20"/>
          <w:szCs w:val="20"/>
          <w:color w:val="auto"/>
        </w:rPr>
      </w:pPr>
      <w:r>
        <w:rPr>
          <w:rFonts w:ascii="Times New Roman" w:cs="Times New Roman" w:eastAsia="Times New Roman" w:hAnsi="Times New Roman"/>
          <w:sz w:val="17"/>
          <w:szCs w:val="17"/>
          <w:color w:val="0000FF"/>
        </w:rPr>
        <w:t>CO, Enterprise &amp; Strategy</w:t>
      </w:r>
    </w:p>
    <w:p>
      <w:pPr>
        <w:spacing w:after="0" w:line="308" w:lineRule="exact"/>
        <w:rPr>
          <w:sz w:val="24"/>
          <w:szCs w:val="24"/>
          <w:color w:val="auto"/>
        </w:rPr>
      </w:pPr>
    </w:p>
    <w:p>
      <w:pPr>
        <w:sectPr>
          <w:pgSz w:w="11900" w:h="16838" w:orient="portrait"/>
          <w:cols w:equalWidth="0" w:num="3">
            <w:col w:w="3180" w:space="720"/>
            <w:col w:w="3118" w:space="720"/>
            <w:col w:w="3342"/>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3700" w:type="dxa"/>
            <w:vAlign w:val="bottom"/>
            <w:gridSpan w:val="6"/>
            <w:vMerge w:val="restart"/>
          </w:tcPr>
          <w:p>
            <w:pPr>
              <w:jc w:val="center"/>
              <w:ind w:right="97"/>
              <w:spacing w:after="0"/>
              <w:rPr>
                <w:sz w:val="20"/>
                <w:szCs w:val="20"/>
                <w:color w:val="auto"/>
              </w:rPr>
            </w:pPr>
            <w:r>
              <w:rPr>
                <w:rFonts w:ascii="Arial" w:cs="Arial" w:eastAsia="Arial" w:hAnsi="Arial"/>
                <w:sz w:val="13"/>
                <w:szCs w:val="13"/>
                <w:color w:val="auto"/>
                <w:w w:val="98"/>
              </w:rPr>
              <w:t>4. If Amendment, Date of Original Filed (Month/Day/Year)</w:t>
            </w:r>
          </w:p>
        </w:tc>
        <w:tc>
          <w:tcPr>
            <w:tcW w:w="362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700" w:type="dxa"/>
            <w:vAlign w:val="bottom"/>
            <w:gridSpan w:val="6"/>
            <w:vMerge w:val="continue"/>
          </w:tcPr>
          <w:p>
            <w:pPr>
              <w:spacing w:after="0"/>
              <w:rPr>
                <w:sz w:val="7"/>
                <w:szCs w:val="7"/>
                <w:color w:val="auto"/>
              </w:rPr>
            </w:pPr>
          </w:p>
        </w:tc>
        <w:tc>
          <w:tcPr>
            <w:tcW w:w="36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CARLSBAD</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92009</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80" w:type="dxa"/>
            <w:vAlign w:val="bottom"/>
            <w:gridSpan w:val="7"/>
          </w:tcPr>
          <w:p>
            <w:pPr>
              <w:ind w:left="180"/>
              <w:spacing w:after="0" w:line="135"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40" w:type="dxa"/>
            <w:vAlign w:val="bottom"/>
            <w:tcBorders>
              <w:bottom w:val="single" w:sz="8" w:color="2C2C2C"/>
            </w:tcBorders>
            <w:gridSpan w:val="7"/>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3"/>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780"/>
              <w:spacing w:after="0" w:line="127"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1900" w:type="dxa"/>
            <w:vAlign w:val="bottom"/>
            <w:gridSpan w:val="4"/>
          </w:tcPr>
          <w:p>
            <w:pPr>
              <w:jc w:val="center"/>
              <w:ind w:left="19"/>
              <w:spacing w:after="0" w:line="127" w:lineRule="exact"/>
              <w:rPr>
                <w:sz w:val="20"/>
                <w:szCs w:val="20"/>
                <w:color w:val="auto"/>
              </w:rPr>
            </w:pPr>
            <w:r>
              <w:rPr>
                <w:rFonts w:ascii="Arial" w:cs="Arial" w:eastAsia="Arial" w:hAnsi="Arial"/>
                <w:sz w:val="12"/>
                <w:szCs w:val="12"/>
                <w:b w:val="1"/>
                <w:bCs w:val="1"/>
                <w:color w:val="auto"/>
                <w:w w:val="96"/>
              </w:rPr>
              <w:t>Disposed Of (D) (Instr. 3, 4 and 5)</w:t>
            </w:r>
          </w:p>
        </w:tc>
        <w:tc>
          <w:tcPr>
            <w:tcW w:w="60" w:type="dxa"/>
            <w:vAlign w:val="bottom"/>
          </w:tcPr>
          <w:p>
            <w:pPr>
              <w:spacing w:after="0"/>
              <w:rPr>
                <w:sz w:val="11"/>
                <w:szCs w:val="11"/>
                <w:color w:val="auto"/>
              </w:rPr>
            </w:pPr>
          </w:p>
        </w:tc>
        <w:tc>
          <w:tcPr>
            <w:tcW w:w="64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780"/>
              <w:spacing w:after="0" w:line="128"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4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$.0001 par value common stock</w:t>
            </w:r>
          </w:p>
        </w:tc>
        <w:tc>
          <w:tcPr>
            <w:tcW w:w="1840" w:type="dxa"/>
            <w:vAlign w:val="bottom"/>
            <w:gridSpan w:val="3"/>
          </w:tcPr>
          <w:p>
            <w:pPr>
              <w:ind w:left="880"/>
              <w:spacing w:after="0"/>
              <w:rPr>
                <w:sz w:val="20"/>
                <w:szCs w:val="20"/>
                <w:color w:val="auto"/>
              </w:rPr>
            </w:pPr>
            <w:r>
              <w:rPr>
                <w:rFonts w:ascii="Times New Roman" w:cs="Times New Roman" w:eastAsia="Times New Roman" w:hAnsi="Times New Roman"/>
                <w:sz w:val="17"/>
                <w:szCs w:val="17"/>
                <w:color w:val="0000FF"/>
              </w:rPr>
              <w:t>06/07/2026</w:t>
            </w: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2,833</w:t>
            </w:r>
          </w:p>
        </w:tc>
        <w:tc>
          <w:tcPr>
            <w:tcW w:w="6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right="3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Pr>
          <w:p>
            <w:pPr>
              <w:spacing w:after="0"/>
              <w:rPr>
                <w:sz w:val="22"/>
                <w:szCs w:val="22"/>
                <w:color w:val="auto"/>
              </w:rPr>
            </w:pPr>
          </w:p>
        </w:tc>
        <w:tc>
          <w:tcPr>
            <w:tcW w:w="128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9,276</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$.0001 par value common stock</w:t>
            </w:r>
          </w:p>
        </w:tc>
        <w:tc>
          <w:tcPr>
            <w:tcW w:w="184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06/07/2026</w:t>
            </w:r>
          </w:p>
        </w:tc>
        <w:tc>
          <w:tcPr>
            <w:tcW w:w="6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F</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jc w:val="right"/>
              <w:ind w:right="59"/>
              <w:spacing w:after="0"/>
              <w:rPr>
                <w:sz w:val="20"/>
                <w:szCs w:val="20"/>
                <w:color w:val="auto"/>
              </w:rPr>
            </w:pPr>
            <w:r>
              <w:rPr>
                <w:rFonts w:ascii="Times New Roman" w:cs="Times New Roman" w:eastAsia="Times New Roman" w:hAnsi="Times New Roman"/>
                <w:sz w:val="17"/>
                <w:szCs w:val="17"/>
                <w:color w:val="0000FF"/>
              </w:rPr>
              <w:t>707</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67.18</w:t>
            </w:r>
          </w:p>
        </w:tc>
        <w:tc>
          <w:tcPr>
            <w:tcW w:w="12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8,569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$.0001 par value common stock</w:t>
            </w: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902</w:t>
            </w:r>
            <w:r>
              <w:rPr>
                <w:rFonts w:ascii="Times New Roman" w:cs="Times New Roman" w:eastAsia="Times New Roman" w:hAnsi="Times New Roman"/>
                <w:sz w:val="21"/>
                <w:szCs w:val="21"/>
                <w:color w:val="008000"/>
                <w:vertAlign w:val="superscript"/>
              </w:rPr>
              <w:t>(2)</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vMerge w:val="continue"/>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5480" w:type="dxa"/>
            <w:vAlign w:val="bottom"/>
            <w:tcBorders>
              <w:bottom w:val="single" w:sz="8" w:color="2C2C2C"/>
            </w:tcBorders>
            <w:gridSpan w:val="9"/>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5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0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04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8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5"/>
              </w:rPr>
              <w:t>Code (Instr.</w:t>
            </w:r>
          </w:p>
        </w:tc>
        <w:tc>
          <w:tcPr>
            <w:tcW w:w="104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Securities</w:t>
            </w:r>
          </w:p>
        </w:tc>
        <w:tc>
          <w:tcPr>
            <w:tcW w:w="14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104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Acquired (A)</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or Disposed</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Derivative</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of (D) (Instr. 3,</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140"/>
              <w:spacing w:after="0" w:line="128" w:lineRule="exact"/>
              <w:rPr>
                <w:sz w:val="20"/>
                <w:szCs w:val="20"/>
                <w:color w:val="auto"/>
              </w:rPr>
            </w:pPr>
            <w:r>
              <w:rPr>
                <w:rFonts w:ascii="Arial" w:cs="Arial" w:eastAsia="Arial" w:hAnsi="Arial"/>
                <w:sz w:val="12"/>
                <w:szCs w:val="12"/>
                <w:b w:val="1"/>
                <w:bCs w:val="1"/>
                <w:color w:val="auto"/>
                <w:w w:val="96"/>
              </w:rPr>
              <w:t>4 and 5)</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and 4)</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28"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8"/>
              </w:rPr>
              <w:t>Expiration</w:t>
            </w:r>
          </w:p>
        </w:tc>
        <w:tc>
          <w:tcPr>
            <w:tcW w:w="64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60" w:type="dxa"/>
            <w:vAlign w:val="bottom"/>
          </w:tcPr>
          <w:p>
            <w:pPr>
              <w:spacing w:after="0"/>
              <w:rPr>
                <w:sz w:val="15"/>
                <w:szCs w:val="1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06/07/2026</w:t>
            </w: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5"/>
                <w:szCs w:val="15"/>
                <w:color w:val="auto"/>
              </w:rPr>
            </w:pPr>
          </w:p>
        </w:tc>
        <w:tc>
          <w:tcPr>
            <w:tcW w:w="4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2,833</w:t>
            </w: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2,833</w:t>
            </w:r>
          </w:p>
        </w:tc>
        <w:tc>
          <w:tcPr>
            <w:tcW w:w="40" w:type="dxa"/>
            <w:vAlign w:val="bottom"/>
          </w:tcPr>
          <w:p>
            <w:pPr>
              <w:spacing w:after="0"/>
              <w:rPr>
                <w:sz w:val="15"/>
                <w:szCs w:val="1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center"/>
              <w:ind w:left="181"/>
              <w:spacing w:after="0"/>
              <w:rPr>
                <w:sz w:val="20"/>
                <w:szCs w:val="20"/>
                <w:color w:val="auto"/>
              </w:rPr>
            </w:pPr>
            <w:r>
              <w:rPr>
                <w:rFonts w:ascii="Times New Roman" w:cs="Times New Roman" w:eastAsia="Times New Roman" w:hAnsi="Times New Roman"/>
                <w:sz w:val="13"/>
                <w:szCs w:val="13"/>
                <w:color w:val="0000FF"/>
              </w:rPr>
              <w:t>2,833</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6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06/07/2026</w:t>
            </w: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3"/>
                <w:szCs w:val="13"/>
                <w:color w:val="0000FF"/>
              </w:rPr>
              <w:t>16,383</w:t>
            </w:r>
          </w:p>
        </w:tc>
        <w:tc>
          <w:tcPr>
            <w:tcW w:w="440" w:type="dxa"/>
            <w:vAlign w:val="bottom"/>
          </w:tcPr>
          <w:p>
            <w:pPr>
              <w:spacing w:after="0"/>
              <w:rPr>
                <w:sz w:val="20"/>
                <w:szCs w:val="20"/>
                <w:color w:val="auto"/>
              </w:rPr>
            </w:pPr>
          </w:p>
        </w:tc>
        <w:tc>
          <w:tcPr>
            <w:tcW w:w="74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4"/>
              </w:rPr>
              <w:t>16,383</w:t>
            </w:r>
          </w:p>
        </w:tc>
        <w:tc>
          <w:tcPr>
            <w:tcW w:w="40" w:type="dxa"/>
            <w:vAlign w:val="bottom"/>
          </w:tcPr>
          <w:p>
            <w:pPr>
              <w:spacing w:after="0"/>
              <w:rPr>
                <w:sz w:val="20"/>
                <w:szCs w:val="20"/>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81"/>
              <w:spacing w:after="0"/>
              <w:rPr>
                <w:sz w:val="20"/>
                <w:szCs w:val="20"/>
                <w:color w:val="auto"/>
              </w:rPr>
            </w:pPr>
            <w:r>
              <w:rPr>
                <w:rFonts w:ascii="Times New Roman" w:cs="Times New Roman" w:eastAsia="Times New Roman" w:hAnsi="Times New Roman"/>
                <w:sz w:val="13"/>
                <w:szCs w:val="13"/>
                <w:color w:val="0000FF"/>
                <w:w w:val="94"/>
              </w:rPr>
              <w:t>16,383</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60" w:type="dxa"/>
            <w:vAlign w:val="bottom"/>
          </w:tcPr>
          <w:p>
            <w:pPr>
              <w:spacing w:after="0"/>
              <w:rPr>
                <w:sz w:val="15"/>
                <w:szCs w:val="1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06/07/2026</w:t>
            </w: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restart"/>
          </w:tcPr>
          <w:p>
            <w:pPr>
              <w:jc w:val="right"/>
              <w:ind w:right="81"/>
              <w:spacing w:after="0"/>
              <w:rPr>
                <w:sz w:val="20"/>
                <w:szCs w:val="20"/>
                <w:color w:val="auto"/>
              </w:rPr>
            </w:pPr>
            <w:r>
              <w:rPr>
                <w:rFonts w:ascii="Times New Roman" w:cs="Times New Roman" w:eastAsia="Times New Roman" w:hAnsi="Times New Roman"/>
                <w:sz w:val="13"/>
                <w:szCs w:val="13"/>
                <w:color w:val="0000FF"/>
              </w:rPr>
              <w:t>8,191</w:t>
            </w:r>
          </w:p>
        </w:tc>
        <w:tc>
          <w:tcPr>
            <w:tcW w:w="440" w:type="dxa"/>
            <w:vAlign w:val="bottom"/>
          </w:tcPr>
          <w:p>
            <w:pPr>
              <w:spacing w:after="0"/>
              <w:rPr>
                <w:sz w:val="15"/>
                <w:szCs w:val="15"/>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8,191</w:t>
            </w:r>
          </w:p>
        </w:tc>
        <w:tc>
          <w:tcPr>
            <w:tcW w:w="40" w:type="dxa"/>
            <w:vAlign w:val="bottom"/>
          </w:tcPr>
          <w:p>
            <w:pPr>
              <w:spacing w:after="0"/>
              <w:rPr>
                <w:sz w:val="15"/>
                <w:szCs w:val="1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center"/>
              <w:ind w:left="181"/>
              <w:spacing w:after="0"/>
              <w:rPr>
                <w:sz w:val="20"/>
                <w:szCs w:val="20"/>
                <w:color w:val="auto"/>
              </w:rPr>
            </w:pPr>
            <w:r>
              <w:rPr>
                <w:rFonts w:ascii="Times New Roman" w:cs="Times New Roman" w:eastAsia="Times New Roman" w:hAnsi="Times New Roman"/>
                <w:sz w:val="13"/>
                <w:szCs w:val="13"/>
                <w:color w:val="0000FF"/>
              </w:rPr>
              <w:t>8,191</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-2264410</wp:posOffset>
            </wp:positionV>
            <wp:extent cx="29210" cy="22701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701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36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entry represents the number of shares of Viasat, Inc. common stock withheld by the Issuer to satisfy the tax withholding obligation of the Reporting Person. These shares were not sold by the Reporting Person but were instead offset from the total number of vested shares received by the Reporting Person from the Issuer.</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240 shares of common stock the Reporting Person acquired under the Viasat 401(k) Plan since the date of the Reporting Person's last ownership report.</w:t>
      </w:r>
    </w:p>
    <w:p>
      <w:pPr>
        <w:spacing w:after="0" w:line="42" w:lineRule="exact"/>
        <w:rPr>
          <w:rFonts w:ascii="Times New Roman" w:cs="Times New Roman" w:eastAsia="Times New Roman" w:hAnsi="Times New Roman"/>
          <w:sz w:val="13"/>
          <w:szCs w:val="13"/>
          <w:color w:val="008000"/>
        </w:rPr>
      </w:pPr>
    </w:p>
    <w:p>
      <w:pPr>
        <w:ind w:left="40" w:right="22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original restricted stock unit grant was for 8,500 units on 06/07/2024. The units vest and convert into shares of common stock (on a 1-for-1 basis) at the rate of 1/3 on the first anniversary of the grant date; 1/3 on the second anniversary of the grant date; and 1/3 on the third anniversary of the grant date.</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Viasat, Inc. common stock.</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units vest and convert into shares of common stock (on a 1-for-1 basis) in three substantially equal installments on June 7, 2027, June 7, 2028 and June 7, 2029.</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Until vested, the restricted stock unit shall be subject to forfeiture in the event of termination of employment or service with the Issuer.</w:t>
      </w:r>
    </w:p>
    <w:p>
      <w:pPr>
        <w:spacing w:after="0" w:line="32"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Stacy Nguyen,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06/09/2026</w:t>
            </w:r>
          </w:p>
        </w:tc>
        <w:tc>
          <w:tcPr>
            <w:tcW w:w="0" w:type="dxa"/>
            <w:vAlign w:val="bottom"/>
          </w:tcPr>
          <w:p>
            <w:pPr>
              <w:spacing w:after="0"/>
              <w:rPr>
                <w:sz w:val="1"/>
                <w:szCs w:val="1"/>
                <w:color w:val="auto"/>
              </w:rPr>
            </w:pPr>
          </w:p>
        </w:tc>
      </w:tr>
      <w:tr>
        <w:trPr>
          <w:trHeight w:val="82"/>
        </w:trPr>
        <w:tc>
          <w:tcPr>
            <w:tcW w:w="212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35712" TargetMode="External"/><Relationship Id="rId14" Type="http://schemas.openxmlformats.org/officeDocument/2006/relationships/hyperlink" Target="http://www.sec.gov/cgi-bin/browse-edgar?action=getcompany&amp;CIK=00007977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2026-06-09T20:04:36Z</dcterms:created>
  <dcterms:modified xsi:type="dcterms:W3CDTF">2026-06-09T20:04:36Z</dcterms:modified>
</cp:coreProperties>
</file>