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460" w:right="460" w:hanging="452"/>
        <w:spacing w:after="0" w:line="25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180" w:space="620"/>
            <w:col w:w="160" w:space="580"/>
            <w:col w:w="3880"/>
          </w:cols>
          <w:pgMar w:left="240" w:top="230"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177800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380"/>
            <w:col w:w="622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60"/>
            <w:col w:w="260" w:space="10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outstanding of the registrant’s common stock, $0.0001 par value, as of October 30, 2015 was 48,387,431.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40" w:type="dxa"/>
            <w:vAlign w:val="bottom"/>
            <w:gridSpan w:val="8"/>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10"/>
            <w:vMerge w:val="continue"/>
          </w:tcPr>
          <w:p>
            <w:pPr>
              <w:spacing w:after="0"/>
              <w:rPr>
                <w:sz w:val="13"/>
                <w:szCs w:val="13"/>
                <w:color w:val="auto"/>
              </w:rPr>
            </w:pPr>
          </w:p>
        </w:tc>
        <w:tc>
          <w:tcPr>
            <w:tcW w:w="7940" w:type="dxa"/>
            <w:vAlign w:val="bottom"/>
            <w:gridSpan w:val="8"/>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7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Income</w:t>
              </w:r>
            </w:hyperlink>
          </w:p>
        </w:tc>
        <w:tc>
          <w:tcPr>
            <w:tcW w:w="49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w:t>
              </w:r>
            </w:hyperlink>
          </w:p>
        </w:tc>
        <w:tc>
          <w:tcPr>
            <w:tcW w:w="69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Item 3.</w:t>
              </w:r>
            </w:hyperlink>
          </w:p>
        </w:tc>
        <w:tc>
          <w:tcPr>
            <w:tcW w:w="648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40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17"/>
                <w:szCs w:val="17"/>
                <w:color w:val="auto"/>
              </w:rPr>
            </w:pPr>
          </w:p>
        </w:tc>
        <w:tc>
          <w:tcPr>
            <w:tcW w:w="6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8240" w:type="dxa"/>
            <w:vAlign w:val="bottom"/>
            <w:gridSpan w:val="10"/>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Item 1.</w:t>
              </w:r>
            </w:hyperlink>
          </w:p>
        </w:tc>
        <w:tc>
          <w:tcPr>
            <w:tcW w:w="136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91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1A. Risk Factors</w:t>
              </w:r>
            </w:hyperlink>
          </w:p>
        </w:tc>
        <w:tc>
          <w:tcPr>
            <w:tcW w:w="94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Item 6.</w:t>
              </w:r>
            </w:hyperlink>
          </w:p>
        </w:tc>
        <w:tc>
          <w:tcPr>
            <w:tcW w:w="10480" w:type="dxa"/>
            <w:vAlign w:val="bottom"/>
            <w:gridSpan w:val="16"/>
          </w:tcPr>
          <w:p>
            <w:pPr>
              <w:ind w:lef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98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46,406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304,517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123,342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62,011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47,842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584,118</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799,759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426,951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117,375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276,906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2,245,799</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2,158,378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80,407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171,970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252,377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582,025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582,657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277,071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37,227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1,114,645</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832,114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259,507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ViaSat, Inc. stockholders’ equity</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1,092,053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1,038,582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5,046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1,097,099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2,245,799</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2,158,378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7"/>
              </w:rPr>
              <w:t>Six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58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September 30, 2015</w:t>
            </w:r>
          </w:p>
        </w:tc>
        <w:tc>
          <w:tcPr>
            <w:tcW w:w="9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October 3, 2014</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September 30,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80" w:type="dxa"/>
            <w:vAlign w:val="bottom"/>
            <w:gridSpan w:val="7"/>
          </w:tcPr>
          <w:p>
            <w:pPr>
              <w:ind w:left="4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Product revenues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163,660</w:t>
            </w:r>
          </w:p>
        </w:tc>
        <w:tc>
          <w:tcPr>
            <w:tcW w:w="3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193,924</w:t>
            </w:r>
          </w:p>
        </w:tc>
        <w:tc>
          <w:tcPr>
            <w:tcW w:w="5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332,008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362,053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189,670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164,834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365,700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316,176</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358,758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697,708</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678,229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Cost of product revenues</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116,179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130,088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242,009</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 revenues</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124,595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111,605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242,204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73,351</w:t>
            </w:r>
          </w:p>
        </w:tc>
        <w:tc>
          <w:tcPr>
            <w:tcW w:w="3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54,404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144,458</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20,792</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4,658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9,397</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3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23,240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(6,696)</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(8,337)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(13,280)</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38,465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11,254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14,473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3,815</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23,992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7,439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rPr>
              <w:t>Less: Net (loss) income attributable to the noncontrolling interest, net of</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tax</w:t>
            </w:r>
          </w:p>
        </w:tc>
        <w:tc>
          <w:tcPr>
            <w:tcW w:w="34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23,947</w:t>
            </w:r>
          </w:p>
        </w:tc>
        <w:tc>
          <w:tcPr>
            <w:tcW w:w="5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7,544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18,003</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ViaSat, Inc. common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7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0.10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5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per share attributable to ViaSat, Inc. common</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5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0.15</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Shares used in computing basic net income per share</w:t>
            </w:r>
          </w:p>
        </w:tc>
        <w:tc>
          <w:tcPr>
            <w:tcW w:w="34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48,205</w:t>
            </w:r>
          </w:p>
        </w:tc>
        <w:tc>
          <w:tcPr>
            <w:tcW w:w="3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46,863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48,052</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49,125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48,016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48,995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47,899</w:t>
            </w: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23,992</w:t>
            </w:r>
          </w:p>
        </w:tc>
        <w:tc>
          <w:tcPr>
            <w:tcW w:w="52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7,439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hedging, net of tax</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 net of tax</w:t>
            </w:r>
          </w:p>
        </w:tc>
        <w:tc>
          <w:tcPr>
            <w:tcW w:w="34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(701)</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4,219</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22,733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7,719</w:t>
            </w: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(loss) income attributable to the noncontrolling</w:t>
            </w: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net of tax</w:t>
            </w:r>
          </w:p>
        </w:tc>
        <w:tc>
          <w:tcPr>
            <w:tcW w:w="3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ViaSat, Inc.</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7,824</w:t>
            </w: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2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7,439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94,996</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23,433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3,814</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22,283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Loss on disposition of fixed assets</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17,862</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non-cash adjustments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3,697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340"/>
              <w:spacing w:after="0" w:line="201" w:lineRule="exact"/>
              <w:rPr>
                <w:sz w:val="20"/>
                <w:szCs w:val="20"/>
                <w:color w:val="auto"/>
              </w:rPr>
            </w:pPr>
            <w:r>
              <w:rPr>
                <w:rFonts w:ascii="Arial" w:cs="Arial" w:eastAsia="Arial" w:hAnsi="Arial"/>
                <w:sz w:val="18"/>
                <w:szCs w:val="18"/>
                <w:color w:val="auto"/>
                <w:w w:val="98"/>
              </w:rPr>
              <w:t>Increase (decrease) in cash resulting from changes in operating assets and liabilities, net of effects of</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(41,073)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(4,472)</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(4,367)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(10,210)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(2,201)</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107,498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equipment and satellites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(137,517)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Cash paid for patents, licenses and other assets</w:t>
            </w:r>
          </w:p>
        </w:tc>
        <w:tc>
          <w:tcPr>
            <w:tcW w:w="32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(32,483)</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(3,613)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(173,613)</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(217,906)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Proceeds from revolving credit facility borrowings</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revolving credit facility borrowings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(145,000)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Proceeds from Ex-Im credit facility borrowings, net of discount</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96,850</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under equity plans</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11,422</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related to tax withholdings on restricted stock unit releases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(1,339)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60,244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(5,857)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18"/>
                <w:szCs w:val="18"/>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52,263</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46,406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41,929</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11,609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Capital expenditures not paid for</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0"/>
              <w:spacing w:after="0"/>
              <w:rPr>
                <w:sz w:val="20"/>
                <w:szCs w:val="20"/>
                <w:color w:val="auto"/>
              </w:rPr>
            </w:pPr>
            <w:r>
              <w:rPr>
                <w:rFonts w:ascii="Arial" w:cs="Arial" w:eastAsia="Arial" w:hAnsi="Arial"/>
                <w:sz w:val="18"/>
                <w:szCs w:val="18"/>
                <w:color w:val="auto"/>
              </w:rPr>
              <w:t>22,957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Exposure fees on Ex-Im credit facility expected to be financed through Ex-Im credit facility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8,443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ViaSat, Inc. Stockholders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4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Other</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Noncontrolling</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Interest in</w:t>
            </w:r>
          </w:p>
        </w:tc>
        <w:tc>
          <w:tcPr>
            <w:tcW w:w="8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Issued</w:t>
            </w:r>
          </w:p>
        </w:tc>
        <w:tc>
          <w:tcPr>
            <w:tcW w:w="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Subsidiary</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8"/>
          </w:tcPr>
          <w:p>
            <w:pPr>
              <w:ind w:left="58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2015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47,697,413</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$786,467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$251,963</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$1,043,733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260,583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7,319</w:t>
            </w: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stock under Employee Stock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23,955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issued in settlement of certain accrued employee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liabilities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185,424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RSU awards vesting, net of shares withheld for taxes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which have been retired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46,478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(1,339)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6"/>
              </w:rPr>
              <w:t>280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48,270,008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832,114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259,507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1,097,099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accompanying condensed consolidated balance sheet at September 30, 2015, the condensed consolidated statements of operations and comprehensive income for the three and six months ended September 30, 2015 and October 3, 2014, the condensed consolidated statements of cash flows for the six months ended September 30, 2015 and October 3, 2014 and the condensed consolidated statement of equity for the six months ended September 30, 2015 have been prepared by the management of ViaSat, Inc. (also referred to hereafter as the Company or ViaSat), and have not been audited. These financial statements have been prepared on the same basis as the audited consolidated financial statements for the fiscal year ended April 3, 2015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3, 2015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78"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12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May 4, 2015, the Company’s Board of Directors approved a change in the Company’s fiscal year from a 52 or 53 week fiscal year ending on the Friday closest to March 31 to a fiscal year ending on March 31 of each year, effective with the fiscal year commencing April 4, 2015. Beginning April 4, 2015, the Company’s fiscal quarters will end on June 30, September 30, December 31, and March 31 of each year. The Company’s fiscal quarters for fiscal year 2015 ended on July 4, 2014, October 3, 2014, January 2, 2015 and April 3, 2015.</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During the first quarter of fiscal year 2016, the Company completed the acquisition of Engreen Inc. (Engreen), a privately held company focused on network function virtualization. The Engreen purchase price of approximately $5.0 million (of which $1.0 million has been withheld as security for any indemnifiable damages) was primarily allocated to acquired technology intangible assets and the assumption of certain liabilities. During the first quarter of fiscal year 2015, the Company completed the acquisition of NetNearU Corp. (NetNearU), a privately held company that has developed a comprehensive network management system for Wi-Fi and other internet access networks (see Note 10). These acquisitions were accounted for as purchases and, accordingly, the condensed consolidated financial statements include the operating results of Engreen and NetNearU from the dates of acquisition.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September 30, 2015 and October 3, 2014, the Company recorded losses of approximately $0.3 million and no losses, respectively, related to loss contracts. During the six months ended September 30, 2015 and October 3, 2014, the Company recorded losses of approximately $1.7 million and $0.1 million, respectively, related to loss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4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w:t>
      </w:r>
    </w:p>
    <w:p>
      <w:pPr>
        <w:spacing w:after="0" w:line="5" w:lineRule="exact"/>
        <w:rPr>
          <w:sz w:val="20"/>
          <w:szCs w:val="20"/>
          <w:color w:val="auto"/>
        </w:rPr>
      </w:pPr>
    </w:p>
    <w:p>
      <w:pPr>
        <w:ind w:right="6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9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8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8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2015. As of September 30, 2015, the DCAA had completed its incurred cost audit for fiscal year 2004 and approved the Company’s incurred cost claims for fiscal years 2005 through 2014 without further audit. Although the Company has recorded contract revenues subsequent to fiscal year 2014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2015 and April 3, 2015, the Company had $2.9 million and $4.3 million, respectively, in contract-related reserves for its estimate of potential refunds to customers for potential cost adjustments on several multi-year U.S. government cost reimbursable contracts (see Note 8).</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In accordance with the authoritative guidance for advertising costs (ASC 720-35), advertising costs are expensed as incurred and included in selling, general and administrative (SG&amp;A) expenses. Advertising expenses for the three months ended September 30, 2015 and October 3, 2014 were $2.9 million and $5.0 million, respectively, and for the six months ended September 30, 2015 and October 3, 2014 were $6.6 million and $7.3 million,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7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the Company capitalized $7.1 million and $3.6 million of interest expense for the three months ended September 30, 2015 and October 3, 2014, respectively, and capitalized $13.2 million and $6.7 million of interest expense for the six months ended September 30, 2015 and October 3, 2014, respectively.</w:t>
      </w:r>
    </w:p>
    <w:p>
      <w:pPr>
        <w:sectPr>
          <w:pgSz w:w="11900" w:h="16838" w:orient="portrait"/>
          <w:cols w:equalWidth="0" w:num="1">
            <w:col w:w="11420"/>
          </w:cols>
          <w:pgMar w:left="240" w:top="459" w:right="239" w:bottom="1440" w:gutter="0" w:footer="0" w:header="0"/>
        </w:sectPr>
      </w:pPr>
    </w:p>
    <w:bookmarkStart w:id="9" w:name="page10"/>
    <w:bookmarkEnd w:id="9"/>
    <w:p>
      <w:pPr>
        <w:ind w:firstLine="456"/>
        <w:spacing w:after="0" w:line="269" w:lineRule="auto"/>
        <w:rPr>
          <w:sz w:val="20"/>
          <w:szCs w:val="20"/>
          <w:color w:val="auto"/>
        </w:rPr>
      </w:pPr>
      <w:r>
        <w:rPr>
          <w:rFonts w:ascii="Arial" w:cs="Arial" w:eastAsia="Arial" w:hAnsi="Arial"/>
          <w:sz w:val="17"/>
          <w:szCs w:val="17"/>
          <w:color w:val="auto"/>
        </w:rPr>
        <w:t>The Company owns two satellites: ViaSat-1 (its first high-capacity Ka-band spot-beam satellite, which was placed into service in January 2012) and WildBlue-1 (which was placed into service in March 2007). In May 2013, the Company entered into a satellite construction contract for ViaSat-2, its second high-capacity Ka-band satellite. In addition, the Company has an exclusive prepaid lifetime capital lease of Ka-band capacity over the contiguous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September 30, 2015 were $256.0 million and $122.3 million, respectively. The total cost and accumulated depreciation of CPE units included in property and equipment, net, as of April 3, 2015 were $250.3 million and $107.8 million, respectively.</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2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October 6, 2015, subsequent to the second quarter of fiscal year 2016, the Company purchased approximately 23 acres of land adjacent to the Company’s current headquarters location for $39.5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September 30, 2015 and April 3, 2015. The Company capitalized costs of $15.2 million and $15.1 million related to acquiring and obtaining orbital slots and other licenses included in other assets as of September 30, 2015 and April 3, 2015, respectively. Accumulated amortization related to these assets was $1.5 million and $1.4 million as of September 30, 2015 and April 3, 2015, respectively. Amortization expense related to these assets was an insignificant amount for the three and six months ended September 30, 2015 and October 3, 2014. If a patent, orbital slot or orbital license is rejected, abandoned or otherwise invalidated, the unamortized cost is expensed in that period. During the three and six months ended September 30, 2015 and October 3, 2014, the Company did not write off any significant costs due to abandonment or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and six months ended September 30, 2015 an insignificant amount of debt issuance costs was capitalized and during the three and six months ended October 3, 2014, no amounts of debt issuance costs were capitalized. Unamortized debt issuance costs related to extinguished debt are expensed at the time the debt is extinguished and recorded in loss on extinguishment of debt in the consolidated statements of operations and comprehensive income.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$139.5 million and $119.9 million related to software developed for resale were included in other assets as of September 30, 2015 and April 3, 2015, respectively. The Company capitalized $17.0 million and $33.5 million of costs related to software developed for resale for the three and six months ended September 30, 2015, respectively. The Company capitalized $12.0 million and $22.7 million of costs related to software developed for resale for the three and six months ended October 3, 2014, respectively. Amortization expense for software development costs was $7.7 million and $13.9 million for the three and six months ended September 30, 2015, respectively, and $5.2 million and $9.6 million for the three and six months ended October 3, 2014,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$3.7 million and $3.9 million as of September 30, 2015 and April 3, 2015,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2015 and April 3, 2015, no such amounts were accrued related to the aforementioned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2015 and April 3, 2015, the Company had no shares of common stock held in treasury.</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first six months of fiscal years 2016 and 2015, the Company issued 68,663 and 48,980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and immediately retired 22,185 shares of common stock with a total value of $1.3 million during the first six months of fiscal year 2016. During the first six months of fiscal year 2015, the Company repurchased 14,019 shares of common stock with a total value of $0.8 million, and retired 1,197,363 shares of treasury stock with a total value of $49.7 million. These retired shares remain as authorized stock; however they are now considered to be unissued. This treasury stock retirement resulted in a decrease in common stock held in treasury and in paid-in capital of $49.7 million in the Company’s condensed consolidated balance sheet during the first six months of fiscal year 2015. The retirement of treasury stock had no impact on the Company’s total consolidated stockholders’ equity.</w:t>
      </w:r>
    </w:p>
    <w:p>
      <w:pPr>
        <w:spacing w:after="0" w:line="166"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During the third quarter of fiscal year 2015, the Board of Directors of the Company approved the retirement of all shares of treasury stock and, with respect to the future issuance of shares of common stock upon vesting of restricted stock units, approved the immediate retirement of shares withheld for employee withholding taxes. Although shares withheld for employee withholding taxes are technically not issued, they are treated as common stock repurchases for accounting purposes, as they reduce the number of shares that otherwise would have been issued upon vesting of the restricted stock units.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three and six months ended September 30, 2015, the Company settled certain foreign exchange contracts and in connection therewith recognized an insignificant gain, and during the three and six months ended October 3, 2014, the Company settled certain foreign exchange contracts in connection therewith recognized an insignificant loss, in each case recorded in cost of revenues based on the nature of the underlying transactions. The fair value of the Company’s foreign currency forward contracts was an insignificant amount recorded as an other current asset as of September 30, 2015. The notional value of foreign currency forward contracts outstanding as of September 30, 2015 was $6.7 million. The Company had no foreign currency forward contracts outstanding as of April 3, 2015.</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At September 30, 2015, the estimated net amount of unrealized gains or losses related to foreign currency forward contracts that was expected to be reclassified to earnings within the next twelve months was insignificant. The Company’s foreign currency forward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contracts outstanding as of September 30, 2015 will mature within approximately six to thirty-six months from their inception. There were no gains or losses from ineffectiveness of these derivative instruments recorded for the three and six months ended September 30, 2015 and October 3,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for the three and six months ended September 30, 2015 and October 3, 2014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$11.6 and $22.3 million of stock-based compensation expense for the three and six months ended September 30, 2015, respectively. The Company recognized $9.1 and $18.0 million of stock-based compensation expense for the three and six months ended October 3, 2014, respectively.</w:t>
      </w:r>
    </w:p>
    <w:p>
      <w:pPr>
        <w:spacing w:after="0" w:line="17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For the six months ended September 30, 2015 and October 3, 2014,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analysis of the need for a valuation allowance on deferred tax assets considered the losses incurred during the fiscal years ended April 4, 2014 and March 29, 2013 and the income generated during the fiscal year ended April 3, 2015 and six months ended September 30, 2015. In fiscal year 2013, the Company recorded a significant loss, a substantial portion of which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the Company’s technology advantages in the litigation against Space Systems/Loral, Inc. (SS/L) and its former parent company Loral Space &amp; Communications, Inc. (Loral), which was settled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This guidance became effective for the Company beginning in the first quarter of fiscal year 2016 and the authoritative guidance did not have a material impact on the Company’s consolidated financial statements and disclosures.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The standard permits the use of either the retrospective or cumulative effect transition method. The Company has not selected a transition method and the Company is currently evaluating the impact this standard will have on its consolidated financial statements and disclosures.</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will become effective for the Company in fiscal year 2017, with early adoption permitted. The adoption of this standard is not expected to have a material impact on the Company’s consolidated financial statements and disclosures.</w:t>
      </w:r>
    </w:p>
    <w:p>
      <w:pPr>
        <w:spacing w:after="0" w:line="18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April 2015, the FASB issued ASU 2015-03, Interest — Imputation of Interest (ASC 835-30): Simplifying the Presentation of Debt Issuance Costs. ASU 2015-03 requires that debt issuance costs related to a recognized debt liability be presented in the balance sheet as a direct deduction from the carrying amount of that debt liability, consistent with debt discounts. In August 2015, the FASB issued ASU 2015-15, Interest – Imputation of Interest (Subtopic 835-30): Presentation and Subsequent Measurement of Debt Issuance Costs Associated with Line-of-Credit Arrangements. ASU 2015-15 provides additional guidance to ASU 2015-03, which did not address presentation or subsequent measurement of debt issuance costs related to line-of-credit arrangements. ASU 2015-15 noted that staff of the Securities and Exchange Commission (the SEC)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This new guidance will be effective for the Company in fiscal year 2017, with early adoption permitted. The new guidance shall be applied on a retrospective basis, wherein the balance sheet of each individual period presented should be adjusted to reflect the period-specific effects of applying the new guidance. The adoption of this standard is not expected to have a material impact on the Company’s consolidated financial statements and disclosures.</w:t>
      </w:r>
    </w:p>
    <w:p>
      <w:pPr>
        <w:spacing w:after="0" w:line="18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April 2015, the FASB issued ASU 2015-05, Intangibles—Goodwill and Other—Internal-Use Software (Subtopic 350-40): Customer’s Accounting for Fees Paid in a Cloud Computing Arrangement.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ASU 2015-05 is effective for the Company in fiscal year 2017 with early adoption permitted using either of two methods: (i) prospectively to all arrangements entered into or materially modified after the effective date and represent a change in accounting principle; or (ii) retrospectively. The Company is currently evaluating the impact of this standard on its consolidated financial statements.</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should be applied prospectively and will become effective for the Company in fiscal year 2018, with early adoption permitted. The Company is currently evaluating the impact of this standard on its consolidated financial statements.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ASU 2015-16 requires that an acquirer recognize adjustments to provisional amounts that are identified during the measurement period in the reporting period in which the adjustment amounts are determined. Under current GAAP, the acquirer is required to retrospectively apply adjustments made to provisional amounts recognized in a business combination. The new standard should be applied prospectively and will become effective for the Company in fiscal year 2017, with early adoption permitted. The adoption of this standard is not expected to have a material impact on the Company’s consolidated financial statements and disclosures.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Billed</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140,396</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120,345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165,296</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147,049</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80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304,517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266,339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Raw materials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46,863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42,716</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860"/>
              <w:spacing w:after="0"/>
              <w:rPr>
                <w:sz w:val="20"/>
                <w:szCs w:val="20"/>
                <w:color w:val="auto"/>
              </w:rPr>
            </w:pPr>
            <w:r>
              <w:rPr>
                <w:rFonts w:ascii="Arial" w:cs="Arial" w:eastAsia="Arial" w:hAnsi="Arial"/>
                <w:sz w:val="18"/>
                <w:szCs w:val="18"/>
                <w:color w:val="auto"/>
              </w:rPr>
              <w:t>26,317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22,957</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50,162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62,694</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123,342</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860"/>
              <w:spacing w:after="0"/>
              <w:rPr>
                <w:sz w:val="20"/>
                <w:szCs w:val="20"/>
                <w:color w:val="auto"/>
              </w:rPr>
            </w:pPr>
            <w:r>
              <w:rPr>
                <w:rFonts w:ascii="Arial" w:cs="Arial" w:eastAsia="Arial" w:hAnsi="Arial"/>
                <w:sz w:val="18"/>
                <w:szCs w:val="18"/>
                <w:color w:val="auto"/>
              </w:rPr>
              <w:t>44,748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40,106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3,094</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47,842</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Satellite — WildBlue-1 (estimated useful life of 10 years)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195,890</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99,090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Satellite — ViaSat-1 (estimated useful life of 17 years)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363,204</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363,204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 — ViaSat-2 (under construction)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391,617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328,857</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1,049,801</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(250,042)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(224,820)</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799,759</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Equipment and software (estimated useful life of 2-7 years)</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543,859</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511,717</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CPE leased equipment (estimated useful life of 4-5 years)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256,027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250,281</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Furniture and fixtures (estimated useful life of 7 years)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860"/>
              <w:spacing w:after="0"/>
              <w:rPr>
                <w:sz w:val="20"/>
                <w:szCs w:val="20"/>
                <w:color w:val="auto"/>
              </w:rPr>
            </w:pPr>
            <w:r>
              <w:rPr>
                <w:rFonts w:ascii="Arial" w:cs="Arial" w:eastAsia="Arial" w:hAnsi="Arial"/>
                <w:sz w:val="18"/>
                <w:szCs w:val="18"/>
                <w:color w:val="auto"/>
              </w:rPr>
              <w:t>23,546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 (estimated useful life of 2-17 years)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69,963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67,723</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Building (estimated useful life of 24 years)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8,923</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2,559</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37,338</w:t>
            </w:r>
          </w:p>
        </w:tc>
        <w:tc>
          <w:tcPr>
            <w:tcW w:w="86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942,215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878,550</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800"/>
              <w:spacing w:after="0"/>
              <w:rPr>
                <w:sz w:val="20"/>
                <w:szCs w:val="20"/>
                <w:color w:val="auto"/>
              </w:rPr>
            </w:pPr>
            <w:r>
              <w:rPr>
                <w:rFonts w:ascii="Arial" w:cs="Arial" w:eastAsia="Arial" w:hAnsi="Arial"/>
                <w:sz w:val="18"/>
                <w:szCs w:val="18"/>
                <w:color w:val="auto"/>
              </w:rPr>
              <w:t>(515,264)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(460,528)</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426,951</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418,022</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(weighted average useful life of 6 years)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75,298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67,403</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860"/>
              <w:spacing w:after="0"/>
              <w:rPr>
                <w:sz w:val="20"/>
                <w:szCs w:val="20"/>
                <w:color w:val="auto"/>
              </w:rPr>
            </w:pPr>
            <w:r>
              <w:rPr>
                <w:rFonts w:ascii="Arial" w:cs="Arial" w:eastAsia="Arial" w:hAnsi="Arial"/>
                <w:sz w:val="18"/>
                <w:szCs w:val="18"/>
                <w:color w:val="auto"/>
              </w:rPr>
              <w:t>99,599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99,556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Trade name (weighted average useful life of 3 years)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5,940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(weighted average useful life of 7 years)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8,726</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198,163</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(157,473)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(147,881)</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Capitalized software costs,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139,485</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119,936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Patents, orbital slots and other licenses,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16,900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860"/>
              <w:spacing w:after="0"/>
              <w:rPr>
                <w:sz w:val="20"/>
                <w:szCs w:val="20"/>
                <w:color w:val="auto"/>
              </w:rPr>
            </w:pPr>
            <w:r>
              <w:rPr>
                <w:rFonts w:ascii="Arial" w:cs="Arial" w:eastAsia="Arial" w:hAnsi="Arial"/>
                <w:sz w:val="18"/>
                <w:szCs w:val="18"/>
                <w:color w:val="auto"/>
              </w:rPr>
              <w:t>63,896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75,789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56,625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57,183</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276,906</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0960"/>
          </w:cols>
          <w:pgMar w:left="240" w:top="459" w:right="699" w:bottom="1440" w:gutter="0" w:footer="0" w:header="0"/>
        </w:sectPr>
      </w:pPr>
    </w:p>
    <w:p>
      <w:pPr>
        <w:jc w:val="center"/>
        <w:ind w:right="-4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240" w:top="459" w:right="6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 2015</w:t>
            </w:r>
          </w:p>
        </w:tc>
      </w:tr>
      <w:tr>
        <w:trPr>
          <w:trHeight w:val="142"/>
        </w:trPr>
        <w:tc>
          <w:tcPr>
            <w:tcW w:w="7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7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Collections in excess of revenues and deferred revenues</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71,110</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83,528</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employee compensation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19,735</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27,953</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26,742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25,859</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Warranty reserve, current portion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9,235</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Current portion of other long-term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45,389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44,491</w:t>
            </w:r>
          </w:p>
        </w:tc>
      </w:tr>
      <w:tr>
        <w:trPr>
          <w:trHeight w:val="223"/>
        </w:trPr>
        <w:tc>
          <w:tcPr>
            <w:tcW w:w="7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171,970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191,326</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Deferred revenue, long-term portion</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4,746</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4,894</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long-term portion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Warranty reserve, long-term 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4,254</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long-term portion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Satellite performance incentives obligation, long-term portion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19,837</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20,121</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37,227</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color w:val="auto"/>
        </w:rPr>
      </w:pPr>
    </w:p>
    <w:p>
      <w:pPr>
        <w:jc w:val="both"/>
        <w:ind w:left="440" w:right="220" w:hanging="324"/>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color w:val="auto"/>
        </w:rPr>
      </w:pPr>
    </w:p>
    <w:p>
      <w:pPr>
        <w:ind w:left="440" w:right="4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September 30, 2015 and April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Fair Value as of</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Level 2</w:t>
            </w:r>
          </w:p>
        </w:tc>
        <w:tc>
          <w:tcPr>
            <w:tcW w:w="50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2015</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50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 —</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5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2,003</w:t>
            </w: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$ 152</w:t>
            </w:r>
          </w:p>
        </w:tc>
        <w:tc>
          <w:tcPr>
            <w:tcW w:w="5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Fair Value as of</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4"/>
              </w:rPr>
              <w:t>Level 2</w:t>
            </w:r>
          </w:p>
        </w:tc>
        <w:tc>
          <w:tcPr>
            <w:tcW w:w="500" w:type="dxa"/>
            <w:vAlign w:val="bottom"/>
          </w:tcPr>
          <w:p>
            <w:pPr>
              <w:spacing w:after="0"/>
              <w:rPr>
                <w:sz w:val="24"/>
                <w:szCs w:val="2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April 3, 2015</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2,033</w:t>
            </w: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2,033</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w:t>
      </w:r>
    </w:p>
    <w:p>
      <w:pPr>
        <w:sectPr>
          <w:pgSz w:w="11900" w:h="16838" w:orient="portrait"/>
          <w:cols w:equalWidth="0" w:num="1">
            <w:col w:w="11340"/>
          </w:cols>
          <w:pgMar w:left="240" w:top="459" w:right="319" w:bottom="1440" w:gutter="0" w:footer="0" w:header="0"/>
        </w:sectPr>
      </w:pP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40"/>
          </w:cols>
          <w:pgMar w:left="240" w:top="459" w:right="3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The Company’s long-term debt consists of borrowings under its revolving credit facility (the Revolving Credit Facility)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 loan facility with the Export-Import Bank of the United States for ViaSat-2 (the Ex-Im Credit Facility and, together with the Revolving Credit Facility, the Credit Facilities), as well as $575.0 million in aggregate principal amount of 2020 Notes. The Revolving Credit Facility is reported at the outstanding principal amount of borrowings, while the Ex-Im Credit Facility and 2020 Notes are reported at amortized cost. However, for disclosure purposes, the Company is required to measure the fair value of outstanding debt on a recurring basis. As of September 30, 2015 and April 3, 2015, the fair value of the Company’s outstanding long-term debt related to the 2020 Notes was determined using quoted prices in active markets (Level 1) and was $603.8 million and $610.9 million, respectively. The fair value of the Company’s long-term debt related to the Revolving Credit Facility approximates its carrying amount due to its variable interest rate, which approximates a market interest rate. As of September 30, 2015, the fair value of the Company’s long-term debt related to the Ex-Im Credit Facility was approximately $125.4 million and was determined based on a discounted cash flow analysis using observable market interest rates for instruments with similar terms (Level 2).</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Satellite performance incentives obligation </w:t>
      </w:r>
      <w:r>
        <w:rPr>
          <w:rFonts w:ascii="Arial" w:cs="Arial" w:eastAsia="Arial" w:hAnsi="Arial"/>
          <w:sz w:val="17"/>
          <w:szCs w:val="17"/>
          <w:color w:val="auto"/>
        </w:rPr>
        <w:t>— The Company’s contract with the manufacturer of ViaSat-1 requires the Company to make monthly in-orbit 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September 30, 2015 and April 3, 2015, the Company’s estimated satellite performance incentives obligation and accrued interest was $22.1 million and $22.4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9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4840" w:type="dxa"/>
            <w:vAlign w:val="bottom"/>
          </w:tcPr>
          <w:p>
            <w:pPr>
              <w:spacing w:after="0"/>
              <w:rPr>
                <w:sz w:val="12"/>
                <w:szCs w:val="12"/>
                <w:color w:val="auto"/>
              </w:rPr>
            </w:pPr>
          </w:p>
        </w:tc>
        <w:tc>
          <w:tcPr>
            <w:tcW w:w="16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September 30, 2015</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October 3, 2014</w:t>
            </w:r>
          </w:p>
        </w:tc>
        <w:tc>
          <w:tcPr>
            <w:tcW w:w="400" w:type="dxa"/>
            <w:vAlign w:val="bottom"/>
            <w:tcBorders>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0"/>
              </w:rPr>
              <w:t>September 30, 2015</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October 3, 2014</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0" w:type="dxa"/>
            <w:vAlign w:val="bottom"/>
            <w:gridSpan w:val="4"/>
          </w:tcPr>
          <w:p>
            <w:pPr>
              <w:jc w:val="right"/>
              <w:ind w:right="136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Common shares outstanding used in calculating basic net</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income per share attributable to ViaSat, Inc. common</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48,205</w:t>
            </w:r>
          </w:p>
        </w:tc>
        <w:tc>
          <w:tcPr>
            <w:tcW w:w="40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46,863</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48,052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46,694</w:t>
            </w: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to purchase common stock as determined by</w:t>
            </w: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application of the treasury stock method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528</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w w:val="97"/>
              </w:rPr>
              <w:t>Restricted stock units to acquire common stock as determined</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by application of the treasury stock method</w:t>
            </w:r>
          </w:p>
        </w:tc>
        <w:tc>
          <w:tcPr>
            <w:tcW w:w="1200" w:type="dxa"/>
            <w:vAlign w:val="bottom"/>
          </w:tcPr>
          <w:p>
            <w:pPr>
              <w:jc w:val="right"/>
              <w:spacing w:after="0"/>
              <w:rPr>
                <w:sz w:val="20"/>
                <w:szCs w:val="20"/>
                <w:color w:val="auto"/>
              </w:rPr>
            </w:pPr>
            <w:r>
              <w:rPr>
                <w:rFonts w:ascii="Arial" w:cs="Arial" w:eastAsia="Arial" w:hAnsi="Arial"/>
                <w:sz w:val="18"/>
                <w:szCs w:val="18"/>
                <w:color w:val="auto"/>
              </w:rPr>
              <w:t>520</w:t>
            </w:r>
          </w:p>
        </w:tc>
        <w:tc>
          <w:tcPr>
            <w:tcW w:w="40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545</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469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Potentially issuable shares in connection with certain terms of</w:t>
            </w: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the ViaSat 401(k) Profit Sharing Plan and Employee Stock</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2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attributable to ViaSat, Inc. common stockholders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49,125</w:t>
            </w:r>
          </w:p>
        </w:tc>
        <w:tc>
          <w:tcPr>
            <w:tcW w:w="40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48,016</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48,995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47,899</w:t>
            </w:r>
          </w:p>
        </w:tc>
      </w:tr>
      <w:tr>
        <w:trPr>
          <w:trHeight w:val="20"/>
        </w:trPr>
        <w:tc>
          <w:tcPr>
            <w:tcW w:w="4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Antidilutive shares relating to stock options excluded from the calculation comprised 657,457 and 645,967 shares for the three and six months ended September 30, 2015, respectively, and 318,354 and 312,750 shares for the three and six months ended October 3, 2014, respectively.</w:t>
      </w:r>
    </w:p>
    <w:p>
      <w:pPr>
        <w:sectPr>
          <w:pgSz w:w="11900" w:h="16838" w:orient="portrait"/>
          <w:cols w:equalWidth="0" w:num="1">
            <w:col w:w="11360"/>
          </w:cols>
          <w:pgMar w:left="240" w:top="459" w:right="299" w:bottom="1440" w:gutter="0" w:footer="0" w:header="0"/>
        </w:sectPr>
      </w:pPr>
    </w:p>
    <w:bookmarkStart w:id="17" w:name="page18"/>
    <w:bookmarkEnd w:id="17"/>
    <w:p>
      <w:pPr>
        <w:ind w:firstLine="456"/>
        <w:spacing w:after="0" w:line="308" w:lineRule="auto"/>
        <w:rPr>
          <w:sz w:val="20"/>
          <w:szCs w:val="20"/>
          <w:color w:val="auto"/>
        </w:rPr>
      </w:pPr>
      <w:r>
        <w:rPr>
          <w:rFonts w:ascii="Arial" w:cs="Arial" w:eastAsia="Arial" w:hAnsi="Arial"/>
          <w:sz w:val="17"/>
          <w:szCs w:val="17"/>
          <w:color w:val="auto"/>
        </w:rPr>
        <w:t>Antidilutive shares relating to restricted stock units excluded from the calculation comprised 12,235 and six shares for the three and six months ended September 30, 2015, respectively, and 31,950 and zero shares for the three and six months ended October 3, 2014,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During the first six months of fiscal year 2016, the Company’s goodwill increased by $0.1 million, which related to the effects of foreign currency translation recorded within the Company’s government systems and commercial networks segments.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125"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six months of fiscal year 2016, $7.6 million of the increase in the Company’s other acquired intangible assets related to the acquisition of Engreen, recorded during the first quarter of fiscal year 2016, within the Company’s commercial networks segment. All other amounts recorded related to the acquisition of Engreen were not significant. Other acquired intangible assets are amortized using the straight-line method over their estimated useful lives of two to ten years. Amortization expense related to other acquired intangible assets was $4.6 million and $4.7 million for the three months ended September 30, 2015 and October 3, 2014, respectively, and $9.4 and $8.7 million for the six months ended September 30, 2015 and October 3, 2014, respectively.</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September 30, 2015 and April 3,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840" w:type="dxa"/>
            <w:vAlign w:val="bottom"/>
            <w:gridSpan w:val="4"/>
          </w:tcPr>
          <w:p>
            <w:pPr>
              <w:ind w:left="920"/>
              <w:spacing w:after="0"/>
              <w:rPr>
                <w:sz w:val="20"/>
                <w:szCs w:val="20"/>
                <w:color w:val="auto"/>
              </w:rPr>
            </w:pPr>
            <w:r>
              <w:rPr>
                <w:rFonts w:ascii="Arial" w:cs="Arial" w:eastAsia="Arial" w:hAnsi="Arial"/>
                <w:sz w:val="14"/>
                <w:szCs w:val="14"/>
                <w:b w:val="1"/>
                <w:bCs w:val="1"/>
                <w:color w:val="auto"/>
              </w:rPr>
              <w:t>September 30, 2015</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2020 Notes</w:t>
            </w:r>
          </w:p>
        </w:tc>
        <w:tc>
          <w:tcPr>
            <w:tcW w:w="11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575,000</w:t>
            </w:r>
          </w:p>
        </w:tc>
        <w:tc>
          <w:tcPr>
            <w:tcW w:w="7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9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582,025</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582,657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9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582,025</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582,657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165,000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Ex-Im Credit Facility (1)</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126,578</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Unamortized discount on the Ex-Im Credit Facility (1)</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(15,082)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277,338</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9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277,071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859,363</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806,653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current portion</w:t>
            </w:r>
          </w:p>
        </w:tc>
        <w:tc>
          <w:tcPr>
            <w:tcW w:w="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1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859,096</w:t>
            </w:r>
          </w:p>
        </w:tc>
        <w:tc>
          <w:tcPr>
            <w:tcW w:w="7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806,393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4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September 30, 2015, included in Ex-Im Credit Facility and in Unamortized discount on the Ex-Im Credit Facility was $8.4 million and $7.8 million, respectively, relating to the exposure fees accrued to date expected to be financed under the Ex-Im Credit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2015, the Revolving Credit Facility provided a $500.0 million revolving line of credit (including up to $150.0 million of letters of credit), with a maturity date of November 26, 2018. 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w:t>
      </w:r>
    </w:p>
    <w:p>
      <w:pPr>
        <w:sectPr>
          <w:pgSz w:w="11900" w:h="16838" w:orient="portrait"/>
          <w:cols w:equalWidth="0" w:num="1">
            <w:col w:w="11340"/>
          </w:cols>
          <w:pgMar w:left="240" w:top="459" w:right="319" w:bottom="1440" w:gutter="0" w:footer="0" w:header="0"/>
        </w:sectPr>
      </w:pP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40"/>
          </w:cols>
          <w:pgMar w:left="240" w:top="459" w:right="3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applicable margin that is based on the Company’s total leverage ratio. At September 30, 2015, the weighted average effective interest rate on the Company’s outstanding borrowings under the Revolving Credit Facility was 2.21%.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2015, none of the Company’s subsidiaries guaranteed the Revolving Credit Facility.</w:t>
      </w:r>
    </w:p>
    <w:p>
      <w:pPr>
        <w:spacing w:after="0" w:line="158"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66"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Company was in compliance with its financial covenants under the Revolving Credit Facility as of September 30, 2015. At September 30, 2015, the Company had $165.0 million in principal amount of outstanding borrowings under the Revolving Credit Facility and $46.2 million outstanding under standby letters of credit, leaving borrowing availability under the Revolving Credit Facility as of September 30, 2015 of $288.8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12, 2015, a foreign subsidiary of the Company entered into the Ex-Im Credit Facility with the Export-Import Bank of the United States. As of September 30,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 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estimated to be between 4.4% and 5.0% as of September 30, 2015. The Ex-Im Credit Facility is guaranteed by ViaSat and is secured by first-priority liens on the ViaSat-2 satellite and related assets, as well as a pledge of the capital stock of the borrower under the facility.</w:t>
      </w:r>
    </w:p>
    <w:p>
      <w:pPr>
        <w:spacing w:after="0" w:line="169" w:lineRule="exact"/>
        <w:rPr>
          <w:sz w:val="20"/>
          <w:szCs w:val="20"/>
          <w:color w:val="auto"/>
        </w:rPr>
      </w:pPr>
    </w:p>
    <w:p>
      <w:pPr>
        <w:ind w:right="520" w:firstLine="456"/>
        <w:spacing w:after="0" w:line="286" w:lineRule="auto"/>
        <w:rPr>
          <w:sz w:val="20"/>
          <w:szCs w:val="20"/>
          <w:color w:val="auto"/>
        </w:rPr>
      </w:pPr>
      <w:r>
        <w:rPr>
          <w:rFonts w:ascii="Arial" w:cs="Arial" w:eastAsia="Arial" w:hAnsi="Arial"/>
          <w:sz w:val="17"/>
          <w:szCs w:val="17"/>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was in compliance with its financial covenants under the Ex-Im Credit Facility as of September 30, 2015. At September 30, 2015, the Company had $126.6 million in principal amount of outstanding borrowings under the Ex-Im Credit Facility, leaving $354.9 million available to finance ViaSat-2 related costs once incurred. The borrowings under the Ex-Im Credit Facility were issued with a discount of $15.8 million (comprising the initial $6.0 million exposure fee, an accrual for a portion of the remaining exposure fees and other customary fees). The borrowings under the Ex-Im Credit Facility are recorded as long-term debt, net of discount, in the Company’s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ectPr>
          <w:pgSz w:w="11900" w:h="16838" w:orient="portrait"/>
          <w:cols w:equalWidth="0" w:num="1">
            <w:col w:w="11420"/>
          </w:cols>
          <w:pgMar w:left="240" w:top="45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February 2012, the Company issued $275.0 million in principal amount of 2020 Notes in a private placement to institutional buyers, which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exchanged in August 2012 for substantially identical 2020 Notes that had been registered with the SEC. These initial 2020 Notes were issued at face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are recorded as long-term debt in the Company’s condensed consolidated financial statements. In October 2012, the Company issued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in principal amount of 2020 Notes in a private placement to institutional buyers at an issue price of 103.50% of the principal amount,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exchanged in January 2013 for substantially identical 2020 Notes that had been registered with the SEC. The 2020 Notes are all treated as a single class.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2020 Notes bear interest at the rate of 6.875% per year, payable semi-annually in cash in arrears, which interest payments commenced in June 2012.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costs associated with the issuance of the 2020 Notes are amortized to interest expense on a straight-line basis over the term of the 2020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of which are not materially different from the effective interest rate basis. The $10.5 million premium the Company received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the additional 2020 Notes is recorded as long-term debt in the Company’s condensed consolidated financial statements and is being amortized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reduction to interest expense on an effective interest rate basis over the term of those 2020 Notes.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Revolving Credit Facility. As of September 30, 2015,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9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2015 and October 3, 2014:</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tcBorders>
              <w:bottom w:val="single" w:sz="8" w:color="auto"/>
            </w:tcBorders>
            <w:gridSpan w:val="3"/>
          </w:tcPr>
          <w:p>
            <w:pPr>
              <w:jc w:val="right"/>
              <w:ind w:right="820"/>
              <w:spacing w:after="0" w:line="142" w:lineRule="exact"/>
              <w:rPr>
                <w:sz w:val="20"/>
                <w:szCs w:val="20"/>
                <w:color w:val="auto"/>
              </w:rPr>
            </w:pPr>
            <w:r>
              <w:rPr>
                <w:rFonts w:ascii="Arial" w:cs="Arial" w:eastAsia="Arial" w:hAnsi="Arial"/>
                <w:sz w:val="14"/>
                <w:szCs w:val="14"/>
                <w:b w:val="1"/>
                <w:bCs w:val="1"/>
                <w:color w:val="auto"/>
                <w:w w:val="90"/>
              </w:rPr>
              <w:t>September 30, 2015</w:t>
            </w:r>
          </w:p>
        </w:tc>
        <w:tc>
          <w:tcPr>
            <w:tcW w:w="10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October 3, 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Change in liability for warranties issued in period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1,614</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made (in cash or in kind) during the period</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(4,178)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Balance, end of period</w:t>
            </w:r>
          </w:p>
        </w:tc>
        <w:tc>
          <w:tcPr>
            <w:tcW w:w="5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424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124"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color w:val="auto"/>
        </w:rPr>
        <w:t>From time to time, 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54"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2015. As of September 30, 2015, the DCAA had completed its incurred cost audit for fiscal year 2004 and approved the Company’s incurred cost claims for fiscal years 2005 through 2014 without further audit. Although the Company has recorded contract revenues subsequent to fiscal year 2014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2015 and April 3, 2015, the Company had $2.9 million and $4.3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 2015</w:t>
      </w:r>
    </w:p>
    <w:p>
      <w:pPr>
        <w:spacing w:after="0" w:line="117"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In September 2014, the Company entered into a settlement agreement with SS/L and Loral (the Settlement Agreement),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8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Company accounted for the amounts payable by SS/L and Loral under the Settlement Agreement as a multiple-element arrangement and allocated the total consideration to the identifiable elements based upon their fair value. The consideration assigned to each element was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license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damages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108,712</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three and six months ended September 30, 2015, the Company recorded $6.9 million and $13.7 million with respect to amounts realized under the Settlement Agreement, of which $6.3 million and $12.5 million were recognized as product revenues in the Company’s satellite services segment and $0.6 million and $1.3 million were recognized as interest income in the condensed consolidated financial statements, respectively. For the three and six months ended October 3, 2014, the Company recorded $40.0 million with respect to amounts realized under the Settlement Agreement, of which $21.0 million was recognized as product revenues in the Company’s satellite services segment, $18.7 million was recognized as a reduction to SG&amp;A expenses, and $0.3 million was recognized as interest income in the condensed consolidated financial statements. The remaining payments under the Settlement Agreement will be recognized in future periods when realized, and will be recorded as product revenues in the satellite services segment and interest income.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Company currently estimates its annual effective income tax rate to be approximately 36.0% for fiscal year 2016. The estimated effective tax rate is different from the expected statutory rate primarily due to non-deductible compensation and state research and development tax credits. The federal research and development tax credit expired on December 31, 2014. If the federal research and development tax credit is reinstated, the Company may have a lower annual effective income tax rate for fiscal year 2016, and the amount of any such decrease will depend on the effective date of any such reinstatement, the terms of the reinstatement, as well as the amount of eligible research and development expenses in the reinstated period.</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The Company’s analysis of the need for a valuation allowance on deferred tax assets considered the losses incurred during the fiscal years ended April 4, 2014 and March 29, 2013 and the income generated during the fiscal year ended April 3, 2015 and six months ended September 30, 2015. In fiscal year 2013, the Company recorded a significant loss, a substantial portion of which resulted from an extinguishment of debt charge that was recorded upon the refinancing of the Company’s former 2016 Notes with the proceeds from the issuance of additional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the litigation against SS/L and its former parent company Loral, which was settled during the second quarter of fiscal year 2015 (see Note 8). In addition to these events, the Company’s evaluation considered other factors, including the Company’s contractual backlog, the Company’s history of positive earnings, current earnings trends assuming the Company’s satellite subscriber base continues to grow, taxable income adjusted for certain items, and forecasted income by jurisdiction. The Company also considered the lengthy period over which these net deferred tax assets can be realized and the Company’s history of not having federal tax loss carryforwards expire unused. The Company will continue to evaluate the ability to realize its deferred tax assets on a quarterly basis to determine if the weight of available evidence suggests that an additional valuation allowance is needed.</w:t>
      </w:r>
    </w:p>
    <w:p>
      <w:pPr>
        <w:spacing w:after="0" w:line="169"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For the three and six months ended September 30, 2015, the Company’s gross unrecognized tax benefits increased by $0.4 million and $0.7 million, respectively. In the next twelve months it is reasonably possible that the amount of unrecognized tax benefits will not change significantly.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June 6, 2014, the Company completed the acquisition of all outstanding shares of NetNearU. The purchase price for NetNearU was $60.2 million in cash consideration. The net cash outlay for the acquisition, after taking into account cash acquired of $4.1 million, was $56.1 million.</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Merger-related transaction costs incurred by the Company during the first quarter of fiscal year 2015 were approximately $0.4 million, which were recorded in SG&amp;A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purchase price allocation of the acquired assets and assumed liabilities based on the estimated fair values as of June 6, 2014 is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20" w:type="dxa"/>
            <w:vAlign w:val="bottom"/>
            <w:gridSpan w:val="4"/>
          </w:tcPr>
          <w:p>
            <w:pPr>
              <w:ind w:left="38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38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4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0" w:type="dxa"/>
            <w:vAlign w:val="bottom"/>
            <w:vMerge w:val="restart"/>
          </w:tcPr>
          <w:p>
            <w:pPr>
              <w:jc w:val="right"/>
              <w:ind w:right="2696"/>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assigned to identifiable intangible assets are being amortized on a straight-line basis over their estimated useful lives and are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Fair value</w:t>
            </w: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40" w:type="dxa"/>
            <w:vAlign w:val="bottom"/>
            <w:gridSpan w:val="3"/>
          </w:tcPr>
          <w:p>
            <w:pPr>
              <w:ind w:left="192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Trade name</w:t>
            </w:r>
          </w:p>
        </w:tc>
        <w:tc>
          <w:tcPr>
            <w:tcW w:w="1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intangible assets acquired in the NetNearU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NetNearU has developed a comprehensive network management system for Wi-Fi and other internet access networks that the Company expects to use to extend the Company’s Exede</w:t>
      </w:r>
      <w:r>
        <w:rPr>
          <w:rFonts w:ascii="Arial" w:cs="Arial" w:eastAsia="Arial" w:hAnsi="Arial"/>
          <w:sz w:val="13"/>
          <w:szCs w:val="13"/>
          <w:color w:val="auto"/>
        </w:rPr>
        <w:t>®</w:t>
      </w:r>
      <w:r>
        <w:rPr>
          <w:rFonts w:ascii="Arial" w:cs="Arial" w:eastAsia="Arial" w:hAnsi="Arial"/>
          <w:sz w:val="16"/>
          <w:szCs w:val="16"/>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w:t>
      </w:r>
    </w:p>
    <w:p>
      <w:pPr>
        <w:spacing w:after="0" w:line="16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fixed and mobile secure government communications systems, network management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Segment revenues and operating profits (losses) for the three and six months ended September 30, 2015 and October 3, 2014 were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September 30, 2015</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October 3, 2014</w:t>
            </w:r>
          </w:p>
        </w:tc>
        <w:tc>
          <w:tcPr>
            <w:tcW w:w="6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 (1)</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6,376</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21,289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12,652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133,809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114,647</w:t>
            </w:r>
          </w:p>
        </w:tc>
        <w:tc>
          <w:tcPr>
            <w:tcW w:w="3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259,949</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224,332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135,936</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272,601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61,983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83,109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123,494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3,750</w:t>
            </w:r>
          </w:p>
        </w:tc>
        <w:tc>
          <w:tcPr>
            <w:tcW w:w="3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9,631</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86,859</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133,125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89,526</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195,862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70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51,474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46,437</w:t>
            </w:r>
          </w:p>
        </w:tc>
        <w:tc>
          <w:tcPr>
            <w:tcW w:w="36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96,120</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84,458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135,963</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291,982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Elimination of intersegment revenues</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353,330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358,758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697,708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678,229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Satellite Services (2)</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21,036</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39,351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38,077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(22,306)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(7,253)</w:t>
            </w:r>
          </w:p>
        </w:tc>
        <w:tc>
          <w:tcPr>
            <w:tcW w:w="36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(41,039)</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19,683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19,016</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35,599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340"/>
              <w:spacing w:after="0" w:line="201" w:lineRule="exact"/>
              <w:rPr>
                <w:sz w:val="20"/>
                <w:szCs w:val="20"/>
                <w:color w:val="auto"/>
              </w:rPr>
            </w:pPr>
            <w:r>
              <w:rPr>
                <w:rFonts w:ascii="Arial" w:cs="Arial" w:eastAsia="Arial" w:hAnsi="Arial"/>
                <w:sz w:val="18"/>
                <w:szCs w:val="18"/>
                <w:color w:val="auto"/>
              </w:rPr>
              <w:t>Elimination of intersegment operating</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520"/>
              <w:spacing w:after="0"/>
              <w:rPr>
                <w:sz w:val="20"/>
                <w:szCs w:val="20"/>
                <w:color w:val="auto"/>
              </w:rPr>
            </w:pPr>
            <w:r>
              <w:rPr>
                <w:rFonts w:ascii="Arial" w:cs="Arial" w:eastAsia="Arial" w:hAnsi="Arial"/>
                <w:sz w:val="18"/>
                <w:szCs w:val="18"/>
                <w:color w:val="auto"/>
              </w:rPr>
              <w:t>profits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operating profit before corporate and</w:t>
            </w:r>
          </w:p>
        </w:tc>
        <w:tc>
          <w:tcPr>
            <w:tcW w:w="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18,413</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51,114</w:t>
            </w:r>
          </w:p>
        </w:tc>
        <w:tc>
          <w:tcPr>
            <w:tcW w:w="3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32,637</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(4,587)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(4,658)</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(9,397)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46,456</w:t>
            </w:r>
          </w:p>
        </w:tc>
        <w:tc>
          <w:tcPr>
            <w:tcW w:w="6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23,240</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revenues in the satellite services segment for the three and six months ended September 30, 2015 included $6.3 and $12.5 million, respectively, and for the three and six months ended October 3, 2014 included $21.0 million relating to amounts realized under the Settlement Agreement. See Note 8.</w:t>
      </w:r>
    </w:p>
    <w:p>
      <w:pPr>
        <w:ind w:left="460" w:right="72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profits for the satellite services segment for the three and six months ended September 30, 2015 included $6.3 and $12.5 million, respectively, and for the three and six months ended October 3, 2014 included $39.7 million relating to amounts realized under the Settlement Agreement. See Note 8.</w:t>
      </w:r>
    </w:p>
    <w:p>
      <w:pPr>
        <w:spacing w:after="0" w:line="19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September 30, 2015 and April 3, 2015 were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As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060" w:type="dxa"/>
            <w:vAlign w:val="bottom"/>
            <w:gridSpan w:val="3"/>
          </w:tcPr>
          <w:p>
            <w:pPr>
              <w:ind w:left="21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April 3,</w:t>
            </w: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4"/>
          </w:tcPr>
          <w:p>
            <w:pPr>
              <w:jc w:val="right"/>
              <w:ind w:right="57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2300" w:type="dxa"/>
            <w:vAlign w:val="bottom"/>
            <w:gridSpan w:val="2"/>
          </w:tcPr>
          <w:p>
            <w:pPr>
              <w:ind w:left="21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66,382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Networks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234,527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284,963</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585,872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 assets</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1,659,927</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1,604,007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2,245,799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2,158,378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459" w:right="2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acquired intangible assets, net and goodwill included in segment assets as of September 30, 2015 and April 3, 2015 were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95"/>
              </w:rPr>
              <w:t>Other Acquired Intangible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6"/>
              </w:rPr>
              <w:t>Assets, Net</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As of</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rPr>
              <w:t>As of</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As of</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2015</w:t>
            </w: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12,343</w:t>
            </w: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17,873</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9,809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1,443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43,972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43,994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20,448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23,024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63,594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63,438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42,340</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117,375</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117,241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six months ended September 30, 2015 and October 3, 2014 was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9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 2014</w:t>
            </w: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September 30, 2015</w:t>
            </w: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October 3, 2014</w:t>
            </w:r>
          </w:p>
        </w:tc>
        <w:tc>
          <w:tcPr>
            <w:tcW w:w="10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4"/>
          </w:tcPr>
          <w:p>
            <w:pPr>
              <w:jc w:val="right"/>
              <w:ind w:right="288"/>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2,765</w:t>
            </w: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5,530</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Commercial Networks</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373</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1,251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w:t>
            </w:r>
          </w:p>
        </w:tc>
      </w:tr>
      <w:tr>
        <w:trPr>
          <w:trHeight w:val="209"/>
        </w:trPr>
        <w:tc>
          <w:tcPr>
            <w:tcW w:w="3800" w:type="dxa"/>
            <w:vAlign w:val="bottom"/>
          </w:tcPr>
          <w:p>
            <w:pPr>
              <w:spacing w:after="0"/>
              <w:rPr>
                <w:sz w:val="20"/>
                <w:szCs w:val="20"/>
                <w:color w:val="auto"/>
              </w:rPr>
            </w:pPr>
            <w:r>
              <w:rPr>
                <w:rFonts w:ascii="Arial" w:cs="Arial" w:eastAsia="Arial" w:hAnsi="Arial"/>
                <w:sz w:val="18"/>
                <w:szCs w:val="18"/>
                <w:color w:val="auto"/>
              </w:rPr>
              <w:t>Total amortization of acquired intangible</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assets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4,587</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4,658</w:t>
            </w:r>
          </w:p>
        </w:tc>
        <w:tc>
          <w:tcPr>
            <w:tcW w:w="82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9,397</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8,687</w:t>
            </w:r>
          </w:p>
        </w:tc>
      </w:tr>
      <w:tr>
        <w:trPr>
          <w:trHeight w:val="20"/>
        </w:trPr>
        <w:tc>
          <w:tcPr>
            <w:tcW w:w="3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456"/>
        <w:spacing w:after="0" w:line="285"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our ability to successfully develop, introduce and sell new technologies, products and services; negative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April 3, 2015,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an innovator in broadband technologies and services, including satellite and wireless networking applications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May 4, 2015, our Board of Directors approved a change in our fiscal year from a 52 or 53 week fiscal year ending on the Friday closest to March 31 to a fiscal year ending on March 31 of each year, effective with the fiscal year commencing April 4, 2015. Beginning April 4, 2015, our fiscal quarters end on June 30, September 30, December 31, and March 31 of each year. Our fiscal quarters for fiscal year 2015 ended on July 4, 2014, October 3, 2014, January 2, 2015 and April 3, 2015.</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first quarter of fiscal year 2016, we completed the acquisition of Engreen Inc. (Engreen), a privately held company focused on network function virtualization, for approximately $5.0 million (of which $1.0 million has been withheld as security for any indemnifiable damages), recorded within our commercial networks segment. During the first quarter of fiscal year 2015, we completed the acquisition of NetNearU Corp. (NetNearU), a privately held company that has developed a comprehensive network management system for Wi-Fi and other internet access networks, for approximately $60.2 million, recorded within our government systems segment.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Exede</w:t>
      </w:r>
      <w:r>
        <w:rPr>
          <w:rFonts w:ascii="Arial" w:cs="Arial" w:eastAsia="Arial" w:hAnsi="Arial"/>
          <w:sz w:val="15"/>
          <w:szCs w:val="15"/>
          <w:color w:val="auto"/>
        </w:rPr>
        <w:t>®</w:t>
      </w:r>
      <w:r>
        <w:rPr>
          <w:rFonts w:ascii="Arial" w:cs="Arial" w:eastAsia="Arial" w:hAnsi="Arial"/>
          <w:sz w:val="18"/>
          <w:szCs w:val="18"/>
          <w:color w:val="auto"/>
        </w:rPr>
        <w:t xml:space="preserve"> broadband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Our satellite services business also provides a platform for the provision of network management services to domestic and international satellite service providers. In May 2013, we entered into a satellite construction contract for ViaSat-2, our second high-capacity Ka-band satellite.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31" w:lineRule="exact"/>
        <w:rPr>
          <w:sz w:val="20"/>
          <w:szCs w:val="20"/>
          <w:color w:val="auto"/>
        </w:rPr>
      </w:pPr>
    </w:p>
    <w:p>
      <w:pPr>
        <w:jc w:val="both"/>
        <w:ind w:left="900" w:right="24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and wholesale broadband satellite services offered to consumers and businesses under the Exede and WildBlue</w:t>
      </w:r>
      <w:r>
        <w:rPr>
          <w:rFonts w:ascii="Arial" w:cs="Arial" w:eastAsia="Arial" w:hAnsi="Arial"/>
          <w:sz w:val="15"/>
          <w:szCs w:val="15"/>
          <w:color w:val="auto"/>
        </w:rPr>
        <w:t>®</w:t>
      </w:r>
      <w:r>
        <w:rPr>
          <w:rFonts w:ascii="Arial" w:cs="Arial" w:eastAsia="Arial" w:hAnsi="Arial"/>
          <w:sz w:val="18"/>
          <w:szCs w:val="18"/>
          <w:color w:val="auto"/>
        </w:rPr>
        <w:t xml:space="preserve"> brands, which provide two-way satellite-based broadband internet access and Voice over Internet Protocol (VoIP). As of September 30, 2015, we provided broadband satellite services to approximately 687,000 subscribers.</w:t>
      </w:r>
    </w:p>
    <w:p>
      <w:pPr>
        <w:spacing w:after="0" w:line="86"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internet services (including our flagship Exede In The Air service), live on-line event streaming, oil and natural gas data gathering services and high definition satellite news gathering.</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September 2014, we entered into a settlement agreement (the Settlement Agreement) with Space Systems/Loral, Inc. (SS/L) and its former parent company Loral Space &amp; Communications, Inc. (Loral), pursuant to which SS/L and Loral are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any intellectual property claims. We record payments under the Settlement Agreement as product revenues and as a reduction of selling, general and administrative (SG&amp;A) expenses in our satellite services segment, and as interest income. For further information, see Note 8 to the condensed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76" w:lineRule="exact"/>
        <w:rPr>
          <w:sz w:val="20"/>
          <w:szCs w:val="20"/>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31" w:lineRule="exact"/>
        <w:rPr>
          <w:sz w:val="20"/>
          <w:szCs w:val="20"/>
          <w:color w:val="auto"/>
        </w:rPr>
      </w:pPr>
    </w:p>
    <w:p>
      <w:pPr>
        <w:ind w:left="900" w:right="3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service and product offerings, which provide military and government users with two-way mobile broadband connectivity via satellite in key regions of the world.</w:t>
      </w:r>
    </w:p>
    <w:p>
      <w:pPr>
        <w:spacing w:after="0" w:line="75" w:lineRule="exact"/>
        <w:rPr>
          <w:rFonts w:ascii="Arial" w:cs="Arial" w:eastAsia="Arial" w:hAnsi="Arial"/>
          <w:sz w:val="18"/>
          <w:szCs w:val="18"/>
          <w:color w:val="auto"/>
        </w:rPr>
      </w:pPr>
    </w:p>
    <w:p>
      <w:pPr>
        <w:ind w:left="900" w:right="200" w:hanging="325"/>
        <w:spacing w:after="0" w:line="27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and include products designed for manpacks, aircraft, unmanned aerial vehicles (UAVs), seagoing vessels, ground mobile vehicles and fixed applications.</w:t>
      </w:r>
    </w:p>
    <w:p>
      <w:pPr>
        <w:spacing w:after="0" w:line="77" w:lineRule="exact"/>
        <w:rPr>
          <w:rFonts w:ascii="Arial" w:cs="Arial" w:eastAsia="Arial" w:hAnsi="Arial"/>
          <w:sz w:val="17"/>
          <w:szCs w:val="17"/>
          <w:color w:val="auto"/>
        </w:rPr>
      </w:pPr>
    </w:p>
    <w:p>
      <w:pPr>
        <w:ind w:left="900" w:right="14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Information security and assurance products and secure networking solutions, which provide advanced, high-speed IP-based “Type 1” and High Assurance Internet Protocol Encryption (HAIPE</w:t>
      </w:r>
      <w:r>
        <w:rPr>
          <w:rFonts w:ascii="Arial" w:cs="Arial" w:eastAsia="Arial" w:hAnsi="Arial"/>
          <w:sz w:val="14"/>
          <w:szCs w:val="14"/>
          <w:color w:val="auto"/>
        </w:rPr>
        <w:t>®</w:t>
      </w:r>
      <w:r>
        <w:rPr>
          <w:rFonts w:ascii="Arial" w:cs="Arial" w:eastAsia="Arial" w:hAnsi="Arial"/>
          <w:sz w:val="17"/>
          <w:szCs w:val="17"/>
          <w:color w:val="auto"/>
        </w:rPr>
        <w:t>)-compliant encryption solutions that enable military and government users to communicate information securely over networks, and that secure data stored on computers and storage devices.</w:t>
      </w:r>
    </w:p>
    <w:p>
      <w:pPr>
        <w:spacing w:after="0" w:line="70" w:lineRule="exact"/>
        <w:rPr>
          <w:rFonts w:ascii="Arial" w:cs="Arial" w:eastAsia="Arial" w:hAnsi="Arial"/>
          <w:sz w:val="17"/>
          <w:szCs w:val="17"/>
          <w:color w:val="auto"/>
        </w:rPr>
      </w:pPr>
    </w:p>
    <w:p>
      <w:pPr>
        <w:ind w:left="900" w:right="38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90% and 89% of our total revenues for these segments for the three months ended September 30, 2015 and October 3, 2014, respectively, and 89% of our total revenues for these segments for the six months ended September 30, 2015 and October 3, 2014.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7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6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20% and 23% of our total revenues in the three months ended September 30, 2015 and October 3, 2014, respectively. Revenues for our funded research and development from our customer contracts were approximately 19% and 25% of our total revenues in the six months ended September 30, 2015 and October 3, 2014, respectively.</w:t>
      </w:r>
    </w:p>
    <w:p>
      <w:pPr>
        <w:spacing w:after="0" w:line="165" w:lineRule="exact"/>
        <w:rPr>
          <w:sz w:val="20"/>
          <w:szCs w:val="20"/>
          <w:color w:val="auto"/>
        </w:rPr>
      </w:pPr>
    </w:p>
    <w:p>
      <w:pPr>
        <w:ind w:right="540" w:firstLine="456"/>
        <w:spacing w:after="0" w:line="297"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6% and 3% of total revenues during the three months ended September 30, 2015 and October 3, 2014, respectively, and approximately 5% and 3% of total revenues during the six months ended September 30, 2015 and October 3, 2014, respectively. As a government contractor, we are able to recover a portion of our IR&amp;D expenses pursuant to our government contracts.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recognized in full in the period in which losses become probable and estimable. During the three months ended September 30, 2015 and October 3, 2014, we recorded losses of approximately $0.3 million and no losses, respectively, related to loss contracts. During the six months ended September 30, 2015 and October 3, 2014, we recorded losses of approximately $1.7 million and $0.1 million, respectively, related to loss contracts.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September 30, 2015 would change our income before income taxes by approximately $0.4 million.</w:t>
      </w:r>
    </w:p>
    <w:p>
      <w:pPr>
        <w:spacing w:after="0" w:line="17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6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6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own two satellites: ViaSat-1 (our first high-capacity Ka-band spot-beam satellite, which was placed into service in January 2012) and WildBlue-1 (which was placed into service in March 2007). In May 2013, we entered into a satellite construction contract for ViaSat-2, our second high-capacity Ka-band satellite. In addition, we have an exclusive prepaid lifetime capital lease of Ka-band capacity over the contiguous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2015 and October 3, 2014.</w:t>
      </w:r>
    </w:p>
    <w:p>
      <w:pPr>
        <w:spacing w:after="0" w:line="17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88"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Based on our qualitative assessment performed during the fourth quarter of fiscal year 2015, we concluded that it was more likely than not that the estimated fair value of our reporting units exceeded their carrying value as of April 3, 2015 and, therefore, determined it was not necessary to perform the two-step goodwill impairment test.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$15.6 million at April 3, 2015 to $15.7 million at September 30, 2015. The valuation allowance primarily relates to state net operating loss carryforwards and research and development tax credit carryforwards available to reduce state income taxes.</w:t>
      </w:r>
    </w:p>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analysis of the need for a valuation allowance on deferred tax assets considered the losses incurred during the fiscal years ended April 4, 2014 and March 29, 2013 and the income generated during the fiscal year ended April 3, 2015 and six months ended September 30, 2015. In fiscal year 2013, we recorded a significant loss, a substantial portion of which resulted from an extinguishment of debt charge that was recorded upon the refinancing of our former 8.875% Senior Notes due 2016 (2016 Notes) with the proceeds from the issuance of additional 6.875% Senior Notes due 2020 (2020 Notes), which provides a benefit to net income due to the lower interest rate of the 2020 Notes. The loss from fiscal year 2014 was less significant and a substantial portion of that loss related to legal expense focused on protecting and extending our technology advantages in the litigation against SS/L and Loral, which was settled during the second quarter of fiscal year 2015 (see Note 8 to the condensed consolidated financial statements). In addition to these events, our evaluation considered other factors, including our contractual backlog, our history of positive earnings, current earnings trends assuming our satellite subscriber base continues to grow, taxable income adjusted for certain items, and forecasted income by jurisdiction. We also considered the lengthy period over which these net deferred tax assets can be realized and our history of not having federal tax loss carryforwards expire unused.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92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14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70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October 3,</w:t>
            </w:r>
          </w:p>
        </w:tc>
        <w:tc>
          <w:tcPr>
            <w:tcW w:w="200" w:type="dxa"/>
            <w:vAlign w:val="bottom"/>
          </w:tcPr>
          <w:p>
            <w:pPr>
              <w:spacing w:after="0"/>
              <w:rPr>
                <w:sz w:val="10"/>
                <w:szCs w:val="10"/>
                <w:color w:val="auto"/>
              </w:rPr>
            </w:pPr>
          </w:p>
        </w:tc>
      </w:tr>
      <w:tr>
        <w:trPr>
          <w:trHeight w:val="171"/>
        </w:trPr>
        <w:tc>
          <w:tcPr>
            <w:tcW w:w="5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Product revenues</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46.3</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54.1</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47.6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53.4</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53.7</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45.9</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52.4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 revenues</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32.9</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36.3</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Cost of service revenues</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35.3</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31.1</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34.7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20.8</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15.2</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Independent research and development</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5.9</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3.2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5.2</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right="5000"/>
        <w:spacing w:after="0" w:line="407" w:lineRule="auto"/>
        <w:rPr>
          <w:sz w:val="20"/>
          <w:szCs w:val="20"/>
          <w:color w:val="auto"/>
        </w:rPr>
      </w:pPr>
      <w:r>
        <w:rPr>
          <w:rFonts w:ascii="Arial" w:cs="Arial" w:eastAsia="Arial" w:hAnsi="Arial"/>
          <w:sz w:val="18"/>
          <w:szCs w:val="18"/>
          <w:b w:val="1"/>
          <w:bCs w:val="1"/>
          <w:color w:val="auto"/>
        </w:rPr>
        <w:t xml:space="preserve">Three Months Ended September 30, 2015 vs. Three Months Ended October 3, 2014 </w:t>
      </w:r>
      <w:r>
        <w:rPr>
          <w:rFonts w:ascii="Arial" w:cs="Arial" w:eastAsia="Arial" w:hAnsi="Arial"/>
          <w:sz w:val="18"/>
          <w:szCs w:val="18"/>
          <w:i w:val="1"/>
          <w:iCs w:val="1"/>
          <w:color w:val="auto"/>
        </w:rPr>
        <w:t>Revenues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tcPr>
          <w:p>
            <w:pPr>
              <w:spacing w:after="0"/>
              <w:rPr>
                <w:sz w:val="10"/>
                <w:szCs w:val="10"/>
                <w:color w:val="auto"/>
              </w:rPr>
            </w:pPr>
          </w:p>
        </w:tc>
        <w:tc>
          <w:tcPr>
            <w:tcW w:w="1460" w:type="dxa"/>
            <w:vAlign w:val="bottom"/>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560" w:type="dxa"/>
            <w:vAlign w:val="bottom"/>
          </w:tcPr>
          <w:p>
            <w:pPr>
              <w:spacing w:after="0"/>
              <w:rPr>
                <w:sz w:val="10"/>
                <w:szCs w:val="10"/>
                <w:color w:val="auto"/>
              </w:rPr>
            </w:pPr>
          </w:p>
        </w:tc>
        <w:tc>
          <w:tcPr>
            <w:tcW w:w="12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24.8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total revenues decreased by $5.4 million as a result of a $30.3 million decrease in product revenues, partially offset by a $24.8 million increase in service revenues. The product revenue decrease was driven by decreases of $21.1 million in our commercial networks segment and $14.9 million in our satellite services segment (related to the Settlement Agreement, which we entered into during the second quarter of fiscal year 2015), partially offset by an increase of $5.8 million in our government systems segment. The service revenue increase was comprised of increases of $19.2 million in our satellite services segment and $5.0 million in our government systems segment.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tcPr>
          <w:p>
            <w:pPr>
              <w:spacing w:after="0"/>
              <w:rPr>
                <w:sz w:val="10"/>
                <w:szCs w:val="10"/>
                <w:color w:val="auto"/>
              </w:rPr>
            </w:pPr>
          </w:p>
        </w:tc>
        <w:tc>
          <w:tcPr>
            <w:tcW w:w="14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111.6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Cost of revenues decreased by $0.9 million due to a $13.9 million decrease in cost of product revenues, offset by an increase in cost of service revenues of $13.0 million. The cost of product revenues decrease was primarily due to decreased revenues, causing a $11.7 million decrease in cost of product revenues on a constant margin basis, prior to the effects of product revenues related to the implied license under the Settlement Agreement. This cost of product revenues decrease mainly related to our fixed satellite networks (driven by consumer broadband products) and our antenna systems products in our commercial networks segment. The cost of service revenues increase was primarily due to increased service revenues, which generated a $16.8 million increase in cost of service revenues on a constant margin basis. This increase mainly related to our Exede broadband services in our satellite services segment and our network management services for Wi-Fi and other internet access networks in our government systems segment, partially offset by improved margins from our Exede broadband services (resulting from the higher number of Exede subscribers compared to the prior year period and resultant scale in revenues, as well as higher quality and higher value service plan offerings).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2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October 3,</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4"/>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202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$18.9 million increase in SG&amp;A expenses was attributable to higher support costs of $21.5 million primarily due to our satellite services segment (mainly related to the recognition of $18.7 million of payments made under the Settlement Agreement as a reduction to SG&amp;A expenses during the second quarter of fiscal year 2015). This increase was partially offset by lower new business proposal costs of $1.5 million mainly in our government systems segment as well as lower selling costs primarily from our satellite services segment. SG&amp;A expenses consisted primarily of personnel costs and expenses for business development, marketing and sales, bid and proposal, facilities, finance, contract administration and general management.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80" w:type="dxa"/>
            <w:vAlign w:val="bottom"/>
            <w:vMerge w:val="restart"/>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October 3,</w:t>
            </w:r>
          </w:p>
        </w:tc>
        <w:tc>
          <w:tcPr>
            <w:tcW w:w="620" w:type="dxa"/>
            <w:vAlign w:val="bottom"/>
          </w:tcPr>
          <w:p>
            <w:pPr>
              <w:spacing w:after="0"/>
              <w:rPr>
                <w:sz w:val="10"/>
                <w:szCs w:val="10"/>
                <w:color w:val="auto"/>
              </w:rPr>
            </w:pPr>
          </w:p>
        </w:tc>
        <w:tc>
          <w:tcPr>
            <w:tcW w:w="126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620" w:type="dxa"/>
            <w:vAlign w:val="bottom"/>
          </w:tcPr>
          <w:p>
            <w:pPr>
              <w:spacing w:after="0"/>
              <w:rPr>
                <w:sz w:val="14"/>
                <w:szCs w:val="14"/>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development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4"/>
              </w:rPr>
              <w:t>Independent research and</w:t>
            </w:r>
          </w:p>
        </w:tc>
        <w:tc>
          <w:tcPr>
            <w:tcW w:w="35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11.5</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$9.2 million increase in IR&amp;D expenses was primarily the result of increased IR&amp;D efforts in our commercial networks segment of $9.4 million (primarily related to research increases in next-generation consumer broadband, mobile broadband satellite communication systems and next-generation satellite payload technologies).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Amortization of acquired intangible assets remained relatively flat in the second quarter of fiscal year 2016 compared to the prior year period. Current and expected amortization expense for acquired intangible assets for each of the following periods is as follows:</w:t>
      </w:r>
    </w:p>
    <w:p>
      <w:pPr>
        <w:sectPr>
          <w:pgSz w:w="11900" w:h="16838" w:orient="portrait"/>
          <w:cols w:equalWidth="0" w:num="1">
            <w:col w:w="11420"/>
          </w:cols>
          <w:pgMar w:left="240" w:top="459" w:right="239" w:bottom="1440" w:gutter="0" w:footer="0" w:header="0"/>
        </w:sectPr>
      </w:pPr>
    </w:p>
    <w:bookmarkStart w:id="35" w:name="page36"/>
    <w:bookmarkEnd w:id="35"/>
    <w:tbl>
      <w:tblPr>
        <w:tblLayout w:type="fixed"/>
        <w:tblInd w:w="6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5"/>
              </w:rPr>
              <w:t>For the six months ended September 30, 2015</w:t>
            </w:r>
          </w:p>
        </w:tc>
        <w:tc>
          <w:tcPr>
            <w:tcW w:w="3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560" w:type="dxa"/>
            <w:vAlign w:val="bottom"/>
          </w:tcPr>
          <w:p>
            <w:pPr>
              <w:spacing w:after="0"/>
              <w:rPr>
                <w:sz w:val="20"/>
                <w:szCs w:val="20"/>
                <w:color w:val="auto"/>
              </w:rPr>
            </w:pPr>
            <w:r>
              <w:rPr>
                <w:rFonts w:ascii="Arial" w:cs="Arial" w:eastAsia="Arial" w:hAnsi="Arial"/>
                <w:sz w:val="18"/>
                <w:szCs w:val="18"/>
                <w:color w:val="auto"/>
                <w:w w:val="96"/>
              </w:rPr>
              <w:t>Expected for the remainder of fiscal year 2016</w:t>
            </w:r>
          </w:p>
        </w:tc>
        <w:tc>
          <w:tcPr>
            <w:tcW w:w="3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00" w:type="dxa"/>
            <w:vAlign w:val="bottom"/>
            <w:vMerge w:val="restart"/>
          </w:tcPr>
          <w:p>
            <w:pPr>
              <w:jc w:val="right"/>
              <w:ind w:right="2710"/>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60"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$0.3 million increase in interest income in the three months ended September 30, 2015 compared to the prior year period was due to a $0.3 million increase in the amount of payments under the Settlement Agreement recognized as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$1.6 million decrease in interest expense in the three months ended September 30, 2015 compared to the prior year period was due primarily to an increase of $3.5 million in the amount of interest capitalized during the second quarter of fiscal year 2016 compared to the same period last fiscal year. This decrease was partially offset by increased interest expense due to the overall higher amount of outstanding borrowings during the three months ended September 30, 2015 compared to the prior year period. Capitalized interest expense during the three months ended September 30, 2015 and October 3, 2014 related to the construction of ViaSat-2 and other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currently estimate our annual effective income tax rate to be approximately 36.0% for fiscal year 2016. For the three months ended September 30, 2015, we recorded income tax expense of $2.8 million. For the three months ended October 3, 2014, we recorded income tax expense of $14.5 million. The decrease in income tax expense was the result of lower pre-tax earnings during the three months ended September 30, 2015 compared to the three months ended October 3, 2014. The federal research and development tax credit expired on December 31, 2014. If the federal research and development tax credit is reinstated, we may have a lower annual effective income tax rate for fiscal year 2016, and the amount of any such decrease will depend on the effective date of any such reinstatement, the terms of the reinstatement, as well as the amount of eligible research and development expenses in the reinstated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2015 vs. Three Months Ended October 3,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114.6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19.2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satellite services segment revenues grew by $4.2 million as a result of a $19.2 million increase in service revenues, offset by a $14.9 million decrease in product revenues. The increase in service revenues related primarily to retail and wholesale broadband services, and was primarily driven by an increase in the number of our Exede broadband subscribers compared to the prior year period, as well as higher average revenue per subscriber. Total subscribers grew 5% from approximately 657,000 at October 3, 2014 to approximately 687,000 at September 30, 2015. The service revenue increase also reflected an over 100% expansion of our in-flight internet service compared to the prior year period, with 419 aircraft in service as of September 30, 2015. The change in product revenues related to the amounts recorded under the Settlement Agreement, which we entered into during the second quarter of fiscal year 2015.</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60" w:type="dxa"/>
            <w:vAlign w:val="bottom"/>
            <w:vMerge w:val="restart"/>
          </w:tcPr>
          <w:p>
            <w:pPr>
              <w:spacing w:after="0"/>
              <w:rPr>
                <w:sz w:val="10"/>
                <w:szCs w:val="10"/>
                <w:color w:val="auto"/>
              </w:rPr>
            </w:pPr>
          </w:p>
        </w:tc>
        <w:tc>
          <w:tcPr>
            <w:tcW w:w="15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70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3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3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21.0</w:t>
            </w: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39.4</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(18.3)</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15.0%</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28.9%</w:t>
            </w: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decrease in operating profit from our satellite services segment was primarily due to the recognition of $18.7 million of payments made under the Settlement Agreement as a reduction to SG&amp;A expenses during the second quarter of fiscal year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6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640" w:type="dxa"/>
            <w:vAlign w:val="bottom"/>
          </w:tcPr>
          <w:p>
            <w:pPr>
              <w:spacing w:after="0"/>
              <w:rPr>
                <w:sz w:val="10"/>
                <w:szCs w:val="10"/>
                <w:color w:val="auto"/>
              </w:rPr>
            </w:pPr>
          </w:p>
        </w:tc>
        <w:tc>
          <w:tcPr>
            <w:tcW w:w="13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Our commercial networks segment revenues decreased by $20.5 million, primarily due to a $21.1 million decrease in product revenues. Of this product revenue decrease, $12.9 million related to fixed satellite networks (driven primarily by our large scale Australian Ka-band infrastructure project as it moves closer to completion as well as consumer broadband products due to reduced revenues from terminal sales, partially offset by our next-generation Ka-band system contract in Canada). In addition, our antenna systems products revenues decreased $6.9 million, as certain programs move closer to completion.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October 3,</w:t>
            </w:r>
          </w:p>
        </w:tc>
        <w:tc>
          <w:tcPr>
            <w:tcW w:w="740" w:type="dxa"/>
            <w:vAlign w:val="bottom"/>
          </w:tcPr>
          <w:p>
            <w:pPr>
              <w:spacing w:after="0"/>
              <w:rPr>
                <w:sz w:val="10"/>
                <w:szCs w:val="10"/>
                <w:color w:val="auto"/>
              </w:rPr>
            </w:pPr>
          </w:p>
        </w:tc>
        <w:tc>
          <w:tcPr>
            <w:tcW w:w="12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2014</w:t>
            </w:r>
          </w:p>
        </w:tc>
        <w:tc>
          <w:tcPr>
            <w:tcW w:w="7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(7.3)</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(15.1)</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(8.4)%</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$15.1 million increase in our commercial networks segment operating loss was driven by a $9.4 million increase in IR&amp;D expenses (primarily due to an increase in next-generation consumer broadband, mobile broadband satellite communication systems and next-generation satellite payload technologies) and an increase of $3.6 million in support, selling and new business proposal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4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580" w:type="dxa"/>
            <w:vAlign w:val="bottom"/>
          </w:tcPr>
          <w:p>
            <w:pPr>
              <w:spacing w:after="0"/>
              <w:rPr>
                <w:sz w:val="10"/>
                <w:szCs w:val="10"/>
                <w:color w:val="auto"/>
              </w:rPr>
            </w:pPr>
          </w:p>
        </w:tc>
        <w:tc>
          <w:tcPr>
            <w:tcW w:w="12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2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government systems segment revenues increased by $10.8 million, due to a $5.8 million increase in product revenues and a $5.0 million increase in service revenues. The product revenue increase was primarily due to a $14.8 million revenue increase in government satellite communication systems (mainly attributable to global mobile broadband and command and control situational awareness). This product revenue increase was partially offset by a $7.6 million decrease in tactical data link products and a $1.3 million decrease in information assurance products revenues. Of the service revenue increase, $3.3 million related to our network management services for Wi-Fi and other internet access networks and $2.0 million related to our tactical data link services.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0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0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vMerge w:val="restart"/>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19.7</w:t>
            </w:r>
          </w:p>
        </w:tc>
        <w:tc>
          <w:tcPr>
            <w:tcW w:w="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19.0</w:t>
            </w:r>
          </w:p>
        </w:tc>
        <w:tc>
          <w:tcPr>
            <w:tcW w:w="4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13.4%</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$0.7 million increase in our government systems segment operating profit primarily reflected a decrease in new business proposal costs.</w:t>
      </w:r>
    </w:p>
    <w:p>
      <w:pPr>
        <w:spacing w:after="0" w:line="341" w:lineRule="exact"/>
        <w:rPr>
          <w:sz w:val="20"/>
          <w:szCs w:val="20"/>
          <w:color w:val="auto"/>
        </w:rPr>
      </w:pPr>
    </w:p>
    <w:p>
      <w:pPr>
        <w:ind w:right="5480"/>
        <w:spacing w:after="0" w:line="407" w:lineRule="auto"/>
        <w:rPr>
          <w:sz w:val="20"/>
          <w:szCs w:val="20"/>
          <w:color w:val="auto"/>
        </w:rPr>
      </w:pPr>
      <w:r>
        <w:rPr>
          <w:rFonts w:ascii="Arial" w:cs="Arial" w:eastAsia="Arial" w:hAnsi="Arial"/>
          <w:sz w:val="18"/>
          <w:szCs w:val="18"/>
          <w:b w:val="1"/>
          <w:bCs w:val="1"/>
          <w:color w:val="auto"/>
        </w:rPr>
        <w:t xml:space="preserve">Six Months Ended September 30, 2015 vs. Six Months Ended October 3, 2014 </w:t>
      </w:r>
      <w:r>
        <w:rPr>
          <w:rFonts w:ascii="Arial" w:cs="Arial" w:eastAsia="Arial" w:hAnsi="Arial"/>
          <w:sz w:val="18"/>
          <w:szCs w:val="18"/>
          <w:i w:val="1"/>
          <w:iCs w:val="1"/>
          <w:color w:val="auto"/>
        </w:rPr>
        <w:t>Revenues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tcPr>
          <w:p>
            <w:pPr>
              <w:spacing w:after="0"/>
              <w:rPr>
                <w:sz w:val="10"/>
                <w:szCs w:val="10"/>
                <w:color w:val="auto"/>
              </w:rPr>
            </w:pPr>
          </w:p>
        </w:tc>
        <w:tc>
          <w:tcPr>
            <w:tcW w:w="1460" w:type="dxa"/>
            <w:vAlign w:val="bottom"/>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56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365.7</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316.2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697.7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total revenues grew by $19.5 million as a result of a $49.5 million increase in service revenues, offset by a $30.0 million decrease in product revenues. The service revenue increase was driven by an increase of $35.6 million in our satellite services segment, $11.7 million in our government systems segment and $2.2 million in our commercial networks segment. The product revenue decrease was comprised of decreases of $48.2 million in our commercial networks segment and $8.7 million in our satellite services segment (related to the Settlement Agreement, which we entered into during the second quarter of fiscal year 2015), offset by an increase of $26.8 million in our government systems segment.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tcPr>
          <w:p>
            <w:pPr>
              <w:spacing w:after="0"/>
              <w:rPr>
                <w:sz w:val="10"/>
                <w:szCs w:val="10"/>
                <w:color w:val="auto"/>
              </w:rPr>
            </w:pPr>
          </w:p>
        </w:tc>
        <w:tc>
          <w:tcPr>
            <w:tcW w:w="1460" w:type="dxa"/>
            <w:vAlign w:val="bottom"/>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56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242.2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220.3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484.2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Cost of revenues increased by $4.8 million due to a $21.9 million increase in cost of service revenues, offset by a decrease in cost of product revenues of $17.1 million. The cost of service revenues increase was primarily due to increased service revenues, which generated a $34.5 million increase in cost of service revenues on a constant margin basis. This increase mainly related to our Exede broadband services in our satellite services segment and the addition of our network management services for Wi-Fi and other internet access networks (relating to NetNearU) in June 2014 in our government systems segment, partially offset by improved margins from our Exede broadband services (resulting from the higher number of Exede subscribers compared to the prior year period and resultant scale in revenues, as well as higher quality and higher value service plan offerings). The cost of product revenues decrease was primarily due to decreased revenues, causing a $16.4 million decrease in cost of product, revenues on a constant margin basis, prior to the effects of product revenues related to the implied license under the Settlement Agreement. This cost of product revenues decrease mainly related to our fixed satellite networks (driven by consumer broadband products) in our commercial networks segment.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vMerge w:val="restart"/>
          </w:tcPr>
          <w:p>
            <w:pPr>
              <w:spacing w:after="0"/>
              <w:rPr>
                <w:sz w:val="10"/>
                <w:szCs w:val="10"/>
                <w:color w:val="auto"/>
              </w:rPr>
            </w:pPr>
          </w:p>
        </w:tc>
        <w:tc>
          <w:tcPr>
            <w:tcW w:w="12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660" w:type="dxa"/>
            <w:vAlign w:val="bottom"/>
          </w:tcPr>
          <w:p>
            <w:pPr>
              <w:spacing w:after="0"/>
              <w:rPr>
                <w:sz w:val="10"/>
                <w:szCs w:val="10"/>
                <w:color w:val="auto"/>
              </w:rPr>
            </w:pPr>
          </w:p>
        </w:tc>
        <w:tc>
          <w:tcPr>
            <w:tcW w:w="128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5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6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123.5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$21.0 million increase in SG&amp;A expenses was primarily attributable to higher support costs of $20.5 million (mainly related to the recognition of $18.7 million of payments made under the Settlement Agreement as a reduction to SG&amp;A expenses during the second quarter of fiscal year 2015) and higher selling costs of $2.6 million (driven by our commercial networks segment). These increases were partially offset by lower new business proposal costs of $2.2 million mainly in our government systems segment. SG&amp;A expenses consisted primarily of personnel costs and expenses for business development, marketing and sales, bid and proposal, facilities, finance, contract administration and general management.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8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October 3,</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4"/>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4"/>
              </w:rPr>
              <w:t>Independent research and</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15.1</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$15.1 million increase in IR&amp;D expenses was primarily the result of increased IR&amp;D efforts in our commercial networks segment of $15.1 million (primarily related to research increases in mobile broadband satellite communication systems, next-generation consumer broadband and next-generation satellite payload technologies).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$0.7 million increase in amortization of acquired intangible assets in the first six months of fiscal year 2016 compared to the prior year period was primarily the result of our acquisition of NetNearU in June 2014. Current and expected amortization expense for acquired intangible assets for each of the following periods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40,690</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$0.9 million increase in interest income in the six months ended September 30, 2015 compared to the prior year period was primarily due to a $1.0 million increase in the amount of payments under the Settlement Agreement recognized as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$3.7 million decrease in interest expense in the six months ended September 30, 2015 compared to the prior year period was due primarily to an increase of $6.5 million in the amount of interest capitalized during the first six months of fiscal year 2016 compared to the same period last fiscal year. This decrease was partially offset by increased interest expense due to the overall higher amount of outstanding borrowings during the six months ended September 30, 2015 compared to the prior year period. Capitalized interest expense during the six months ended September 30, 2015 and October 3, 2014 related to the construction of ViaSat-2 and other assets.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currently estimate our annual effective income tax rate to be approximately 36.0% for fiscal year 2016. For the six months ended September 30, 2015, we recorded income tax expense of $3.8 million. For the six months ended October 3, 2014, we recorded income tax expense of $11.0 million. The decrease in income tax expense was the result of lower pre-tax earnings during the six months ended September 30, 2015 compared to the six months ended October 3, 2014. The federal research and development tax credit expired on December 31, 2014. If the federal research and development tax credit is reinstated, we may have a lower annual effective income tax rate for fiscal year 2016, and the amount of any such decrease will depend on the effective date of any such reinstatement, the terms of the reinstatement, as well as the amount of eligible research and development expenses in the reinstated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30, 2015 vs. Six Months Ended October 3,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60" w:type="dxa"/>
            <w:vAlign w:val="bottom"/>
          </w:tcPr>
          <w:p>
            <w:pPr>
              <w:spacing w:after="0"/>
              <w:rPr>
                <w:sz w:val="10"/>
                <w:szCs w:val="10"/>
                <w:color w:val="auto"/>
              </w:rPr>
            </w:pPr>
          </w:p>
        </w:tc>
        <w:tc>
          <w:tcPr>
            <w:tcW w:w="15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640" w:type="dxa"/>
            <w:vAlign w:val="bottom"/>
          </w:tcPr>
          <w:p>
            <w:pPr>
              <w:spacing w:after="0"/>
              <w:rPr>
                <w:sz w:val="10"/>
                <w:szCs w:val="10"/>
                <w:color w:val="auto"/>
              </w:rPr>
            </w:pPr>
          </w:p>
        </w:tc>
        <w:tc>
          <w:tcPr>
            <w:tcW w:w="13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satellite services segment revenues grew by $27.0 million as a result of a $35.6 million increase in service revenues, offset by an $8.7 million decrease in product revenues. The increase in service revenues related primarily to retail and wholesale broadband services, and was primarily driven by an increase in the number of our Exede broadband subscribers compared to the prior year period, as well as higher average revenue per subscriber. Total subscribers grew 5% from approximately 657,000 at October 3, 2014 to approximately 687,000 at September 30, 2015. The service revenue increase also reflected an over 100% expansion of our in-flight internet service compared to the prior year period, with 419 aircraft in service as of September 30, 2015. The change in product revenues related to the amounts recorded under the Settlement Agreement, which we entered into during the second quarter of fiscal year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0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0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vMerge w:val="restart"/>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5"/>
              </w:rPr>
              <w:t>38.1</w:t>
            </w:r>
          </w:p>
        </w:tc>
        <w:tc>
          <w:tcPr>
            <w:tcW w:w="4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37.4</w:t>
            </w:r>
          </w:p>
        </w:tc>
        <w:tc>
          <w:tcPr>
            <w:tcW w:w="4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14.0%</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$0.7 million increase in operating profit for our satellite services segment reflected higher earnings contributions of $15.8 million in the current year period and the recognition of $18.7 million of payments made under the Settlement Agreement as a reduction to SG&amp;A expenses during the second quarter of fiscal year 2015. Continued growth in the size of our Exede broadband services subscriber base compared to the prior year period resulted in increased service revenues and improved margins. We have also experienced positive contributions from our in-flight internet service.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560" w:type="dxa"/>
            <w:vAlign w:val="bottom"/>
          </w:tcPr>
          <w:p>
            <w:pPr>
              <w:spacing w:after="0"/>
              <w:rPr>
                <w:sz w:val="10"/>
                <w:szCs w:val="10"/>
                <w:color w:val="auto"/>
              </w:rPr>
            </w:pPr>
          </w:p>
        </w:tc>
        <w:tc>
          <w:tcPr>
            <w:tcW w:w="12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6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commercial networks segment revenues decreased by $46.0 million, primarily due to the $48.2 million decrease in product revenues. Of this product revenue decrease, $32.9 million related to fixed satellite networks (driven primarily by our large scale Australian Ka-band infrastructure project as it moves closer to completion as well as consumer broadband products due to reduced revenues from terminal sales, partially offset by our next-generation Ka-band system contract in Canada). In addition, our antenna systems products revenues decreased $9.5 million, as certain programs move closer to completion and our satellite payload technology development programs revenues decreased $6.1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740" w:type="dxa"/>
            <w:vAlign w:val="bottom"/>
          </w:tcPr>
          <w:p>
            <w:pPr>
              <w:spacing w:after="0"/>
              <w:rPr>
                <w:sz w:val="10"/>
                <w:szCs w:val="10"/>
                <w:color w:val="auto"/>
              </w:rPr>
            </w:pPr>
          </w:p>
        </w:tc>
        <w:tc>
          <w:tcPr>
            <w:tcW w:w="12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(13.2)</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(27.8)</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(30.8)%</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(7.4)%</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$27.8 million increase in our commercial networks segment operating loss was driven by a $15.1 million increase in IR&amp;D expenses (primarily due to an increase in mobile broadband satellite communication systems, next-generation consumer broadband and next-generation satellite payload technologies), lower earnings contributions of $6.2 million (primarily due to the decrease in product revenues) and an increase of $6.4 million in support, selling and new business proposal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5"/>
              </w:rPr>
              <w:t>Six Months Ended</w:t>
            </w:r>
          </w:p>
        </w:tc>
        <w:tc>
          <w:tcPr>
            <w:tcW w:w="4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0"/>
                <w:szCs w:val="10"/>
                <w:color w:val="auto"/>
              </w:rPr>
            </w:pPr>
          </w:p>
        </w:tc>
        <w:tc>
          <w:tcPr>
            <w:tcW w:w="12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October 3,</w:t>
            </w:r>
          </w:p>
        </w:tc>
        <w:tc>
          <w:tcPr>
            <w:tcW w:w="660" w:type="dxa"/>
            <w:vAlign w:val="bottom"/>
          </w:tcPr>
          <w:p>
            <w:pPr>
              <w:spacing w:after="0"/>
              <w:rPr>
                <w:sz w:val="10"/>
                <w:szCs w:val="10"/>
                <w:color w:val="auto"/>
              </w:rPr>
            </w:pPr>
          </w:p>
        </w:tc>
        <w:tc>
          <w:tcPr>
            <w:tcW w:w="128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2014</w:t>
            </w:r>
          </w:p>
        </w:tc>
        <w:tc>
          <w:tcPr>
            <w:tcW w:w="660" w:type="dxa"/>
            <w:vAlign w:val="bottom"/>
          </w:tcPr>
          <w:p>
            <w:pPr>
              <w:spacing w:after="0"/>
              <w:rPr>
                <w:sz w:val="14"/>
                <w:szCs w:val="1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3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11.7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government systems segment revenues increased by $38.5 million, due to a $26.8 million increase in product revenues and an $11.7 million increase in service revenues. The product revenue increase was primarily due to a $30.4 million revenue increase in government satellite communication systems (mainly attributable to global mobile broadband and tactical satcom networks), partially offset by a $6.0 million decrease in information assurance products revenues. Of the service revenue increase, $8.9 million related to NetNearU, our subsidiary acquired in June 2014, and $1.9 million related to tactical data link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60" w:type="dxa"/>
            <w:vAlign w:val="bottom"/>
            <w:vMerge w:val="restart"/>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October 3,</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0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3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5"/>
              </w:rPr>
              <w:t>35.6</w:t>
            </w:r>
          </w:p>
        </w:tc>
        <w:tc>
          <w:tcPr>
            <w:tcW w:w="4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29.8</w:t>
            </w:r>
          </w:p>
        </w:tc>
        <w:tc>
          <w:tcPr>
            <w:tcW w:w="4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20"/>
                <w:szCs w:val="20"/>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12.2%</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$5.8 million increase in our government systems segment operating profit reflected higher earnings contributions of $5.2 million primarily due to the increase in revenues.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reflected in the table below, our overall firm and funded backlog decreased during the first six months of fiscal year 2016. The decreases in both firm and funded backlog were attributable to decreases in both our commercial networks and satellite services segments.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ind w:left="80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192.1</w:t>
            </w:r>
          </w:p>
        </w:tc>
        <w:tc>
          <w:tcPr>
            <w:tcW w:w="74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7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r>
              <w:rPr>
                <w:rFonts w:ascii="Arial" w:cs="Arial" w:eastAsia="Arial" w:hAnsi="Arial"/>
                <w:sz w:val="18"/>
                <w:szCs w:val="18"/>
                <w:u w:val="single" w:color="auto"/>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7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267.9</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835.1</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$897.8 million in firm backlog, $326.9 million is expected to be delivered during the remaining six months of fiscal year 2016, and the balance is expected to be delivered in fiscal year 2017 and thereafter. We include in our backlog only those orders for which we have accepted purchase orders. Backlog does not include contracts with our Exede broadband subscribers in our satellite services segment.</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Our total new awards were approximately $386.2 million and $691.7 million for the three and six months ended September 30, 2015, respectively, compared to $498.9 million and $809.0 million for the three and six months ended October 3, 2014, respectively.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financed our operations to date primarily with cash flows from operations, bank line of credit financing, debt financing, export credit agency financing and equity financing. At September 30, 2015, we had $46.4 million in cash and cash equivalents, $331.7 million in working capital, $165.0 million in outstanding borrowings under our revolving credit facility (the Revolving Credit Facility) and $126.6 million in outstanding borrowings under our direct loan facility with the Export-Import Bank of the United States for ViaSat-2 (the Ex-Im Credit Facility and, together with the Revolving Credit Facility, the Credit Facilities). At April 3, 2015, we had $52.3 million in cash and cash equivalents, $280.5 million in working capital, $210.0 million in outstanding borrowings under our Revolving Credit Facility and $20.5 million in outstanding borrowings under our Ex-Im Credit Facility. We invest our cash in excess of current operating requirements in short-term, interest-bearing, investment-grade securities.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or other business investment initiatives, we may obtain additional financing, which could consist of debt, convertible debt or equity financing from public and/or private credit and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Cash provided by operating activities for the first six months of fiscal year 2016 was $107.5 million compared to $158.5 million in the prior year period. This $51.0 million decrease was primarily driven by a $51.3 million year-over-year increase in cash used to fund net operating assets needs, partially offset by our operating results (net income adjusted for depreciation, amortization and other non-cash charges) which generated $0.3 million of higher cash inflows year-over-year. The increase in cash used to fund net operating assets during the first six months of fiscal year 2016 when compared to the same period last fiscal year was due to higher combined billed and unbilled accounts receivable, net, attributable to the timing of contractual milestones for certain larger development programs in our government systems segment as well as a decrease in our collections in excess of revenues and deferred revenues included in accrued liabilities due to the timing of milestone billings for certain larger development projects in our commercial networks segment.</w:t>
      </w:r>
    </w:p>
    <w:p>
      <w:pPr>
        <w:spacing w:after="0" w:line="16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Cash used in investing activities for the first six months of fiscal year 2016 was $173.6 million compared to $217.9 million in the prior year period. The decrease in cash used in investing activities reflects a decrease of $52.9 million in cash used for acquisitions and a decrease of $13.5 million in cash used for the construction of our ViaSat-2 satellite due to the timing of milestone payments, offset by a $13.4 million increase in capital expenditures for new CPE units and other general purpose equipment and a $10.3 million increase in cash used for capital software development.</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Cash provided by financing activities for the first six months of fiscal year 2016 was $60.2 million compared to $43.1 million for the prior year period. This $17.1 million increase in cash provided by financing activities was primarily related to $96.9 million of proceeds, net of discount, from borrowings under our Ex-Im Credit Facility. This increase was partially offset by $45.0 million in net payments on borrowings under our Revolving Credit Facility during the first six months of fiscal year 2016 compared to $35.0 million in net proceeds from borrowings in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and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under our Ex-Im Credit Facility and the cash we expect to generate from operations over the next few years. At the end of the second quarter of fiscal year 2016, we had approximately 687,000 subscribers, however there can be no assurance that the number of subscribers of our Exede broadband services and service revenues in our satellite services segment will increase in any future period. We also expect to continue to invest in subscriber acquisition costs during fiscal year 2016 as we further expand our subscriber base as well as make additional investments for ViaSat-2. We believe the upcoming launch and roll-out of the ViaSat-2 satellite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w:t>
      </w:r>
    </w:p>
    <w:p>
      <w:pPr>
        <w:spacing w:after="0" w:line="16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period from late fiscal year 2012 until early fiscal year 2015, we incurred higher operating costs in connection with the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higher operating costs included costs associated with depreciation, gateway connectivity, subscriber acquisition costs, logistics, customer care and various support systems. These additional operating costs attributed to our Exede service commencement negatively impacted income from operations during that period. As the total number of subscribers of our Exede broadband services increased over the period, the resultant increase in service revenues in our satellite services segment improved income (loss) from operations for our satellite services segment, despite the additional litigation expense we incurred to successfully protect our proprietary technology, which was settled during the second quarter of fiscal year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of September 30, 2015, the Revolving Credit Facility provided a $500.0 million revolving line of credit (including up to $150.0 million of letters of credit) with a maturity date of November 26, 2018. 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September 30, 2015, the weighted average effective interest rate on our outstanding borrowings under the Revolving Credit Facility was 2.21%. The Revolving Credit Facility is required to be guaranteed by certain significant domestic subsidiaries of ViaSat (as defined in the Revolving Credit Facility) and secured by substantially all of our assets. As of September 30, 2015, none of our subsidiaries guaranteed the Revolving Credit Facility.</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At September 30, 2015, we had $165.0 million in principal amount of outstanding borrowings under the Revolving Credit Facility and $46.2 million outstanding under standby letters of credit, leaving borrowing availability under the Revolving Credit Facility as of September 30, 2015 of $288.8 million.</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March 12, 2015, a foreign subsidiary of ViaSat entered into the Ex-Im Credit Facility with the Export-Import Bank of the United States. As of September 30,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 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account estimated timing and amount of borrowings, exposure fees, debt issuance costs and other fees, was estimated to be between 4.4% and 5.0% as of September 30, 2015. The Ex-Im Credit Facility is guaranteed by ViaSat and is secured by first-priority liens on the ViaSat-2 satellite and related assets as well as a pledge of the capital stock of the borrower under the facility.</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September 30, 2015, we had $126.6 million in principal amount of outstanding borrowings under the Ex-Im Credit Facility, leaving $354.9 million available to finance ViaSat-2 related costs once incurred. Borrowings under the Ex-Im Credit Facility were issued with a discount of $15.8 million (comprising the initial $6.0 million exposure fee, an accrual for a portion of the remaining exposure fees and other customary fees). The borrowings under the Ex-Im Credit Facility are recorded as long-term debt, net of discount, in our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2020 Notes are required to be guaranteed on an unsecured senior basis by each of our existing and future subsidiaries that guarantees the Revolving Credit Facility. As of September 30, 2015,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w:t>
      </w:r>
    </w:p>
    <w:p>
      <w:pPr>
        <w:ind w:right="20" w:firstLine="8"/>
        <w:spacing w:after="0" w:line="290"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September 30,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7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80" w:type="dxa"/>
            <w:vAlign w:val="bottom"/>
          </w:tcPr>
          <w:p>
            <w:pPr>
              <w:spacing w:after="0"/>
              <w:rPr>
                <w:sz w:val="14"/>
                <w:szCs w:val="14"/>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2017-2018</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2019-2020</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236,650</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35,452</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75,224</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56,161</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772,658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79,063</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79,063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167,436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Ex-Im Credit Facility(2)</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145,115</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34,922</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96,267</w:t>
            </w: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33,224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22,572</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550,104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273,334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228,376</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19,649</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28,745</w:t>
            </w: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1,915,348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408,202</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362,278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812,163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6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September 30, 2015 until the maturity date in November 2018.</w:t>
      </w:r>
    </w:p>
    <w:p>
      <w:pPr>
        <w:ind w:left="460" w:right="100" w:hanging="452"/>
        <w:spacing w:after="0" w:line="29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w:t>
      </w:r>
    </w:p>
    <w:p>
      <w:pPr>
        <w:spacing w:after="0" w:line="1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See “Liquidity and Capital Resources – Satellite service-related activities.”</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condensed consolidated balance sheets included $37.2 million and $40.0 million of “other liabilities” as of September 30, 2015 and April 3, 2015,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had no material off-balance sheet arrangements at September 30, 2015 as defined in Regulation S-K Item 303(a)(4) other than as discussed under Contractual Obligations above or disclosed in the notes to our consolidated financial statements included in this report or in our Annual Report on Form 10-K for the year ended April 3,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September 30, 2015, we had $165.0 million in principal amount of outstanding borrowings under our Revolving Credit Facility, $126.6 million in principal amount of outstanding borrowings under our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for the three months ended September 30, 2015 and October 3, 2014.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9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of September 30, 2015, we had $165.0 million in principal amount of outstanding borrowings under our Revolving Credit Facility. Our primary interest rate under the Revolving Credit Facility is the Eurodollar rate plus an applicable margin that is based on our total leverage ratio. At September 30, 2015, the weighted average effective interest rate on our outstanding borrowings under the Revolving Credit Facility was 2.21%. Assuming the outstanding balance remained constant over a year, a 50 basis point increase in the interest rate would increase interest incurred, prior to effects of capitalized interest, by $0.8 million over a twelve-month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of September 30, 2015, we had a number of foreign currency forward contracts outstanding which are intended to reduce the foreign currency risk for amounts payable to vendors in Euros. The foreign currency forward contracts with a notional amount of $6.7 million had an insignificant amount of fair value recorded in other current assets as of September 30, 2015. If the foreign currency forward rate for the Euro to the U.S. dollar on these foreign currency forward contracts had changed by 10%, the fair value of these foreign currency forward contracts as of September 30, 2015 would have changed by approximately $0.7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2015, the end of the period covered by this report. Based upon the foregoing, our Chief Executive Officer and Chief Financial Officer concluded that our disclosure controls and procedures were effective at a reasonable assurance level as of September 30,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April 3, 2015,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47 is incorporated herein by reference as the list of exhibits required as part of this report.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November 9, 2015</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40"/>
          </w:cols>
          <w:pgMar w:left="240" w:top="459" w:right="9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vMerge w:val="restart"/>
          </w:tcPr>
          <w:p>
            <w:pPr>
              <w:spacing w:after="0" w:line="20" w:lineRule="exact"/>
              <w:rPr>
                <w:sz w:val="1"/>
                <w:szCs w:val="1"/>
                <w:color w:val="auto"/>
              </w:rPr>
            </w:pPr>
          </w:p>
        </w:tc>
        <w:tc>
          <w:tcPr>
            <w:tcW w:w="594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Form</w:t>
            </w:r>
          </w:p>
        </w:tc>
        <w:tc>
          <w:tcPr>
            <w:tcW w:w="300" w:type="dxa"/>
            <w:vAlign w:val="bottom"/>
            <w:vMerge w:val="restart"/>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20" w:type="dxa"/>
            <w:vAlign w:val="bottom"/>
            <w:tcBorders>
              <w:bottom w:val="single" w:sz="8" w:color="auto"/>
            </w:tcBorders>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9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File No.</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Filing Date</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4"/>
              </w:rPr>
              <w:t>ViaSat, Inc. Employee Stock Purchase Plan (As Amended and Restated Effective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September 16, 2015)</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000-21767</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09/17/2015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1996 Equity Participation Plan of ViaSat, Inc. (As Amended and Restated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Effective September 16, 2015)</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8-K</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000-21767</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09/17/2015</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6"/>
              </w:rPr>
              <w:t>Certification of Chief Executive Officer Pursuant to Section 302 of the Sarbanes-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Section 302 of the Sarbanes-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3"/>
              </w:rPr>
              <w:t>Certifications Pursuant to 18 U.S.C. Section 1350, as Adopted Pursuant to Section</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906 of the Sarbanes-Oxley Act of 2002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1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16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1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1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16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1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compensatory plan or arrangement.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440" w:space="300"/>
            <w:col w:w="580"/>
          </w:cols>
          <w:pgMar w:left="240" w:top="45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9,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Mark Dankberg</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9,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Shawn Duffy</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00" w:firstLine="464"/>
        <w:spacing w:after="0" w:line="308" w:lineRule="auto"/>
        <w:tabs>
          <w:tab w:leader="none" w:pos="7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2015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9,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Mark Dankberg</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00" w:firstLine="464"/>
        <w:spacing w:after="0" w:line="308" w:lineRule="auto"/>
        <w:tabs>
          <w:tab w:leader="none" w:pos="7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2015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9,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Shawn Duffy</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2019-12-29T15:49:50Z</dcterms:created>
  <dcterms:modified xsi:type="dcterms:W3CDTF">2019-12-29T15:49:50Z</dcterms:modified>
</cp:coreProperties>
</file>