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6993255" cy="5306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06695"/>
                    </a:xfrm>
                    <a:prstGeom prst="rect">
                      <a:avLst/>
                    </a:prstGeom>
                    <a:noFill/>
                  </pic:spPr>
                </pic:pic>
              </a:graphicData>
            </a:graphic>
          </wp:anchor>
        </w:drawing>
      </w:r>
    </w:p>
    <w:p>
      <w:pPr>
        <w:spacing w:after="0" w:line="125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BALDRIDGE RICHARD A</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VIASAT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06/07/2026</w:t>
      </w:r>
    </w:p>
    <w:p>
      <w:pPr>
        <w:spacing w:after="0" w:line="20" w:lineRule="exact"/>
        <w:rPr>
          <w:sz w:val="24"/>
          <w:szCs w:val="24"/>
          <w:color w:val="auto"/>
        </w:rPr>
      </w:pPr>
      <w:r>
        <w:rPr>
          <w:sz w:val="24"/>
          <w:szCs w:val="24"/>
          <w:color w:val="auto"/>
        </w:rPr>
        <w:br w:type="column"/>
      </w:r>
    </w:p>
    <w:p>
      <w:pPr>
        <w:ind w:left="-5" w:right="620" w:firstLine="5"/>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8"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92009</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80" w:type="dxa"/>
            <w:vAlign w:val="bottom"/>
            <w:gridSpan w:val="2"/>
          </w:tcPr>
          <w:p>
            <w:pPr>
              <w:jc w:val="center"/>
              <w:ind w:left="6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78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06/07/2026</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0000FF"/>
                <w:w w:val="98"/>
              </w:rPr>
              <w:t>10,307</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65,307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78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06/07/2026</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7"/>
                <w:szCs w:val="17"/>
                <w:color w:val="0000FF"/>
                <w:w w:val="93"/>
              </w:rPr>
              <w:t>120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65,187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780" w:type="dxa"/>
            <w:vAlign w:val="bottom"/>
            <w:tcBorders>
              <w:bottom w:val="single" w:sz="8" w:color="2C2C2C"/>
            </w:tcBorders>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06/07/2026</w:t>
            </w: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8"/>
                <w:vertAlign w:val="subscript"/>
              </w:rPr>
              <w:t>G</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7"/>
                <w:szCs w:val="17"/>
                <w:color w:val="0000FF"/>
                <w:w w:val="98"/>
              </w:rPr>
              <w:t>10,187</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55,000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780" w:type="dxa"/>
            <w:vAlign w:val="bottom"/>
            <w:gridSpan w:val="2"/>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06/07/2025</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0000FF"/>
                <w:w w:val="98"/>
              </w:rPr>
              <w:t>10,187</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223,542</w:t>
            </w:r>
          </w:p>
        </w:tc>
        <w:tc>
          <w:tcPr>
            <w:tcW w:w="26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332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1"/>
          </w:tcPr>
          <w:p>
            <w:pPr>
              <w:jc w:val="center"/>
              <w:ind w:right="7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40" w:type="dxa"/>
            <w:vAlign w:val="bottom"/>
            <w:gridSpan w:val="9"/>
          </w:tcPr>
          <w:p>
            <w:pPr>
              <w:jc w:val="center"/>
              <w:ind w:left="5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3"/>
                <w:szCs w:val="13"/>
                <w:color w:val="0000FF"/>
              </w:rPr>
              <w:t>06/07/2026</w:t>
            </w:r>
          </w:p>
        </w:tc>
        <w:tc>
          <w:tcPr>
            <w:tcW w:w="114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10,307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8"/>
              </w:rPr>
              <w:t>10,307</w:t>
            </w:r>
          </w:p>
        </w:tc>
        <w:tc>
          <w:tcPr>
            <w:tcW w:w="16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10,307</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-1928495</wp:posOffset>
            </wp:positionV>
            <wp:extent cx="29210" cy="1934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342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to Richard A. Baldridge, who at the time of the grant was an officer of Viasat, Inc. Upon vesting the shares were contributed to The Baldridge Family Trust.</w:t>
      </w:r>
    </w:p>
    <w:p>
      <w:pPr>
        <w:spacing w:after="0" w:line="44" w:lineRule="exact"/>
        <w:rPr>
          <w:rFonts w:ascii="Times New Roman" w:cs="Times New Roman" w:eastAsia="Times New Roman" w:hAnsi="Times New Roman"/>
          <w:sz w:val="13"/>
          <w:szCs w:val="13"/>
          <w:color w:val="008000"/>
        </w:rPr>
      </w:pPr>
    </w:p>
    <w:p>
      <w:pPr>
        <w:ind w:left="40" w:right="16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41,230 units on 06/07/2023. Subject to the reporting persons election to defer the receipt of the common stock, the units vest and convert into shares of common stock (on a 1 for 1 basis) at the rate of 1/4 on the 13th month anniversary of the grant date and 1/4 on each of the second, third and fourth anniversary of the grant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Until vested, the restricted stock unit shall be subject to forfeiture in the event of termination of employment or service with the Issuer.</w:t>
      </w:r>
    </w:p>
    <w:p>
      <w:pPr>
        <w:ind w:left="6600"/>
        <w:spacing w:after="0" w:line="187" w:lineRule="auto"/>
        <w:rPr>
          <w:sz w:val="20"/>
          <w:szCs w:val="20"/>
          <w:color w:val="auto"/>
        </w:rPr>
      </w:pPr>
      <w:r>
        <w:rPr>
          <w:rFonts w:ascii="Times New Roman" w:cs="Times New Roman" w:eastAsia="Times New Roman" w:hAnsi="Times New Roman"/>
          <w:sz w:val="17"/>
          <w:szCs w:val="17"/>
          <w:color w:val="0000FF"/>
        </w:rPr>
        <w:t xml:space="preserve">/s/ Stacy Nguyen, Attorney-in-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1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4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9083"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2026-06-09T15:05:36Z</dcterms:created>
  <dcterms:modified xsi:type="dcterms:W3CDTF">2026-06-09T15:05:36Z</dcterms:modified>
</cp:coreProperties>
</file>