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38100</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65405</wp:posOffset>
            </wp:positionV>
            <wp:extent cx="1165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8" w:lineRule="exact"/>
        <w:rPr>
          <w:sz w:val="24"/>
          <w:szCs w:val="24"/>
          <w:color w:val="auto"/>
        </w:rPr>
      </w:pPr>
    </w:p>
    <w:p>
      <w:pPr>
        <w:ind w:left="4160" w:right="3180" w:hanging="4152"/>
        <w:spacing w:after="0" w:line="278" w:lineRule="auto"/>
        <w:tabs>
          <w:tab w:leader="none" w:pos="51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 For the fiscal year ended March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3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54" w:lineRule="exact"/>
        <w:rPr>
          <w:sz w:val="24"/>
          <w:szCs w:val="24"/>
          <w:color w:val="auto"/>
        </w:rPr>
      </w:pPr>
    </w:p>
    <w:tbl>
      <w:tblPr>
        <w:tblLayout w:type="fixed"/>
        <w:tblInd w:w="3700" w:type="dxa"/>
        <w:tblCellMar>
          <w:top w:w="0" w:type="dxa"/>
          <w:left w:w="0" w:type="dxa"/>
          <w:bottom w:w="0" w:type="dxa"/>
          <w:right w:w="0" w:type="dxa"/>
        </w:tblCellMar>
      </w:tblPr>
      <w:tr>
        <w:trPr>
          <w:trHeight w:val="172"/>
        </w:trPr>
        <w:tc>
          <w:tcPr>
            <w:tcW w:w="2180" w:type="dxa"/>
            <w:vAlign w:val="bottom"/>
            <w:gridSpan w:val="2"/>
          </w:tcPr>
          <w:p>
            <w:pPr>
              <w:spacing w:after="0"/>
              <w:rPr>
                <w:sz w:val="20"/>
                <w:szCs w:val="20"/>
                <w:color w:val="auto"/>
              </w:rPr>
            </w:pPr>
            <w:r>
              <w:rPr>
                <w:rFonts w:ascii="Arial" w:cs="Arial" w:eastAsia="Arial" w:hAnsi="Arial"/>
                <w:sz w:val="15"/>
                <w:szCs w:val="15"/>
                <w:b w:val="1"/>
                <w:bCs w:val="1"/>
                <w:color w:val="auto"/>
              </w:rPr>
              <w:t>For the transition period from</w:t>
            </w: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5"/>
                <w:szCs w:val="15"/>
                <w:b w:val="1"/>
                <w:bCs w:val="1"/>
                <w:color w:val="auto"/>
              </w:rPr>
              <w:t>to</w:t>
            </w:r>
          </w:p>
        </w:tc>
        <w:tc>
          <w:tcPr>
            <w:tcW w:w="680" w:type="dxa"/>
            <w:vAlign w:val="bottom"/>
            <w:tcBorders>
              <w:bottom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203"/>
        </w:trPr>
        <w:tc>
          <w:tcPr>
            <w:tcW w:w="2860" w:type="dxa"/>
            <w:vAlign w:val="bottom"/>
            <w:gridSpan w:val="4"/>
          </w:tcPr>
          <w:p>
            <w:pPr>
              <w:ind w:left="600"/>
              <w:spacing w:after="0"/>
              <w:rPr>
                <w:sz w:val="20"/>
                <w:szCs w:val="20"/>
                <w:color w:val="auto"/>
              </w:rPr>
            </w:pPr>
            <w:r>
              <w:rPr>
                <w:rFonts w:ascii="Arial" w:cs="Arial" w:eastAsia="Arial" w:hAnsi="Arial"/>
                <w:sz w:val="15"/>
                <w:szCs w:val="15"/>
                <w:b w:val="1"/>
                <w:bCs w:val="1"/>
                <w:color w:val="auto"/>
              </w:rPr>
              <w:t>Commission file number (000-</w:t>
            </w:r>
          </w:p>
        </w:tc>
        <w:tc>
          <w:tcPr>
            <w:tcW w:w="92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w w:val="81"/>
              </w:rPr>
              <w:t>21767)</w:t>
            </w:r>
          </w:p>
        </w:tc>
        <w:tc>
          <w:tcPr>
            <w:tcW w:w="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25400</wp:posOffset>
            </wp:positionV>
            <wp:extent cx="109728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445"/>
        </w:trPr>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5"/>
          </w:tcPr>
          <w:p>
            <w:pPr>
              <w:jc w:val="center"/>
              <w:ind w:right="400"/>
              <w:spacing w:after="0"/>
              <w:rPr>
                <w:sz w:val="20"/>
                <w:szCs w:val="20"/>
                <w:color w:val="auto"/>
              </w:rPr>
            </w:pPr>
            <w:r>
              <w:rPr>
                <w:rFonts w:ascii="Arial" w:cs="Arial" w:eastAsia="Arial" w:hAnsi="Arial"/>
                <w:sz w:val="36"/>
                <w:szCs w:val="36"/>
                <w:b w:val="1"/>
                <w:bCs w:val="1"/>
                <w:color w:val="auto"/>
                <w:w w:val="97"/>
              </w:rPr>
              <w:t>VIASAT, INC.</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gridSpan w:val="6"/>
          </w:tcPr>
          <w:p>
            <w:pPr>
              <w:jc w:val="center"/>
              <w:ind w:right="260"/>
              <w:spacing w:after="0"/>
              <w:rPr>
                <w:sz w:val="20"/>
                <w:szCs w:val="20"/>
                <w:color w:val="auto"/>
              </w:rPr>
            </w:pPr>
            <w:r>
              <w:rPr>
                <w:rFonts w:ascii="Arial" w:cs="Arial" w:eastAsia="Arial" w:hAnsi="Arial"/>
                <w:sz w:val="15"/>
                <w:szCs w:val="15"/>
                <w:b w:val="1"/>
                <w:bCs w:val="1"/>
                <w:color w:val="auto"/>
              </w:rPr>
              <w:t>(Exact name of registrant as specified in its charter)</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3480" w:type="dxa"/>
            <w:vAlign w:val="bottom"/>
            <w:vMerge w:val="restart"/>
          </w:tcPr>
          <w:p>
            <w:pPr>
              <w:jc w:val="center"/>
              <w:ind w:left="1969"/>
              <w:spacing w:after="0"/>
              <w:rPr>
                <w:sz w:val="20"/>
                <w:szCs w:val="20"/>
                <w:color w:val="auto"/>
              </w:rPr>
            </w:pPr>
            <w:r>
              <w:rPr>
                <w:rFonts w:ascii="Arial" w:cs="Arial" w:eastAsia="Arial" w:hAnsi="Arial"/>
                <w:sz w:val="15"/>
                <w:szCs w:val="15"/>
                <w:b w:val="1"/>
                <w:bCs w:val="1"/>
                <w:color w:val="auto"/>
              </w:rPr>
              <w:t>Delaware</w:t>
            </w: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40" w:type="dxa"/>
            <w:vAlign w:val="bottom"/>
            <w:vMerge w:val="restart"/>
          </w:tcPr>
          <w:p>
            <w:pPr>
              <w:jc w:val="center"/>
              <w:ind w:right="1989"/>
              <w:spacing w:after="0"/>
              <w:rPr>
                <w:sz w:val="20"/>
                <w:szCs w:val="20"/>
                <w:color w:val="auto"/>
              </w:rPr>
            </w:pPr>
            <w:r>
              <w:rPr>
                <w:rFonts w:ascii="Arial" w:cs="Arial" w:eastAsia="Arial" w:hAnsi="Arial"/>
                <w:sz w:val="15"/>
                <w:szCs w:val="15"/>
                <w:b w:val="1"/>
                <w:bCs w:val="1"/>
                <w:color w:val="auto"/>
              </w:rPr>
              <w:t>33-0174996</w:t>
            </w:r>
          </w:p>
        </w:tc>
        <w:tc>
          <w:tcPr>
            <w:tcW w:w="0" w:type="dxa"/>
            <w:vAlign w:val="bottom"/>
          </w:tcPr>
          <w:p>
            <w:pPr>
              <w:spacing w:after="0"/>
              <w:rPr>
                <w:sz w:val="1"/>
                <w:szCs w:val="1"/>
                <w:color w:val="auto"/>
              </w:rPr>
            </w:pPr>
          </w:p>
        </w:tc>
      </w:tr>
      <w:tr>
        <w:trPr>
          <w:trHeight w:val="206"/>
        </w:trPr>
        <w:tc>
          <w:tcPr>
            <w:tcW w:w="3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800" w:type="dxa"/>
            <w:vAlign w:val="bottom"/>
            <w:gridSpan w:val="8"/>
          </w:tcPr>
          <w:p>
            <w:pPr>
              <w:jc w:val="center"/>
              <w:ind w:right="2280"/>
              <w:spacing w:after="0"/>
              <w:rPr>
                <w:sz w:val="20"/>
                <w:szCs w:val="20"/>
                <w:color w:val="auto"/>
              </w:rPr>
            </w:pPr>
            <w:r>
              <w:rPr>
                <w:rFonts w:ascii="Arial" w:cs="Arial" w:eastAsia="Arial" w:hAnsi="Arial"/>
                <w:sz w:val="13"/>
                <w:szCs w:val="13"/>
                <w:b w:val="1"/>
                <w:bCs w:val="1"/>
                <w:color w:val="auto"/>
              </w:rPr>
              <w:t>(State or other jurisdiction of</w:t>
            </w:r>
          </w:p>
        </w:tc>
        <w:tc>
          <w:tcPr>
            <w:tcW w:w="3440" w:type="dxa"/>
            <w:vAlign w:val="bottom"/>
          </w:tcPr>
          <w:p>
            <w:pPr>
              <w:jc w:val="center"/>
              <w:ind w:right="1969"/>
              <w:spacing w:after="0"/>
              <w:rPr>
                <w:sz w:val="20"/>
                <w:szCs w:val="20"/>
                <w:color w:val="auto"/>
              </w:rPr>
            </w:pPr>
            <w:r>
              <w:rPr>
                <w:rFonts w:ascii="Arial" w:cs="Arial" w:eastAsia="Arial" w:hAnsi="Arial"/>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7800" w:type="dxa"/>
            <w:vAlign w:val="bottom"/>
            <w:gridSpan w:val="8"/>
          </w:tcPr>
          <w:p>
            <w:pPr>
              <w:jc w:val="center"/>
              <w:ind w:right="2280"/>
              <w:spacing w:after="0"/>
              <w:rPr>
                <w:sz w:val="20"/>
                <w:szCs w:val="20"/>
                <w:color w:val="auto"/>
              </w:rPr>
            </w:pPr>
            <w:r>
              <w:rPr>
                <w:rFonts w:ascii="Arial" w:cs="Arial" w:eastAsia="Arial" w:hAnsi="Arial"/>
                <w:sz w:val="13"/>
                <w:szCs w:val="13"/>
                <w:b w:val="1"/>
                <w:bCs w:val="1"/>
                <w:color w:val="auto"/>
              </w:rPr>
              <w:t>incorporation or organization)</w:t>
            </w:r>
          </w:p>
        </w:tc>
        <w:tc>
          <w:tcPr>
            <w:tcW w:w="3440" w:type="dxa"/>
            <w:vAlign w:val="bottom"/>
          </w:tcPr>
          <w:p>
            <w:pPr>
              <w:jc w:val="center"/>
              <w:ind w:right="1989"/>
              <w:spacing w:after="0"/>
              <w:rPr>
                <w:sz w:val="20"/>
                <w:szCs w:val="20"/>
                <w:color w:val="auto"/>
              </w:rPr>
            </w:pPr>
            <w:r>
              <w:rPr>
                <w:rFonts w:ascii="Arial" w:cs="Arial" w:eastAsia="Arial" w:hAnsi="Arial"/>
                <w:sz w:val="13"/>
                <w:szCs w:val="13"/>
                <w:b w:val="1"/>
                <w:bCs w:val="1"/>
                <w:color w:val="auto"/>
              </w:rPr>
              <w:t>Identification No.)</w:t>
            </w:r>
          </w:p>
        </w:tc>
        <w:tc>
          <w:tcPr>
            <w:tcW w:w="0" w:type="dxa"/>
            <w:vAlign w:val="bottom"/>
          </w:tcPr>
          <w:p>
            <w:pPr>
              <w:spacing w:after="0"/>
              <w:rPr>
                <w:sz w:val="1"/>
                <w:szCs w:val="1"/>
                <w:color w:val="auto"/>
              </w:rPr>
            </w:pPr>
          </w:p>
        </w:tc>
      </w:tr>
      <w:tr>
        <w:trPr>
          <w:trHeight w:val="168"/>
        </w:trPr>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00" w:type="dxa"/>
            <w:vAlign w:val="bottom"/>
            <w:gridSpan w:val="4"/>
          </w:tcPr>
          <w:p>
            <w:pPr>
              <w:jc w:val="center"/>
              <w:ind w:right="1240"/>
              <w:spacing w:after="0" w:line="168" w:lineRule="exact"/>
              <w:rPr>
                <w:sz w:val="20"/>
                <w:szCs w:val="20"/>
                <w:color w:val="auto"/>
              </w:rPr>
            </w:pPr>
            <w:r>
              <w:rPr>
                <w:rFonts w:ascii="Arial" w:cs="Arial" w:eastAsia="Arial" w:hAnsi="Arial"/>
                <w:sz w:val="15"/>
                <w:szCs w:val="15"/>
                <w:b w:val="1"/>
                <w:bCs w:val="1"/>
                <w:color w:val="auto"/>
              </w:rPr>
              <w:t>6155 El Camino Real</w:t>
            </w: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40" w:type="dxa"/>
            <w:vAlign w:val="bottom"/>
            <w:gridSpan w:val="5"/>
          </w:tcPr>
          <w:p>
            <w:pPr>
              <w:jc w:val="center"/>
              <w:ind w:right="420"/>
              <w:spacing w:after="0" w:line="162" w:lineRule="exact"/>
              <w:rPr>
                <w:sz w:val="20"/>
                <w:szCs w:val="20"/>
                <w:color w:val="auto"/>
              </w:rPr>
            </w:pPr>
            <w:r>
              <w:rPr>
                <w:rFonts w:ascii="Arial" w:cs="Arial" w:eastAsia="Arial" w:hAnsi="Arial"/>
                <w:sz w:val="15"/>
                <w:szCs w:val="15"/>
                <w:b w:val="1"/>
                <w:bCs w:val="1"/>
                <w:color w:val="auto"/>
              </w:rPr>
              <w:t>Carlsbad, California 92009</w:t>
            </w: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80" w:type="dxa"/>
            <w:vAlign w:val="bottom"/>
          </w:tcPr>
          <w:p>
            <w:pPr>
              <w:spacing w:after="0"/>
              <w:rPr>
                <w:sz w:val="14"/>
                <w:szCs w:val="14"/>
                <w:color w:val="auto"/>
              </w:rPr>
            </w:pPr>
          </w:p>
        </w:tc>
        <w:tc>
          <w:tcPr>
            <w:tcW w:w="3060" w:type="dxa"/>
            <w:vAlign w:val="bottom"/>
            <w:gridSpan w:val="4"/>
          </w:tcPr>
          <w:p>
            <w:pPr>
              <w:jc w:val="center"/>
              <w:ind w:left="1147"/>
              <w:spacing w:after="0" w:line="167" w:lineRule="exact"/>
              <w:rPr>
                <w:sz w:val="20"/>
                <w:szCs w:val="20"/>
                <w:color w:val="auto"/>
              </w:rPr>
            </w:pPr>
            <w:r>
              <w:rPr>
                <w:rFonts w:ascii="Arial" w:cs="Arial" w:eastAsia="Arial" w:hAnsi="Arial"/>
                <w:sz w:val="15"/>
                <w:szCs w:val="15"/>
                <w:b w:val="1"/>
                <w:bCs w:val="1"/>
                <w:color w:val="auto"/>
              </w:rPr>
              <w:t>(760) 476-2200</w:t>
            </w: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4320" w:type="dxa"/>
            <w:vAlign w:val="bottom"/>
            <w:gridSpan w:val="7"/>
          </w:tcPr>
          <w:p>
            <w:pPr>
              <w:jc w:val="center"/>
              <w:ind w:right="40"/>
              <w:spacing w:after="0"/>
              <w:rPr>
                <w:sz w:val="20"/>
                <w:szCs w:val="20"/>
                <w:color w:val="auto"/>
              </w:rPr>
            </w:pPr>
            <w:r>
              <w:rPr>
                <w:rFonts w:ascii="Arial" w:cs="Arial" w:eastAsia="Arial" w:hAnsi="Arial"/>
                <w:sz w:val="13"/>
                <w:szCs w:val="13"/>
                <w:b w:val="1"/>
                <w:bCs w:val="1"/>
                <w:color w:val="auto"/>
              </w:rPr>
              <w:t>(Address of principal executive offices and telephone number)</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80" w:type="dxa"/>
            <w:vAlign w:val="bottom"/>
          </w:tcPr>
          <w:p>
            <w:pPr>
              <w:spacing w:after="0"/>
              <w:rPr>
                <w:sz w:val="18"/>
                <w:szCs w:val="18"/>
                <w:color w:val="auto"/>
              </w:rPr>
            </w:pPr>
          </w:p>
        </w:tc>
        <w:tc>
          <w:tcPr>
            <w:tcW w:w="4320" w:type="dxa"/>
            <w:vAlign w:val="bottom"/>
            <w:gridSpan w:val="7"/>
          </w:tcPr>
          <w:p>
            <w:pPr>
              <w:jc w:val="center"/>
              <w:ind w:right="40"/>
              <w:spacing w:after="0"/>
              <w:rPr>
                <w:sz w:val="20"/>
                <w:szCs w:val="20"/>
                <w:color w:val="auto"/>
              </w:rPr>
            </w:pPr>
            <w:r>
              <w:rPr>
                <w:rFonts w:ascii="Arial" w:cs="Arial" w:eastAsia="Arial" w:hAnsi="Arial"/>
                <w:sz w:val="15"/>
                <w:szCs w:val="15"/>
                <w:b w:val="1"/>
                <w:bCs w:val="1"/>
                <w:color w:val="auto"/>
              </w:rPr>
              <w:t>Securities registered pursuant to Section 12(b) of the Act:</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3480" w:type="dxa"/>
            <w:vAlign w:val="bottom"/>
          </w:tcPr>
          <w:p>
            <w:pPr>
              <w:jc w:val="center"/>
              <w:ind w:left="149"/>
              <w:spacing w:after="0"/>
              <w:rPr>
                <w:sz w:val="20"/>
                <w:szCs w:val="20"/>
                <w:color w:val="auto"/>
              </w:rPr>
            </w:pPr>
            <w:r>
              <w:rPr>
                <w:rFonts w:ascii="Arial" w:cs="Arial" w:eastAsia="Arial" w:hAnsi="Arial"/>
                <w:sz w:val="13"/>
                <w:szCs w:val="13"/>
                <w:b w:val="1"/>
                <w:bCs w:val="1"/>
                <w:color w:val="auto"/>
              </w:rPr>
              <w:t>(Title of Each Class)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(Trading Symbol)</w:t>
            </w:r>
          </w:p>
        </w:tc>
        <w:tc>
          <w:tcPr>
            <w:tcW w:w="3440" w:type="dxa"/>
            <w:vAlign w:val="bottom"/>
          </w:tcPr>
          <w:p>
            <w:pPr>
              <w:jc w:val="center"/>
              <w:ind w:right="149"/>
              <w:spacing w:after="0"/>
              <w:rPr>
                <w:sz w:val="20"/>
                <w:szCs w:val="20"/>
                <w:color w:val="auto"/>
              </w:rPr>
            </w:pPr>
            <w:r>
              <w:rPr>
                <w:rFonts w:ascii="Arial" w:cs="Arial" w:eastAsia="Arial" w:hAnsi="Arial"/>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480" w:type="dxa"/>
            <w:vAlign w:val="bottom"/>
            <w:tcBorders>
              <w:top w:val="single" w:sz="8" w:color="auto"/>
            </w:tcBorders>
          </w:tcPr>
          <w:p>
            <w:pPr>
              <w:jc w:val="center"/>
              <w:ind w:left="149"/>
              <w:spacing w:after="0"/>
              <w:rPr>
                <w:sz w:val="20"/>
                <w:szCs w:val="20"/>
                <w:color w:val="auto"/>
              </w:rPr>
            </w:pPr>
            <w:r>
              <w:rPr>
                <w:rFonts w:ascii="Arial" w:cs="Arial" w:eastAsia="Arial" w:hAnsi="Arial"/>
                <w:sz w:val="15"/>
                <w:szCs w:val="15"/>
                <w:b w:val="1"/>
                <w:bCs w:val="1"/>
                <w:color w:val="auto"/>
              </w:rPr>
              <w:t>Common Stock, par value $0.0001 per share</w:t>
            </w:r>
          </w:p>
        </w:tc>
        <w:tc>
          <w:tcPr>
            <w:tcW w:w="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gridSpan w:val="2"/>
          </w:tcPr>
          <w:p>
            <w:pPr>
              <w:jc w:val="center"/>
              <w:ind w:right="840"/>
              <w:spacing w:after="0"/>
              <w:rPr>
                <w:sz w:val="20"/>
                <w:szCs w:val="20"/>
                <w:color w:val="auto"/>
              </w:rPr>
            </w:pPr>
            <w:r>
              <w:rPr>
                <w:rFonts w:ascii="Arial" w:cs="Arial" w:eastAsia="Arial" w:hAnsi="Arial"/>
                <w:sz w:val="15"/>
                <w:szCs w:val="15"/>
                <w:b w:val="1"/>
                <w:bCs w:val="1"/>
                <w:color w:val="auto"/>
                <w:w w:val="94"/>
              </w:rPr>
              <w:t>VSAT</w:t>
            </w:r>
          </w:p>
        </w:tc>
        <w:tc>
          <w:tcPr>
            <w:tcW w:w="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440" w:type="dxa"/>
            <w:vAlign w:val="bottom"/>
            <w:tcBorders>
              <w:top w:val="single" w:sz="8" w:color="auto"/>
            </w:tcBorders>
          </w:tcPr>
          <w:p>
            <w:pPr>
              <w:jc w:val="center"/>
              <w:ind w:right="169"/>
              <w:spacing w:after="0"/>
              <w:rPr>
                <w:sz w:val="20"/>
                <w:szCs w:val="20"/>
                <w:color w:val="auto"/>
              </w:rPr>
            </w:pPr>
            <w:r>
              <w:rPr>
                <w:rFonts w:ascii="Arial" w:cs="Arial" w:eastAsia="Arial" w:hAnsi="Arial"/>
                <w:sz w:val="15"/>
                <w:szCs w:val="15"/>
                <w:b w:val="1"/>
                <w:bCs w:val="1"/>
                <w:color w:val="auto"/>
              </w:rPr>
              <w:t>The Nasdaq Stock Market LLC</w:t>
            </w:r>
          </w:p>
        </w:tc>
        <w:tc>
          <w:tcPr>
            <w:tcW w:w="0" w:type="dxa"/>
            <w:vAlign w:val="bottom"/>
          </w:tcPr>
          <w:p>
            <w:pPr>
              <w:spacing w:after="0"/>
              <w:rPr>
                <w:sz w:val="1"/>
                <w:szCs w:val="1"/>
                <w:color w:val="auto"/>
              </w:rPr>
            </w:pP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8" w:lineRule="exact"/>
        <w:rPr>
          <w:sz w:val="24"/>
          <w:szCs w:val="24"/>
          <w:color w:val="auto"/>
        </w:rPr>
      </w:pPr>
    </w:p>
    <w:p>
      <w:pPr>
        <w:ind w:left="5440"/>
        <w:spacing w:after="0"/>
        <w:rPr>
          <w:sz w:val="20"/>
          <w:szCs w:val="20"/>
          <w:color w:val="auto"/>
        </w:rPr>
      </w:pPr>
      <w:r>
        <w:rPr>
          <w:rFonts w:ascii="Arial" w:cs="Arial" w:eastAsia="Arial" w:hAnsi="Arial"/>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29845</wp:posOffset>
            </wp:positionV>
            <wp:extent cx="1165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51" w:lineRule="exact"/>
        <w:rPr>
          <w:sz w:val="24"/>
          <w:szCs w:val="24"/>
          <w:color w:val="auto"/>
        </w:rPr>
      </w:pPr>
    </w:p>
    <w:p>
      <w:pPr>
        <w:ind w:left="380"/>
        <w:spacing w:after="0" w:line="173" w:lineRule="exact"/>
        <w:tabs>
          <w:tab w:leader="none" w:pos="8980" w:val="left"/>
        </w:tabs>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of 1933.</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67" w:lineRule="exact"/>
        <w:rPr>
          <w:sz w:val="24"/>
          <w:szCs w:val="24"/>
          <w:color w:val="auto"/>
        </w:rPr>
      </w:pPr>
    </w:p>
    <w:p>
      <w:pPr>
        <w:ind w:left="380"/>
        <w:spacing w:after="0" w:line="173" w:lineRule="exact"/>
        <w:tabs>
          <w:tab w:leader="none" w:pos="9960" w:val="left"/>
        </w:tabs>
        <w:rPr>
          <w:sz w:val="20"/>
          <w:szCs w:val="20"/>
          <w:color w:val="auto"/>
        </w:rPr>
      </w:pPr>
      <w:r>
        <w:rPr>
          <w:rFonts w:ascii="Arial" w:cs="Arial" w:eastAsia="Arial" w:hAnsi="Arial"/>
          <w:sz w:val="15"/>
          <w:szCs w:val="15"/>
          <w:color w:val="auto"/>
        </w:rPr>
        <w:t>Indicate by check mark if the registrant is not required to file reports pursuant to Section 13 or 15(d) of the Securities Exchange Act of 1934.</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59" w:lineRule="exact"/>
        <w:rPr>
          <w:sz w:val="24"/>
          <w:szCs w:val="24"/>
          <w:color w:val="auto"/>
        </w:rPr>
      </w:pPr>
    </w:p>
    <w:p>
      <w:pPr>
        <w:jc w:val="both"/>
        <w:ind w:right="180" w:firstLine="374"/>
        <w:spacing w:after="0" w:line="179"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7" w:lineRule="exact"/>
        <w:rPr>
          <w:sz w:val="24"/>
          <w:szCs w:val="24"/>
          <w:color w:val="auto"/>
        </w:rPr>
      </w:pPr>
    </w:p>
    <w:p>
      <w:pPr>
        <w:ind w:right="700" w:firstLine="374"/>
        <w:spacing w:after="0" w:line="17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7" w:lineRule="exact"/>
        <w:rPr>
          <w:sz w:val="24"/>
          <w:szCs w:val="24"/>
          <w:color w:val="auto"/>
        </w:rPr>
      </w:pPr>
    </w:p>
    <w:p>
      <w:pPr>
        <w:jc w:val="both"/>
        <w:ind w:right="600" w:firstLine="374"/>
        <w:spacing w:after="0" w:line="23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4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20" w:type="dxa"/>
            <w:vAlign w:val="bottom"/>
          </w:tcPr>
          <w:p>
            <w:pPr>
              <w:ind w:left="920"/>
              <w:spacing w:after="0" w:line="151" w:lineRule="exact"/>
              <w:rPr>
                <w:sz w:val="20"/>
                <w:szCs w:val="20"/>
                <w:color w:val="auto"/>
              </w:rPr>
            </w:pPr>
            <w:r>
              <w:rPr>
                <w:rFonts w:ascii="MS PGothic" w:cs="MS PGothic" w:eastAsia="MS PGothic" w:hAnsi="MS PGothic"/>
                <w:sz w:val="15"/>
                <w:szCs w:val="15"/>
                <w:color w:val="auto"/>
              </w:rPr>
              <w:t>☒</w:t>
            </w:r>
          </w:p>
        </w:tc>
        <w:tc>
          <w:tcPr>
            <w:tcW w:w="4500" w:type="dxa"/>
            <w:vAlign w:val="bottom"/>
          </w:tcPr>
          <w:p>
            <w:pPr>
              <w:ind w:left="2460"/>
              <w:spacing w:after="0"/>
              <w:rPr>
                <w:sz w:val="20"/>
                <w:szCs w:val="20"/>
                <w:color w:val="auto"/>
              </w:rPr>
            </w:pPr>
            <w:r>
              <w:rPr>
                <w:rFonts w:ascii="Arial" w:cs="Arial" w:eastAsia="Arial" w:hAnsi="Arial"/>
                <w:sz w:val="15"/>
                <w:szCs w:val="15"/>
                <w:color w:val="auto"/>
              </w:rPr>
              <w:t>Accelerated filer</w:t>
            </w:r>
          </w:p>
        </w:tc>
        <w:tc>
          <w:tcPr>
            <w:tcW w:w="340" w:type="dxa"/>
            <w:vAlign w:val="bottom"/>
          </w:tcPr>
          <w:p>
            <w:pPr>
              <w:ind w:left="2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2460" w:type="dxa"/>
            <w:vAlign w:val="bottom"/>
          </w:tcPr>
          <w:p>
            <w:pPr>
              <w:spacing w:after="0"/>
              <w:rPr>
                <w:sz w:val="20"/>
                <w:szCs w:val="20"/>
                <w:color w:val="auto"/>
              </w:rPr>
            </w:pPr>
            <w:r>
              <w:rPr>
                <w:rFonts w:ascii="Arial" w:cs="Arial" w:eastAsia="Arial" w:hAnsi="Arial"/>
                <w:sz w:val="15"/>
                <w:szCs w:val="15"/>
                <w:color w:val="auto"/>
              </w:rPr>
              <w:t>Non-accelerated filer</w:t>
            </w:r>
          </w:p>
        </w:tc>
        <w:tc>
          <w:tcPr>
            <w:tcW w:w="3520" w:type="dxa"/>
            <w:vAlign w:val="bottom"/>
          </w:tcPr>
          <w:p>
            <w:pPr>
              <w:ind w:left="920"/>
              <w:spacing w:after="0" w:line="151" w:lineRule="exact"/>
              <w:rPr>
                <w:sz w:val="20"/>
                <w:szCs w:val="20"/>
                <w:color w:val="auto"/>
              </w:rPr>
            </w:pPr>
            <w:r>
              <w:rPr>
                <w:rFonts w:ascii="MS PGothic" w:cs="MS PGothic" w:eastAsia="MS PGothic" w:hAnsi="MS PGothic"/>
                <w:sz w:val="15"/>
                <w:szCs w:val="15"/>
                <w:color w:val="auto"/>
              </w:rPr>
              <w:t>☐</w:t>
            </w:r>
          </w:p>
        </w:tc>
        <w:tc>
          <w:tcPr>
            <w:tcW w:w="4500" w:type="dxa"/>
            <w:vAlign w:val="bottom"/>
          </w:tcPr>
          <w:p>
            <w:pPr>
              <w:ind w:left="2460"/>
              <w:spacing w:after="0"/>
              <w:rPr>
                <w:sz w:val="20"/>
                <w:szCs w:val="20"/>
                <w:color w:val="auto"/>
              </w:rPr>
            </w:pPr>
            <w:r>
              <w:rPr>
                <w:rFonts w:ascii="Arial" w:cs="Arial" w:eastAsia="Arial" w:hAnsi="Arial"/>
                <w:sz w:val="15"/>
                <w:szCs w:val="15"/>
                <w:color w:val="auto"/>
              </w:rPr>
              <w:t>Smaller reporting company</w:t>
            </w:r>
          </w:p>
        </w:tc>
        <w:tc>
          <w:tcPr>
            <w:tcW w:w="340" w:type="dxa"/>
            <w:vAlign w:val="bottom"/>
          </w:tcPr>
          <w:p>
            <w:pPr>
              <w:ind w:left="2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500" w:type="dxa"/>
            <w:vAlign w:val="bottom"/>
          </w:tcPr>
          <w:p>
            <w:pPr>
              <w:ind w:left="2460"/>
              <w:spacing w:after="0"/>
              <w:rPr>
                <w:sz w:val="20"/>
                <w:szCs w:val="20"/>
                <w:color w:val="auto"/>
              </w:rPr>
            </w:pPr>
            <w:r>
              <w:rPr>
                <w:rFonts w:ascii="Arial" w:cs="Arial" w:eastAsia="Arial" w:hAnsi="Arial"/>
                <w:sz w:val="15"/>
                <w:szCs w:val="15"/>
                <w:color w:val="auto"/>
              </w:rPr>
              <w:t>Emerging growth company</w:t>
            </w:r>
          </w:p>
        </w:tc>
        <w:tc>
          <w:tcPr>
            <w:tcW w:w="340" w:type="dxa"/>
            <w:vAlign w:val="bottom"/>
          </w:tcPr>
          <w:p>
            <w:pPr>
              <w:ind w:left="2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6" w:lineRule="exact"/>
        <w:rPr>
          <w:sz w:val="24"/>
          <w:szCs w:val="24"/>
          <w:color w:val="auto"/>
        </w:rPr>
      </w:pPr>
    </w:p>
    <w:p>
      <w:pPr>
        <w:ind w:right="380" w:firstLine="374"/>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380"/>
        <w:spacing w:after="0" w:line="173" w:lineRule="exact"/>
        <w:tabs>
          <w:tab w:leader="none" w:pos="81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59" w:lineRule="exact"/>
        <w:rPr>
          <w:sz w:val="24"/>
          <w:szCs w:val="24"/>
          <w:color w:val="auto"/>
        </w:rPr>
      </w:pPr>
    </w:p>
    <w:p>
      <w:pPr>
        <w:ind w:firstLine="374"/>
        <w:spacing w:after="0" w:line="242" w:lineRule="auto"/>
        <w:rPr>
          <w:sz w:val="20"/>
          <w:szCs w:val="20"/>
          <w:color w:val="auto"/>
        </w:rPr>
      </w:pPr>
      <w:r>
        <w:rPr>
          <w:rFonts w:ascii="Arial" w:cs="Arial" w:eastAsia="Arial" w:hAnsi="Arial"/>
          <w:sz w:val="15"/>
          <w:szCs w:val="15"/>
          <w:color w:val="auto"/>
        </w:rPr>
        <w:t>The aggregate market value of the common stock held by non-affiliates of the registrant as of September 30, 2019 was approximately $4,351,030,402 (based on the closing price on that date for shares of the registrant’s common stock as reported by the Nasdaq Global Select Market).</w:t>
      </w:r>
    </w:p>
    <w:p>
      <w:pPr>
        <w:spacing w:after="0" w:line="17" w:lineRule="exact"/>
        <w:rPr>
          <w:sz w:val="24"/>
          <w:szCs w:val="24"/>
          <w:color w:val="auto"/>
        </w:rPr>
      </w:pPr>
    </w:p>
    <w:p>
      <w:pPr>
        <w:ind w:left="380"/>
        <w:spacing w:after="0"/>
        <w:rPr>
          <w:sz w:val="20"/>
          <w:szCs w:val="20"/>
          <w:color w:val="auto"/>
        </w:rPr>
      </w:pPr>
      <w:r>
        <w:rPr>
          <w:rFonts w:ascii="Arial" w:cs="Arial" w:eastAsia="Arial" w:hAnsi="Arial"/>
          <w:sz w:val="15"/>
          <w:szCs w:val="15"/>
          <w:color w:val="auto"/>
        </w:rPr>
        <w:t>The number of shares outstanding of the registrant’s common stock, $0.0001 par value, as of May 15, 2020 was 62,147,140.</w:t>
      </w:r>
    </w:p>
    <w:p>
      <w:pPr>
        <w:spacing w:after="0" w:line="12" w:lineRule="exact"/>
        <w:rPr>
          <w:sz w:val="24"/>
          <w:szCs w:val="24"/>
          <w:color w:val="auto"/>
        </w:rPr>
      </w:pPr>
    </w:p>
    <w:p>
      <w:pPr>
        <w:ind w:left="40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41275</wp:posOffset>
            </wp:positionV>
            <wp:extent cx="11658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85" w:lineRule="exact"/>
        <w:rPr>
          <w:sz w:val="24"/>
          <w:szCs w:val="24"/>
          <w:color w:val="auto"/>
        </w:rPr>
      </w:pPr>
    </w:p>
    <w:p>
      <w:pPr>
        <w:ind w:left="380"/>
        <w:spacing w:after="0"/>
        <w:rPr>
          <w:sz w:val="20"/>
          <w:szCs w:val="20"/>
          <w:color w:val="auto"/>
        </w:rPr>
      </w:pPr>
      <w:r>
        <w:rPr>
          <w:rFonts w:ascii="Arial" w:cs="Arial" w:eastAsia="Arial" w:hAnsi="Arial"/>
          <w:sz w:val="15"/>
          <w:szCs w:val="15"/>
          <w:color w:val="auto"/>
        </w:rPr>
        <w:t>Portions of the registrant’s definitive Proxy Statement to be filed with the Securities and Exchange Commission pursuant to Regulation 14A in connection with its</w:t>
      </w:r>
    </w:p>
    <w:p>
      <w:pPr>
        <w:ind w:right="560"/>
        <w:spacing w:after="0" w:line="242" w:lineRule="auto"/>
        <w:rPr>
          <w:sz w:val="20"/>
          <w:szCs w:val="20"/>
          <w:color w:val="auto"/>
        </w:rPr>
      </w:pPr>
      <w:r>
        <w:rPr>
          <w:rFonts w:ascii="Arial" w:cs="Arial" w:eastAsia="Arial" w:hAnsi="Arial"/>
          <w:sz w:val="15"/>
          <w:szCs w:val="15"/>
          <w:color w:val="auto"/>
        </w:rPr>
        <w:t>2020 Annual Meeting of Stockholders are incorporated by reference into Part III of this Form 10-K where indicated. Such Proxy Statement will be filed with the Securities and Exchange Commission not later than 120 days after the registrant’s fiscal year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 w:name="page2"/>
    <w:bookmarkEnd w:id="1"/>
    <w:p>
      <w:pPr>
        <w:jc w:val="center"/>
        <w:ind w:left="1120"/>
        <w:spacing w:after="0"/>
        <w:rPr>
          <w:sz w:val="20"/>
          <w:szCs w:val="20"/>
          <w:color w:val="auto"/>
        </w:rPr>
      </w:pPr>
      <w:r>
        <w:rPr>
          <w:rFonts w:ascii="Arial" w:cs="Arial" w:eastAsia="Arial" w:hAnsi="Arial"/>
          <w:sz w:val="18"/>
          <w:szCs w:val="18"/>
          <w:b w:val="1"/>
          <w:bCs w:val="1"/>
          <w:color w:val="auto"/>
        </w:rPr>
        <w:t>VIASAT, INC.</w:t>
      </w:r>
    </w:p>
    <w:p>
      <w:pPr>
        <w:spacing w:after="0" w:line="49"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68" w:lineRule="exact"/>
        <w:rPr>
          <w:sz w:val="20"/>
          <w:szCs w:val="20"/>
          <w:color w:val="auto"/>
        </w:rPr>
      </w:pPr>
    </w:p>
    <w:p>
      <w:pPr>
        <w:ind w:left="558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p>
      <w:pPr>
        <w:spacing w:after="0" w:line="18"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1.</w:t>
      </w:r>
      <w:r>
        <w:rPr>
          <w:sz w:val="20"/>
          <w:szCs w:val="20"/>
          <w:color w:val="auto"/>
        </w:rPr>
        <w:tab/>
      </w:r>
      <w:hyperlink w:anchor="page3">
        <w:r>
          <w:rPr>
            <w:rFonts w:ascii="Arial" w:cs="Arial" w:eastAsia="Arial" w:hAnsi="Arial"/>
            <w:sz w:val="18"/>
            <w:szCs w:val="18"/>
            <w:u w:val="single" w:color="auto"/>
            <w:color w:val="0000EE"/>
          </w:rPr>
          <w:t>Business</w:t>
        </w:r>
      </w:hyperlink>
    </w:p>
    <w:p>
      <w:pPr>
        <w:spacing w:after="0" w:line="9" w:lineRule="exact"/>
        <w:rPr>
          <w:sz w:val="20"/>
          <w:szCs w:val="20"/>
          <w:color w:val="auto"/>
        </w:rPr>
      </w:pPr>
    </w:p>
    <w:p>
      <w:pPr>
        <w:spacing w:after="0"/>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Item 1A.</w:t>
      </w:r>
      <w:r>
        <w:rPr>
          <w:sz w:val="20"/>
          <w:szCs w:val="20"/>
          <w:color w:val="auto"/>
        </w:rPr>
        <w:tab/>
      </w:r>
      <w:hyperlink w:anchor="page24">
        <w:r>
          <w:rPr>
            <w:rFonts w:ascii="Arial" w:cs="Arial" w:eastAsia="Arial" w:hAnsi="Arial"/>
            <w:sz w:val="17"/>
            <w:szCs w:val="17"/>
            <w:u w:val="single" w:color="auto"/>
            <w:color w:val="0000EE"/>
          </w:rPr>
          <w:t>Risk Factors</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1B.</w:t>
      </w:r>
      <w:r>
        <w:rPr>
          <w:sz w:val="20"/>
          <w:szCs w:val="20"/>
          <w:color w:val="auto"/>
        </w:rPr>
        <w:tab/>
      </w:r>
      <w:hyperlink w:anchor="page42">
        <w:r>
          <w:rPr>
            <w:rFonts w:ascii="Arial" w:cs="Arial" w:eastAsia="Arial" w:hAnsi="Arial"/>
            <w:sz w:val="18"/>
            <w:szCs w:val="18"/>
            <w:u w:val="single" w:color="auto"/>
            <w:color w:val="0000EE"/>
          </w:rPr>
          <w:t>Unresolved Staff Comments</w:t>
        </w:r>
      </w:hyperlink>
    </w:p>
    <w:p>
      <w:pPr>
        <w:spacing w:after="0" w:line="9" w:lineRule="exact"/>
        <w:rPr>
          <w:sz w:val="20"/>
          <w:szCs w:val="20"/>
          <w:color w:val="auto"/>
        </w:rPr>
      </w:pPr>
    </w:p>
    <w:p>
      <w:pPr>
        <w:spacing w:after="0"/>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42">
        <w:r>
          <w:rPr>
            <w:rFonts w:ascii="Arial" w:cs="Arial" w:eastAsia="Arial" w:hAnsi="Arial"/>
            <w:sz w:val="17"/>
            <w:szCs w:val="17"/>
            <w:u w:val="single" w:color="auto"/>
            <w:color w:val="0000EE"/>
          </w:rPr>
          <w:t>Properties</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3.</w:t>
      </w:r>
      <w:r>
        <w:rPr>
          <w:sz w:val="20"/>
          <w:szCs w:val="20"/>
          <w:color w:val="auto"/>
        </w:rPr>
        <w:tab/>
      </w:r>
      <w:hyperlink w:anchor="page43">
        <w:r>
          <w:rPr>
            <w:rFonts w:ascii="Arial" w:cs="Arial" w:eastAsia="Arial" w:hAnsi="Arial"/>
            <w:sz w:val="18"/>
            <w:szCs w:val="18"/>
            <w:u w:val="single" w:color="auto"/>
            <w:color w:val="0000EE"/>
          </w:rPr>
          <w:t>Legal Proceedings</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4.</w:t>
      </w:r>
      <w:r>
        <w:rPr>
          <w:sz w:val="20"/>
          <w:szCs w:val="20"/>
          <w:color w:val="auto"/>
        </w:rPr>
        <w:tab/>
      </w:r>
      <w:hyperlink w:anchor="page43">
        <w:r>
          <w:rPr>
            <w:rFonts w:ascii="Arial" w:cs="Arial" w:eastAsia="Arial" w:hAnsi="Arial"/>
            <w:sz w:val="18"/>
            <w:szCs w:val="18"/>
            <w:u w:val="single" w:color="auto"/>
            <w:color w:val="0000EE"/>
          </w:rPr>
          <w:t>Mine Safety Disclosures</w:t>
        </w:r>
      </w:hyperlink>
    </w:p>
    <w:p>
      <w:pPr>
        <w:spacing w:after="0" w:line="109" w:lineRule="exact"/>
        <w:rPr>
          <w:sz w:val="20"/>
          <w:szCs w:val="20"/>
          <w:color w:val="auto"/>
        </w:rPr>
      </w:pPr>
    </w:p>
    <w:p>
      <w:pPr>
        <w:ind w:left="5560"/>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PART II</w:t>
        </w:r>
      </w:hyperlink>
    </w:p>
    <w:p>
      <w:pPr>
        <w:spacing w:after="0" w:line="18" w:lineRule="exact"/>
        <w:rPr>
          <w:sz w:val="20"/>
          <w:szCs w:val="20"/>
          <w:color w:val="auto"/>
        </w:rPr>
      </w:pPr>
    </w:p>
    <w:p>
      <w:pPr>
        <w:spacing w:after="0"/>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Item 5.</w:t>
      </w:r>
      <w:r>
        <w:rPr>
          <w:sz w:val="20"/>
          <w:szCs w:val="20"/>
          <w:color w:val="auto"/>
        </w:rPr>
        <w:tab/>
      </w:r>
      <w:hyperlink w:anchor="page44">
        <w:r>
          <w:rPr>
            <w:rFonts w:ascii="Arial" w:cs="Arial" w:eastAsia="Arial" w:hAnsi="Arial"/>
            <w:sz w:val="17"/>
            <w:szCs w:val="17"/>
            <w:u w:val="single" w:color="auto"/>
            <w:color w:val="0000EE"/>
          </w:rPr>
          <w:t>Market for Registrant’s Common Equity, Related Stockholder Matters and Issuer Purchases of Equity Securities</w:t>
        </w:r>
      </w:hyperlink>
    </w:p>
    <w:p>
      <w:pPr>
        <w:spacing w:after="0" w:line="9" w:lineRule="exact"/>
        <w:rPr>
          <w:sz w:val="20"/>
          <w:szCs w:val="20"/>
          <w:color w:val="auto"/>
        </w:rPr>
      </w:pPr>
    </w:p>
    <w:p>
      <w:pPr>
        <w:spacing w:after="0"/>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Item 6.</w:t>
      </w:r>
      <w:r>
        <w:rPr>
          <w:sz w:val="20"/>
          <w:szCs w:val="20"/>
          <w:color w:val="auto"/>
        </w:rPr>
        <w:tab/>
      </w:r>
      <w:hyperlink w:anchor="page45">
        <w:r>
          <w:rPr>
            <w:rFonts w:ascii="Arial" w:cs="Arial" w:eastAsia="Arial" w:hAnsi="Arial"/>
            <w:sz w:val="17"/>
            <w:szCs w:val="17"/>
            <w:u w:val="single" w:color="auto"/>
            <w:color w:val="0000EE"/>
          </w:rPr>
          <w:t>Selected Financial Data</w:t>
        </w:r>
      </w:hyperlink>
    </w:p>
    <w:p>
      <w:pPr>
        <w:spacing w:after="0" w:line="9" w:lineRule="exact"/>
        <w:rPr>
          <w:sz w:val="20"/>
          <w:szCs w:val="20"/>
          <w:color w:val="auto"/>
        </w:rPr>
      </w:pPr>
    </w:p>
    <w:p>
      <w:pPr>
        <w:spacing w:after="0"/>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Item 7.</w:t>
      </w:r>
      <w:r>
        <w:rPr>
          <w:sz w:val="20"/>
          <w:szCs w:val="20"/>
          <w:color w:val="auto"/>
        </w:rPr>
        <w:tab/>
      </w:r>
      <w:hyperlink w:anchor="page47">
        <w:r>
          <w:rPr>
            <w:rFonts w:ascii="Arial" w:cs="Arial" w:eastAsia="Arial" w:hAnsi="Arial"/>
            <w:sz w:val="17"/>
            <w:szCs w:val="17"/>
            <w:u w:val="single" w:color="auto"/>
            <w:color w:val="0000EE"/>
          </w:rPr>
          <w:t>Management’s Discussion and Analysis of Financial Condition and Results of Operations</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7A.</w:t>
      </w:r>
      <w:r>
        <w:rPr>
          <w:sz w:val="20"/>
          <w:szCs w:val="20"/>
          <w:color w:val="auto"/>
        </w:rPr>
        <w:tab/>
      </w:r>
      <w:hyperlink w:anchor="page66">
        <w:r>
          <w:rPr>
            <w:rFonts w:ascii="Arial" w:cs="Arial" w:eastAsia="Arial" w:hAnsi="Arial"/>
            <w:sz w:val="18"/>
            <w:szCs w:val="18"/>
            <w:u w:val="single" w:color="auto"/>
            <w:color w:val="0000EE"/>
          </w:rPr>
          <w:t>Quantitative and Qualitative Disclosures About Market Risk</w:t>
        </w:r>
      </w:hyperlink>
    </w:p>
    <w:p>
      <w:pPr>
        <w:spacing w:after="0" w:line="9" w:lineRule="exact"/>
        <w:rPr>
          <w:sz w:val="20"/>
          <w:szCs w:val="20"/>
          <w:color w:val="auto"/>
        </w:rPr>
      </w:pPr>
    </w:p>
    <w:p>
      <w:pPr>
        <w:spacing w:after="0"/>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Item 8.</w:t>
      </w:r>
      <w:r>
        <w:rPr>
          <w:sz w:val="20"/>
          <w:szCs w:val="20"/>
          <w:color w:val="auto"/>
        </w:rPr>
        <w:tab/>
      </w:r>
      <w:hyperlink w:anchor="page66">
        <w:r>
          <w:rPr>
            <w:rFonts w:ascii="Arial" w:cs="Arial" w:eastAsia="Arial" w:hAnsi="Arial"/>
            <w:sz w:val="17"/>
            <w:szCs w:val="17"/>
            <w:u w:val="single" w:color="auto"/>
            <w:color w:val="0000EE"/>
          </w:rPr>
          <w:t>Financial Statements and Supplementary Data</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9.</w:t>
      </w:r>
      <w:r>
        <w:rPr>
          <w:sz w:val="20"/>
          <w:szCs w:val="20"/>
          <w:color w:val="auto"/>
        </w:rPr>
        <w:tab/>
      </w:r>
      <w:hyperlink w:anchor="page67">
        <w:r>
          <w:rPr>
            <w:rFonts w:ascii="Arial" w:cs="Arial" w:eastAsia="Arial" w:hAnsi="Arial"/>
            <w:sz w:val="18"/>
            <w:szCs w:val="18"/>
            <w:u w:val="single" w:color="auto"/>
            <w:color w:val="0000EE"/>
          </w:rPr>
          <w:t>Changes in and Disagreements with Accountants on Accounting and Financial Disclosure</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9A.</w:t>
      </w:r>
      <w:r>
        <w:rPr>
          <w:sz w:val="20"/>
          <w:szCs w:val="20"/>
          <w:color w:val="auto"/>
        </w:rPr>
        <w:tab/>
      </w:r>
      <w:hyperlink w:anchor="page67">
        <w:r>
          <w:rPr>
            <w:rFonts w:ascii="Arial" w:cs="Arial" w:eastAsia="Arial" w:hAnsi="Arial"/>
            <w:sz w:val="18"/>
            <w:szCs w:val="18"/>
            <w:u w:val="single" w:color="auto"/>
            <w:color w:val="0000EE"/>
          </w:rPr>
          <w:t>Controls and Procedures</w:t>
        </w:r>
      </w:hyperlink>
    </w:p>
    <w:p>
      <w:pPr>
        <w:spacing w:after="0" w:line="9" w:lineRule="exact"/>
        <w:rPr>
          <w:sz w:val="20"/>
          <w:szCs w:val="20"/>
          <w:color w:val="auto"/>
        </w:rPr>
      </w:pPr>
    </w:p>
    <w:p>
      <w:pPr>
        <w:spacing w:after="0"/>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Item 9B.</w:t>
      </w:r>
      <w:r>
        <w:rPr>
          <w:sz w:val="20"/>
          <w:szCs w:val="20"/>
          <w:color w:val="auto"/>
        </w:rPr>
        <w:tab/>
      </w:r>
      <w:hyperlink w:anchor="page68">
        <w:r>
          <w:rPr>
            <w:rFonts w:ascii="Arial" w:cs="Arial" w:eastAsia="Arial" w:hAnsi="Arial"/>
            <w:sz w:val="17"/>
            <w:szCs w:val="17"/>
            <w:u w:val="single" w:color="auto"/>
            <w:color w:val="0000EE"/>
          </w:rPr>
          <w:t>Other Information</w:t>
        </w:r>
      </w:hyperlink>
    </w:p>
    <w:p>
      <w:pPr>
        <w:spacing w:after="0" w:line="109" w:lineRule="exact"/>
        <w:rPr>
          <w:sz w:val="20"/>
          <w:szCs w:val="20"/>
          <w:color w:val="auto"/>
        </w:rPr>
      </w:pPr>
    </w:p>
    <w:p>
      <w:pPr>
        <w:ind w:left="5520"/>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PART III</w:t>
        </w:r>
      </w:hyperlink>
    </w:p>
    <w:p>
      <w:pPr>
        <w:spacing w:after="0" w:line="18" w:lineRule="exact"/>
        <w:rPr>
          <w:sz w:val="20"/>
          <w:szCs w:val="20"/>
          <w:color w:val="auto"/>
        </w:rPr>
      </w:pPr>
    </w:p>
    <w:p>
      <w:pPr>
        <w:spacing w:after="0"/>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Item 10.</w:t>
      </w:r>
      <w:r>
        <w:rPr>
          <w:sz w:val="20"/>
          <w:szCs w:val="20"/>
          <w:color w:val="auto"/>
        </w:rPr>
        <w:tab/>
      </w:r>
      <w:hyperlink w:anchor="page69">
        <w:r>
          <w:rPr>
            <w:rFonts w:ascii="Arial" w:cs="Arial" w:eastAsia="Arial" w:hAnsi="Arial"/>
            <w:sz w:val="17"/>
            <w:szCs w:val="17"/>
            <w:u w:val="single" w:color="auto"/>
            <w:color w:val="0000EE"/>
          </w:rPr>
          <w:t>Directors, Executive Officers and Corporate Governance</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11.</w:t>
      </w:r>
      <w:r>
        <w:rPr>
          <w:sz w:val="20"/>
          <w:szCs w:val="20"/>
          <w:color w:val="auto"/>
        </w:rPr>
        <w:tab/>
      </w:r>
      <w:hyperlink w:anchor="page69">
        <w:r>
          <w:rPr>
            <w:rFonts w:ascii="Arial" w:cs="Arial" w:eastAsia="Arial" w:hAnsi="Arial"/>
            <w:sz w:val="18"/>
            <w:szCs w:val="18"/>
            <w:u w:val="single" w:color="auto"/>
            <w:color w:val="0000EE"/>
          </w:rPr>
          <w:t>Executive Compensation</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12.</w:t>
      </w:r>
      <w:r>
        <w:rPr>
          <w:sz w:val="20"/>
          <w:szCs w:val="20"/>
          <w:color w:val="auto"/>
        </w:rPr>
        <w:tab/>
      </w:r>
      <w:hyperlink w:anchor="page69">
        <w:r>
          <w:rPr>
            <w:rFonts w:ascii="Arial" w:cs="Arial" w:eastAsia="Arial" w:hAnsi="Arial"/>
            <w:sz w:val="18"/>
            <w:szCs w:val="18"/>
            <w:u w:val="single" w:color="auto"/>
            <w:color w:val="0000EE"/>
          </w:rPr>
          <w:t>Security Ownership of Certain Beneficial Owners and Management and Related Stockholder Matters</w:t>
        </w:r>
      </w:hyperlink>
    </w:p>
    <w:p>
      <w:pPr>
        <w:spacing w:after="0" w:line="9" w:lineRule="exact"/>
        <w:rPr>
          <w:sz w:val="20"/>
          <w:szCs w:val="20"/>
          <w:color w:val="auto"/>
        </w:rPr>
      </w:pPr>
    </w:p>
    <w:p>
      <w:pPr>
        <w:spacing w:after="0"/>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Item 13.</w:t>
      </w:r>
      <w:r>
        <w:rPr>
          <w:sz w:val="20"/>
          <w:szCs w:val="20"/>
          <w:color w:val="auto"/>
        </w:rPr>
        <w:tab/>
      </w:r>
      <w:hyperlink w:anchor="page69">
        <w:r>
          <w:rPr>
            <w:rFonts w:ascii="Arial" w:cs="Arial" w:eastAsia="Arial" w:hAnsi="Arial"/>
            <w:sz w:val="17"/>
            <w:szCs w:val="17"/>
            <w:u w:val="single" w:color="auto"/>
            <w:color w:val="0000EE"/>
          </w:rPr>
          <w:t>Certain Relationships and Related Transactions, and Director Independence</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14.</w:t>
      </w:r>
      <w:r>
        <w:rPr>
          <w:sz w:val="20"/>
          <w:szCs w:val="20"/>
          <w:color w:val="auto"/>
        </w:rPr>
        <w:tab/>
      </w:r>
      <w:hyperlink w:anchor="page69">
        <w:r>
          <w:rPr>
            <w:rFonts w:ascii="Arial" w:cs="Arial" w:eastAsia="Arial" w:hAnsi="Arial"/>
            <w:sz w:val="18"/>
            <w:szCs w:val="18"/>
            <w:u w:val="single" w:color="auto"/>
            <w:color w:val="0000EE"/>
          </w:rPr>
          <w:t>Principal Accounting Fees and Services</w:t>
        </w:r>
      </w:hyperlink>
    </w:p>
    <w:p>
      <w:pPr>
        <w:spacing w:after="0" w:line="109" w:lineRule="exact"/>
        <w:rPr>
          <w:sz w:val="20"/>
          <w:szCs w:val="20"/>
          <w:color w:val="auto"/>
        </w:rPr>
      </w:pPr>
    </w:p>
    <w:p>
      <w:pPr>
        <w:ind w:left="5520"/>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PART IV</w:t>
        </w:r>
      </w:hyperlink>
    </w:p>
    <w:p>
      <w:pPr>
        <w:spacing w:after="0" w:line="18"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15.</w:t>
      </w:r>
      <w:r>
        <w:rPr>
          <w:sz w:val="20"/>
          <w:szCs w:val="20"/>
          <w:color w:val="auto"/>
        </w:rPr>
        <w:tab/>
      </w:r>
      <w:hyperlink w:anchor="page70">
        <w:r>
          <w:rPr>
            <w:rFonts w:ascii="Arial" w:cs="Arial" w:eastAsia="Arial" w:hAnsi="Arial"/>
            <w:sz w:val="18"/>
            <w:szCs w:val="18"/>
            <w:u w:val="single" w:color="auto"/>
            <w:color w:val="0000EE"/>
          </w:rPr>
          <w:t>Exhibits, Financial Statement Schedules</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16.</w:t>
      </w:r>
      <w:r>
        <w:rPr>
          <w:sz w:val="20"/>
          <w:szCs w:val="20"/>
          <w:color w:val="auto"/>
        </w:rPr>
        <w:tab/>
      </w:r>
      <w:hyperlink w:anchor="page72">
        <w:r>
          <w:rPr>
            <w:rFonts w:ascii="Arial" w:cs="Arial" w:eastAsia="Arial" w:hAnsi="Arial"/>
            <w:sz w:val="18"/>
            <w:szCs w:val="18"/>
            <w:u w:val="single" w:color="auto"/>
            <w:color w:val="0000EE"/>
          </w:rPr>
          <w:t>Form 10-K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68"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8890</wp:posOffset>
            </wp:positionV>
            <wp:extent cx="420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ectPr>
          <w:pgSz w:w="11900" w:h="16838" w:orient="portrait"/>
          <w:cols w:equalWidth="0" w:num="2">
            <w:col w:w="10140" w:space="600"/>
            <w:col w:w="500"/>
          </w:cols>
          <w:pgMar w:left="320" w:top="11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5"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the impact of the novel coronavirus (COVID-19) pandemic on our business;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impacts on overall coverage area, planned services and financial results of the identified antenna deployment issue on the ViaSat-2 satellite; the expected completion, capacity, service, coverage, service speeds and other features of our satellites, and the timing, cost, economics and other benefits associated therewith; anticipated subscriber growth; plans, objectives and strategies for future operations; the number of in-flight connectivity (IFC) systems expected to be installed under existing contracts with commercial airlines;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the impact of the COVID-19 pandemic on our business, suppliers, consumers, customers, and employees or the overall economy; our ability to realize the anticipated benefits of our acquisitions or strategic partnering arrangements;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85" w:lineRule="exact"/>
        <w:rPr>
          <w:sz w:val="20"/>
          <w:szCs w:val="20"/>
          <w:color w:val="auto"/>
        </w:rPr>
      </w:pPr>
    </w:p>
    <w:p>
      <w:pPr>
        <w:ind w:right="280" w:firstLine="510"/>
        <w:spacing w:after="0" w:line="261" w:lineRule="auto"/>
        <w:rPr>
          <w:sz w:val="20"/>
          <w:szCs w:val="20"/>
          <w:color w:val="auto"/>
        </w:rPr>
      </w:pPr>
      <w:r>
        <w:rPr>
          <w:rFonts w:ascii="Arial" w:cs="Arial" w:eastAsia="Arial" w:hAnsi="Arial"/>
          <w:sz w:val="17"/>
          <w:szCs w:val="17"/>
          <w:color w:val="auto"/>
        </w:rPr>
        <w:t xml:space="preserve">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t>
      </w:r>
      <w:r>
        <w:rPr>
          <w:rFonts w:ascii="Arial" w:cs="Arial" w:eastAsia="Arial" w:hAnsi="Arial"/>
          <w:sz w:val="17"/>
          <w:szCs w:val="17"/>
          <w:i w:val="1"/>
          <w:iCs w:val="1"/>
          <w:color w:val="auto"/>
        </w:rPr>
        <w:t>www.viasat.com.</w:t>
      </w:r>
      <w:r>
        <w:rPr>
          <w:rFonts w:ascii="Arial" w:cs="Arial" w:eastAsia="Arial" w:hAnsi="Arial"/>
          <w:sz w:val="17"/>
          <w:szCs w:val="17"/>
          <w:color w:val="auto"/>
        </w:rPr>
        <w:t xml:space="preserve"> The information on our website does not constitute part of this report.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Company Overview</w:t>
      </w:r>
    </w:p>
    <w:p>
      <w:pPr>
        <w:spacing w:after="0" w:line="99"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We believe that our portfolio of products and services, combined with our vertical integration strategy and ability to effectively cross-deploy technologies between government and commercial segments and across different geographic markets, provides us with a strong foundation to sustain and enhance our leadership in advanced communications and networking technologies.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85" w:lineRule="exact"/>
        <w:rPr>
          <w:sz w:val="20"/>
          <w:szCs w:val="20"/>
          <w:color w:val="auto"/>
        </w:rPr>
      </w:pPr>
    </w:p>
    <w:p>
      <w:pPr>
        <w:ind w:right="440" w:firstLine="510"/>
        <w:spacing w:after="0" w:line="246" w:lineRule="auto"/>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around the globe for use in commercial applications.</w:t>
      </w:r>
    </w:p>
    <w:p>
      <w:pPr>
        <w:spacing w:after="0" w:line="143"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Ka-band satellites are at the core of our technology platform. We have access to a number of Ka-band satellites in service globally. We own three satellites in service over North America: our second-generation ViaSat-2 satellite (launched in 2017), our first-generation ViaSat-1 satellite (launched in 2011) and the WildBlue-1 satellite (launched in 2007), have lifetime leases of Ka-band capacity on two satellites, and jointly own the KA-SAT satellite over Europe, Middle East and Africa (EMEA). We also have access to additional Ka-band capacity on partner satellites around the globe (including Australia, EMEA and Brazil) through various arrangements with third parties. We also have a global constellation of three third-generation ViaSat-3 class satellites under construction. We expect our ViaSat-3 constellation, once in service, to provide approximately eight times the capacity of our own satellite fleet in-service today, and to enable us to deliver affordable connectivity across most of the world.</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59" w:lineRule="exact"/>
        <w:rPr>
          <w:sz w:val="20"/>
          <w:szCs w:val="20"/>
          <w:color w:val="auto"/>
        </w:rPr>
      </w:pPr>
    </w:p>
    <w:p>
      <w:pPr>
        <w:ind w:left="1000" w:right="20" w:hanging="493"/>
        <w:spacing w:after="0" w:line="239"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Fixed Broadband Services</w:t>
      </w:r>
      <w:r>
        <w:rPr>
          <w:rFonts w:ascii="Arial" w:cs="Arial" w:eastAsia="Arial" w:hAnsi="Arial"/>
          <w:sz w:val="18"/>
          <w:szCs w:val="18"/>
          <w:color w:val="auto"/>
        </w:rPr>
        <w:t>, which provide consumers and businesses with high-speed, high-quality broadband internet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and Voice over Internet Protocol (VoIP) services primarily in the United States as well as in a number of countries in Europe and Latin America. Our service offerings include premium data plans offering download speeds up to 100 Mbps in select U.S. areas. We also offer wholesale and retail fixed broadband services to our distribution partners. As of March 31, 2020, we provided fixed broadband services to approximately 590,000 subscribers in the United States (excluding subscribers whose service would have ordinarily been terminated in the absence of the federal FCC Pledge and similar state programs we are currently participating in to ensure our customers have access to connectivity during the COVID-19 pandemic). For the three months ended March 31, 2020, average revenue per fixed broadband subscriber reported in the United States (ARPU) was $93.06.</w:t>
      </w:r>
    </w:p>
    <w:p>
      <w:pPr>
        <w:spacing w:after="0" w:line="38" w:lineRule="exact"/>
        <w:rPr>
          <w:rFonts w:ascii="Arial" w:cs="Arial" w:eastAsia="Arial" w:hAnsi="Arial"/>
          <w:sz w:val="18"/>
          <w:szCs w:val="18"/>
          <w:color w:val="auto"/>
        </w:rPr>
      </w:pPr>
    </w:p>
    <w:p>
      <w:pPr>
        <w:ind w:left="1000" w:right="60" w:hanging="493"/>
        <w:spacing w:after="0" w:line="253"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In-Flight Services</w:t>
      </w:r>
      <w:r>
        <w:rPr>
          <w:rFonts w:ascii="Arial" w:cs="Arial" w:eastAsia="Arial" w:hAnsi="Arial"/>
          <w:sz w:val="17"/>
          <w:szCs w:val="17"/>
          <w:color w:val="auto"/>
        </w:rPr>
        <w:t>, which provide industry-leading IFC, wireless in-flight entertainment (W-IFE) and aviation software services to</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airlines and private business jets. The data capacity of our IFC systems enables all passengers and crew to receive in-flight internet service in the air similar to the internet service available on the ground, supporting applications such as high-speed web browsing, streaming and social media applications. Our W-IFE service is a cloud-based platform providing passengers with access to a wide range of premium entertainment, video and information services maintained on an onboard server and wirelessly delivered direct to passengers’ own devices. As of March 31, 2020, we provided IFC services to 1,390 commercial aircraft in service across the United States, Europe, Middle East and Australia, with IFC services anticipated to be activated on approximately 750 additional commercial aircraft under our existing customer agreements with commercial airlines. The number of commercial aircraft in service may be negatively impacted in future quarters due to the grounding of installed aircraft as a result of the impact of the COVID-19 pandemic on global air traffic and on the airline industry. The timing of installation and entry into service for additional aircraft under existing customer agreements may also be delayed due to COVID-19 impacts. There can be no assurance that anticipated IFC services will be activated on all such additional commercial aircraft.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 w:name="page5"/>
    <w:bookmarkEnd w:id="4"/>
    <w:p>
      <w:pPr>
        <w:ind w:left="1000" w:right="6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Community Internet Services, </w:t>
      </w:r>
      <w:r>
        <w:rPr>
          <w:rFonts w:ascii="Arial" w:cs="Arial" w:eastAsia="Arial" w:hAnsi="Arial"/>
          <w:sz w:val="18"/>
          <w:szCs w:val="18"/>
          <w:color w:val="auto"/>
        </w:rPr>
        <w:t>which offer innovative, affordable, satellite-based connectivity in communities with poor or no</w:t>
      </w:r>
      <w:r>
        <w:rPr>
          <w:rFonts w:ascii="Arial" w:cs="Arial" w:eastAsia="Arial" w:hAnsi="Arial"/>
          <w:sz w:val="18"/>
          <w:szCs w:val="18"/>
          <w:i w:val="1"/>
          <w:iCs w:val="1"/>
          <w:color w:val="auto"/>
        </w:rPr>
        <w:t xml:space="preserve"> </w:t>
      </w:r>
      <w:r>
        <w:rPr>
          <w:rFonts w:ascii="Arial" w:cs="Arial" w:eastAsia="Arial" w:hAnsi="Arial"/>
          <w:sz w:val="18"/>
          <w:szCs w:val="18"/>
          <w:color w:val="auto"/>
        </w:rPr>
        <w:t>other means of internet access. The services help foster digital inclusion by enabling millions of people to connect to affordable high-quality internet services via a centralized community hotspot connected to the internet via satellite. Our Community Internet services are currently offered primarily in Mexico, and we expect to expand these services to other countries in the future. Since launch, our Community Internet services have reached approximately 2 million people living and working in thousands of rural, suburban and urban communities in Mexico and are trialing services in advance of full commercial launch in other countries, including Brazil.</w:t>
      </w:r>
    </w:p>
    <w:p>
      <w:pPr>
        <w:spacing w:after="0" w:line="37" w:lineRule="exact"/>
        <w:rPr>
          <w:rFonts w:ascii="Arial" w:cs="Arial" w:eastAsia="Arial" w:hAnsi="Arial"/>
          <w:sz w:val="18"/>
          <w:szCs w:val="18"/>
          <w:color w:val="auto"/>
        </w:rPr>
      </w:pPr>
    </w:p>
    <w:p>
      <w:pPr>
        <w:ind w:left="1000" w:right="200" w:hanging="493"/>
        <w:spacing w:after="0" w:line="260"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Other Mobile Broadband Services</w:t>
      </w:r>
      <w:r>
        <w:rPr>
          <w:rFonts w:ascii="Arial" w:cs="Arial" w:eastAsia="Arial" w:hAnsi="Arial"/>
          <w:sz w:val="17"/>
          <w:szCs w:val="17"/>
          <w:color w:val="auto"/>
        </w:rPr>
        <w:t>, which include high-speed, satellite-based internet services to seagoing vessels,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energy offshore vessels, cruise ships, consumer ferries and yachts. In addition, these services also include L-band managed services enabling real-time machine-to-machine (M2M) position tracking, management of remote assets and operations, and visibility into critical areas of the supply chain. Our high-performance M2M terminals are used for a broad range of applications including emergency responders, oil and gas pipeline monitoring, mobile fleet management, and high-value asset tracking.</w:t>
      </w:r>
    </w:p>
    <w:p>
      <w:pPr>
        <w:spacing w:after="0" w:line="134"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Our ViaSat-3 class satellites are our third-generation, high-capacity Ka-band satellite design and are designed to further improve the speed, availability and cost-efficiency of our proprietary Ka-band satellite network. The satellites will have significantly greater data capacity and geographic coverage than our second-generation ViaSat-2 satellite. Our third generation satellite design has enhanced ability to flexibly and dynamically allocate capacity by service, time and geography, allowing us to allocate our satellite capacity to markets where bandwidth usage demands and returns are highest. Two ViaSat-3 class satellites have entered the phase of full construction: the first to cover the Americas, and the second to cover the EMEA region. In July 2019, we entered into an agreement with The Boeing Company (Boeing) for our third ViaSat-3 class satellite, to cover the Asia Pacific (APAC) region. To date, we’ve mitigated multiple challenges posed by the COVID-19 crisis by working with subcontractors to implement safe working conditions and processes for production activities. While we continue to target mid-calendar year 2021 for the launch of our first ViaSat-3 class satellite, the current COVID-19 health-related disruptions pose greater risk to both the payload completion schedule and the final spacecraft assembly, integration and test schedule.</w:t>
      </w:r>
    </w:p>
    <w:p>
      <w:pPr>
        <w:spacing w:after="0" w:line="152"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In the fourth quarter of fiscal year 2018, we reported an antenna deployment issue on our ViaSat-2 satellite shortly before the launch of commercial broadband services. We worked with the satellite manufacturer to determine the root cause of the antenna deployment issue, potential corrective measures and resulting damage. In fiscal year 2019, the root cause analysis was completed and we filed insurance claims for the resulting damage. We received an aggregate of $188.0 million in insurance proceeds, which were used to pay down outstanding borrowings under our direct loan facility with the Export-Import Bank of the United States (the Ex-Im Credit Facility) used to finance the ViaSat-2 satellite (see “Liquidity and Capital Resources—Ex-Im Credit Facility” below). Our ViaSat-2 satellite, despite this anomaly, significantly expanded our network’s data capacity and geographic reach.</w:t>
      </w:r>
    </w:p>
    <w:p>
      <w:pPr>
        <w:spacing w:after="0" w:line="149" w:lineRule="exact"/>
        <w:rPr>
          <w:sz w:val="20"/>
          <w:szCs w:val="20"/>
          <w:color w:val="auto"/>
        </w:rPr>
      </w:pPr>
    </w:p>
    <w:p>
      <w:pPr>
        <w:ind w:right="420" w:firstLine="510"/>
        <w:spacing w:after="0" w:line="237" w:lineRule="auto"/>
        <w:rPr>
          <w:sz w:val="20"/>
          <w:szCs w:val="20"/>
          <w:color w:val="auto"/>
        </w:rPr>
      </w:pPr>
      <w:r>
        <w:rPr>
          <w:rFonts w:ascii="Arial" w:cs="Arial" w:eastAsia="Arial" w:hAnsi="Arial"/>
          <w:sz w:val="18"/>
          <w:szCs w:val="18"/>
          <w:color w:val="auto"/>
        </w:rPr>
        <w:t>We believe that growth in our satellite services segment will be driven in the coming years by continued demand for high-speed broadband services across the globe, driven by an increase in the number of internet users, applications and connected devices. This presents opportunities across a number of Viasat satellite services businesses, including residential, business internet and Community Internet. Further growth in our in-flight services business is expected to be driven by the installation of our IFC systems on additional commercial aircraft and the expansion of airlines and flight routes covered by the footprint of our satellite fleet following the launch of our ViaSat-3 constellation.</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9"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We are a leading end-to-end network technology and equipment supplier in broadband satellite markets. In addition to developing our own proprietary high-capacity Ka-band satellite systems, our commercial networks segment develops and sells a wide array of advanced satellite and wireless products, antenna systems and terminal solutions that support or enable the provision of high-speed fixed and mobile broadband services. We design, develop and produce space system solutions for multiple orbital regimes, including geostationary (GEO), mid earth orbit (MEO) and low earth orbit (LEO).</w:t>
      </w:r>
    </w:p>
    <w:p>
      <w:pPr>
        <w:spacing w:after="0" w:line="148" w:lineRule="exact"/>
        <w:rPr>
          <w:sz w:val="20"/>
          <w:szCs w:val="20"/>
          <w:color w:val="auto"/>
        </w:rPr>
      </w:pPr>
    </w:p>
    <w:p>
      <w:pPr>
        <w:ind w:right="80" w:firstLine="510"/>
        <w:spacing w:after="0" w:line="253" w:lineRule="auto"/>
        <w:rPr>
          <w:sz w:val="20"/>
          <w:szCs w:val="20"/>
          <w:color w:val="auto"/>
        </w:rPr>
      </w:pPr>
      <w:r>
        <w:rPr>
          <w:rFonts w:ascii="Arial" w:cs="Arial" w:eastAsia="Arial" w:hAnsi="Arial"/>
          <w:sz w:val="17"/>
          <w:szCs w:val="17"/>
          <w:color w:val="auto"/>
        </w:rPr>
        <w:t>Our products, systems and solutions are generally developed through a combination of customer and discretionary internal research and development (R&amp;D) funding, and products are often linked through common underlying technologies, customer applications and market relationships. For example, products, systems and solutions developed and sold in our commercial networks segment are often complementary to those developed and sold to government customers in our government systems segment, and our portfolio of government and military offerings in our government systems segment leverages our technological investments in our commercial networks segment. Our commercial networks segment also drives growth in our satellite services segment. For example, the IFC terminals sold and installed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p>
      <w:pPr>
        <w:ind w:right="440"/>
        <w:spacing w:after="0" w:line="246" w:lineRule="auto"/>
        <w:rPr>
          <w:sz w:val="20"/>
          <w:szCs w:val="20"/>
          <w:color w:val="auto"/>
        </w:rPr>
      </w:pPr>
      <w:r>
        <w:rPr>
          <w:rFonts w:ascii="Arial" w:cs="Arial" w:eastAsia="Arial" w:hAnsi="Arial"/>
          <w:sz w:val="18"/>
          <w:szCs w:val="18"/>
          <w:color w:val="auto"/>
        </w:rPr>
        <w:t>on commercial aircraft and business jets in our commercial networks segment are then utilized to receive IFC services, driving recurring revenues in our satellite services segment.</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systems, solutions and services offered by our commercial networks segment are comprised of:</w:t>
      </w:r>
    </w:p>
    <w:p>
      <w:pPr>
        <w:spacing w:after="0" w:line="45" w:lineRule="exact"/>
        <w:rPr>
          <w:sz w:val="20"/>
          <w:szCs w:val="20"/>
          <w:color w:val="auto"/>
        </w:rPr>
      </w:pPr>
    </w:p>
    <w:p>
      <w:pPr>
        <w:jc w:val="both"/>
        <w:ind w:left="1000" w:right="460" w:hanging="493"/>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Mobile Broadband Satellite Communication Systems</w:t>
      </w:r>
      <w:r>
        <w:rPr>
          <w:rFonts w:ascii="Arial" w:cs="Arial" w:eastAsia="Arial" w:hAnsi="Arial"/>
          <w:sz w:val="18"/>
          <w:szCs w:val="18"/>
          <w:color w:val="auto"/>
        </w:rPr>
        <w:t>, which include systems and products designed for use in aircraft and</w:t>
      </w:r>
      <w:r>
        <w:rPr>
          <w:rFonts w:ascii="Arial" w:cs="Arial" w:eastAsia="Arial" w:hAnsi="Arial"/>
          <w:sz w:val="18"/>
          <w:szCs w:val="18"/>
          <w:i w:val="1"/>
          <w:iCs w:val="1"/>
          <w:color w:val="auto"/>
        </w:rPr>
        <w:t xml:space="preserve"> </w:t>
      </w:r>
      <w:r>
        <w:rPr>
          <w:rFonts w:ascii="Arial" w:cs="Arial" w:eastAsia="Arial" w:hAnsi="Arial"/>
          <w:sz w:val="18"/>
          <w:szCs w:val="18"/>
          <w:color w:val="auto"/>
        </w:rPr>
        <w:t>seagoing vessels, such as the IFC systems we install on commercial aircraft. These systems and products are designed to provide high-speed, cost-efficient broadband access while on the move via small transceivers.</w:t>
      </w:r>
    </w:p>
    <w:p>
      <w:pPr>
        <w:spacing w:after="0" w:line="28" w:lineRule="exact"/>
        <w:rPr>
          <w:rFonts w:ascii="Arial" w:cs="Arial" w:eastAsia="Arial" w:hAnsi="Arial"/>
          <w:sz w:val="18"/>
          <w:szCs w:val="18"/>
          <w:color w:val="auto"/>
        </w:rPr>
      </w:pPr>
    </w:p>
    <w:p>
      <w:pPr>
        <w:ind w:left="1000" w:hanging="493"/>
        <w:spacing w:after="0" w:line="241"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Fixed Broadband Satellite Communication Systems</w:t>
      </w:r>
      <w:r>
        <w:rPr>
          <w:rFonts w:ascii="Arial" w:cs="Arial" w:eastAsia="Arial" w:hAnsi="Arial"/>
          <w:sz w:val="18"/>
          <w:szCs w:val="18"/>
          <w:color w:val="auto"/>
        </w:rPr>
        <w:t>, which include next-generation satellite network infrastructure and ground</w:t>
      </w:r>
      <w:r>
        <w:rPr>
          <w:rFonts w:ascii="Arial" w:cs="Arial" w:eastAsia="Arial" w:hAnsi="Arial"/>
          <w:sz w:val="18"/>
          <w:szCs w:val="18"/>
          <w:i w:val="1"/>
          <w:iCs w:val="1"/>
          <w:color w:val="auto"/>
        </w:rPr>
        <w:t xml:space="preserve"> </w:t>
      </w:r>
      <w:r>
        <w:rPr>
          <w:rFonts w:ascii="Arial" w:cs="Arial" w:eastAsia="Arial" w:hAnsi="Arial"/>
          <w:sz w:val="18"/>
          <w:szCs w:val="18"/>
          <w:color w:val="auto"/>
        </w:rPr>
        <w:t>terminals designed to enable satellite-based broadband access for residential, enterprise and Community Internet hotspot users. Products and solutions in this category include space-to-earth connectivity systems, ground network infrastructure, satellite modems and user terminals. We also offer related products and services to enterprise customers to address bandwidth constraints, latency and other issues. In addition to commercial sales of these products and solutions, we also deploy our fixed broadband satellite communication systems to support our own fleet of proprietary Ka-band satellites.</w:t>
      </w:r>
    </w:p>
    <w:p>
      <w:pPr>
        <w:spacing w:after="0" w:line="35" w:lineRule="exact"/>
        <w:rPr>
          <w:rFonts w:ascii="Arial" w:cs="Arial" w:eastAsia="Arial" w:hAnsi="Arial"/>
          <w:sz w:val="18"/>
          <w:szCs w:val="18"/>
          <w:color w:val="auto"/>
        </w:rPr>
      </w:pPr>
    </w:p>
    <w:p>
      <w:pPr>
        <w:jc w:val="both"/>
        <w:ind w:left="1000" w:right="420" w:hanging="493"/>
        <w:spacing w:after="0" w:line="290"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Antenna Systems</w:t>
      </w:r>
      <w:r>
        <w:rPr>
          <w:rFonts w:ascii="Arial" w:cs="Arial" w:eastAsia="Arial" w:hAnsi="Arial"/>
          <w:sz w:val="17"/>
          <w:szCs w:val="17"/>
          <w:color w:val="auto"/>
        </w:rPr>
        <w:t>, which include ground terminals and antennas for terrestrial and satellite applications (such as Real-Time</w:t>
      </w:r>
      <w:r>
        <w:rPr>
          <w:rFonts w:ascii="Arial" w:cs="Arial" w:eastAsia="Arial" w:hAnsi="Arial"/>
          <w:sz w:val="17"/>
          <w:szCs w:val="17"/>
          <w:i w:val="1"/>
          <w:iCs w:val="1"/>
          <w:color w:val="auto"/>
        </w:rPr>
        <w:t xml:space="preserve"> </w:t>
      </w:r>
      <w:r>
        <w:rPr>
          <w:rFonts w:ascii="Arial" w:cs="Arial" w:eastAsia="Arial" w:hAnsi="Arial"/>
          <w:sz w:val="17"/>
          <w:szCs w:val="17"/>
          <w:color w:val="auto"/>
        </w:rPr>
        <w:t>Earth imaging and remote sensing), mobile satellite communication, Ka-band earth stations and other multi-band antennas.</w:t>
      </w:r>
    </w:p>
    <w:p>
      <w:pPr>
        <w:ind w:left="1000" w:right="20" w:hanging="493"/>
        <w:spacing w:after="0" w:line="242"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Satellite Networking Development</w:t>
      </w:r>
      <w:r>
        <w:rPr>
          <w:rFonts w:ascii="Arial" w:cs="Arial" w:eastAsia="Arial" w:hAnsi="Arial"/>
          <w:sz w:val="18"/>
          <w:szCs w:val="18"/>
          <w:color w:val="auto"/>
        </w:rPr>
        <w:t>, which includes specialized design and technology services covering all aspects of satellite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system architecture and technology. Services include analysis, design, development and specification of satellite and ground systems, semiconductor design for Application-Specific Integrated Circuit (ASIC) and Monolithic Microwave Integrated Circuit (MMIC) chips and network function virtualization, as well as modules and subsystems for various commercial, military and space uses and radio frequency and advanced microwave solutions.</w:t>
      </w:r>
    </w:p>
    <w:p>
      <w:pPr>
        <w:spacing w:after="0" w:line="36" w:lineRule="exact"/>
        <w:rPr>
          <w:rFonts w:ascii="Arial" w:cs="Arial" w:eastAsia="Arial" w:hAnsi="Arial"/>
          <w:sz w:val="18"/>
          <w:szCs w:val="18"/>
          <w:color w:val="auto"/>
        </w:rPr>
      </w:pPr>
    </w:p>
    <w:p>
      <w:pPr>
        <w:ind w:left="1000" w:right="80" w:hanging="493"/>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Space System Design and Development</w:t>
      </w:r>
      <w:r>
        <w:rPr>
          <w:rFonts w:ascii="Arial" w:cs="Arial" w:eastAsia="Arial" w:hAnsi="Arial"/>
          <w:sz w:val="18"/>
          <w:szCs w:val="18"/>
          <w:color w:val="auto"/>
        </w:rPr>
        <w:t>, which includes the design and development of high-capacity Ka-band satellites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associated satellite payload technologies for our own satellite fleet as well as for third parties. Our space system design and development services include architectures for GEO, MEO and LEO and other small satellite platforms.</w:t>
      </w:r>
    </w:p>
    <w:p>
      <w:pPr>
        <w:spacing w:after="0" w:line="181" w:lineRule="exact"/>
        <w:rPr>
          <w:sz w:val="20"/>
          <w:szCs w:val="20"/>
          <w:color w:val="auto"/>
        </w:rPr>
      </w:pPr>
    </w:p>
    <w:p>
      <w:pPr>
        <w:jc w:val="both"/>
        <w:ind w:right="120" w:firstLine="510"/>
        <w:spacing w:after="0" w:line="238" w:lineRule="auto"/>
        <w:rPr>
          <w:sz w:val="20"/>
          <w:szCs w:val="20"/>
          <w:color w:val="auto"/>
        </w:rPr>
      </w:pPr>
      <w:r>
        <w:rPr>
          <w:rFonts w:ascii="Arial" w:cs="Arial" w:eastAsia="Arial" w:hAnsi="Arial"/>
          <w:sz w:val="18"/>
          <w:szCs w:val="18"/>
          <w:color w:val="auto"/>
        </w:rPr>
        <w:t>We believe growth in our commercial networks segment will be driven in the coming years by continued growth in worldwide demand for mobile and fixed broadband connectivity. As the cost-effectiveness of satellite technologies to rapidly deploy broadband services across wide geographic areas and to large numbers of people continues to increase, we believe demand for the ground networking equipment and products that enable or support access to satellite-based broadband services will continue to grow.</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99" w:lineRule="exact"/>
        <w:rPr>
          <w:sz w:val="20"/>
          <w:szCs w:val="20"/>
          <w:color w:val="auto"/>
        </w:rPr>
      </w:pPr>
    </w:p>
    <w:p>
      <w:pPr>
        <w:ind w:right="160" w:firstLine="510"/>
        <w:spacing w:after="0" w:line="237" w:lineRule="auto"/>
        <w:rPr>
          <w:sz w:val="20"/>
          <w:szCs w:val="20"/>
          <w:color w:val="auto"/>
        </w:rPr>
      </w:pPr>
      <w:r>
        <w:rPr>
          <w:rFonts w:ascii="Arial" w:cs="Arial" w:eastAsia="Arial" w:hAnsi="Arial"/>
          <w:sz w:val="18"/>
          <w:szCs w:val="18"/>
          <w:color w:val="auto"/>
        </w:rPr>
        <w:t>We are a leading provider of innovative communications and cybersecurity products and solutions to the U.S. Government and other military and government users around the world. 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Customers of our government systems segment include the U.S. Department of Defense (DoD), those serving the Five Eye (FVEY) intelligence alliance (Australia, Canada, New Zealand, the United Kingdom and the United States), allied foreign governments, allied armed forces, public safety first-responders and remote government employees.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45" w:lineRule="exact"/>
        <w:rPr>
          <w:sz w:val="20"/>
          <w:szCs w:val="20"/>
          <w:color w:val="auto"/>
        </w:rPr>
      </w:pPr>
    </w:p>
    <w:p>
      <w:pPr>
        <w:ind w:left="1000" w:right="100" w:hanging="493"/>
        <w:spacing w:after="0" w:line="23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Government Mobile Broadband Products and Services</w:t>
      </w:r>
      <w:r>
        <w:rPr>
          <w:rFonts w:ascii="Arial" w:cs="Arial" w:eastAsia="Arial" w:hAnsi="Arial"/>
          <w:sz w:val="18"/>
          <w:szCs w:val="18"/>
          <w:color w:val="auto"/>
        </w:rPr>
        <w:t>, which provide military and government users with high-speed, real-time</w:t>
      </w:r>
      <w:r>
        <w:rPr>
          <w:rFonts w:ascii="Arial" w:cs="Arial" w:eastAsia="Arial" w:hAnsi="Arial"/>
          <w:sz w:val="18"/>
          <w:szCs w:val="18"/>
          <w:i w:val="1"/>
          <w:iCs w:val="1"/>
          <w:color w:val="auto"/>
        </w:rPr>
        <w:t xml:space="preserve"> </w:t>
      </w:r>
      <w:r>
        <w:rPr>
          <w:rFonts w:ascii="Arial" w:cs="Arial" w:eastAsia="Arial" w:hAnsi="Arial"/>
          <w:sz w:val="18"/>
          <w:szCs w:val="18"/>
          <w:color w:val="auto"/>
        </w:rPr>
        <w:t>broadband and multimedia connectivity in key regions of the world, as well as line-of-sight (LOS) and beyond-line-of-sight (BLOS) Intelligence, Surveillance and Reconnaissance (ISR) missions. Our government mobile broadband services include high-bandwidth global communications services in support of VIP and senior-level airborne operations and emergency response, as well as LOS and BLOS ISR missions. Products include mobile broadband modems, terminals, network access control systems and antenna systems using a range of satellite frequency bands capable of being installed and operated on a wide variety of fixed wing, rotary wing, manned and unmanned aircraft. Services include advanced mobility services to governments for aircraft and ships, as well as for nomadic and ground based missions.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6" w:name="page7"/>
    <w:bookmarkEnd w:id="6"/>
    <w:p>
      <w:pPr>
        <w:ind w:left="1000" w:right="160" w:hanging="493"/>
        <w:spacing w:after="0" w:line="239"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Government Satellite Communication (SATCOM) Systems</w:t>
      </w:r>
      <w:r>
        <w:rPr>
          <w:rFonts w:ascii="Arial" w:cs="Arial" w:eastAsia="Arial" w:hAnsi="Arial"/>
          <w:sz w:val="18"/>
          <w:szCs w:val="18"/>
          <w:color w:val="auto"/>
        </w:rPr>
        <w:t>, which offer an array of portable, mobile and fixed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modems, terminals, network access control systems and antenna systems using a range of satellite frequency bands for Command and Control (C2) missions, satellite networking services and network management systems for Wi-Fi and other internet access networks. Our SATCOM systems, products and services are designed to support high-throughput broadband data links, to increase available bandwidth using existing satellite capacity, and to be resilient in order to withstand certain catastrophic events. Our range of SATCOM broadband modems, terminals and systems support high-speed broadband and multimedia transmissions over point-to-point, mesh and hub-and-spoke satellite networking systems, and include products designed for manpacks, aircraft, unmanned aerial vehicles (UAVs), seagoing vessels, ground-mobile vehicles and fixed applications.</w:t>
      </w:r>
    </w:p>
    <w:p>
      <w:pPr>
        <w:spacing w:after="0" w:line="36" w:lineRule="exact"/>
        <w:rPr>
          <w:rFonts w:ascii="Arial" w:cs="Arial" w:eastAsia="Arial" w:hAnsi="Arial"/>
          <w:sz w:val="18"/>
          <w:szCs w:val="18"/>
          <w:color w:val="auto"/>
        </w:rPr>
      </w:pPr>
    </w:p>
    <w:p>
      <w:pPr>
        <w:ind w:left="1000" w:hanging="493"/>
        <w:spacing w:after="0" w:line="258"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Secure Networking, Cybersecurity and Information Assurance Products and Services</w:t>
      </w:r>
      <w:r>
        <w:rPr>
          <w:rFonts w:ascii="Arial" w:cs="Arial" w:eastAsia="Arial" w:hAnsi="Arial"/>
          <w:sz w:val="17"/>
          <w:szCs w:val="17"/>
          <w:color w:val="auto"/>
        </w:rPr>
        <w:t>, which provide advanced, high-speed IP-based “Type 1” and High Assurance Internet Protocol Encryption (HAIPE®)-compliant encryption solutions that enable military and government users to communicate information securely over networks, and that protect the integrity of data stored on computers and storage devices. Our encryption products and modules use a programmable, high-assurance architecture that can be easily upgraded in the field or integrated into existing communication networks, and are available both on a stand-alone basis and as embedded modules within our tactical radio, information distribution and other SATCOM systems and products.</w:t>
      </w:r>
    </w:p>
    <w:p>
      <w:pPr>
        <w:spacing w:after="0" w:line="21" w:lineRule="exact"/>
        <w:rPr>
          <w:rFonts w:ascii="Arial" w:cs="Arial" w:eastAsia="Arial" w:hAnsi="Arial"/>
          <w:sz w:val="17"/>
          <w:szCs w:val="17"/>
          <w:color w:val="auto"/>
        </w:rPr>
      </w:pPr>
    </w:p>
    <w:p>
      <w:pPr>
        <w:ind w:left="1000" w:right="60" w:hanging="493"/>
        <w:spacing w:after="0" w:line="239"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Tactical Data Links</w:t>
      </w:r>
      <w:r>
        <w:rPr>
          <w:rFonts w:ascii="Arial" w:cs="Arial" w:eastAsia="Arial" w:hAnsi="Arial"/>
          <w:sz w:val="18"/>
          <w:szCs w:val="18"/>
          <w:color w:val="auto"/>
        </w:rPr>
        <w:t>, which comprise advanced tactical radio and information distribution systems that enable secure voice and</w:t>
      </w:r>
      <w:r>
        <w:rPr>
          <w:rFonts w:ascii="Arial" w:cs="Arial" w:eastAsia="Arial" w:hAnsi="Arial"/>
          <w:sz w:val="18"/>
          <w:szCs w:val="18"/>
          <w:i w:val="1"/>
          <w:iCs w:val="1"/>
          <w:color w:val="auto"/>
        </w:rPr>
        <w:t xml:space="preserve"> </w:t>
      </w:r>
      <w:r>
        <w:rPr>
          <w:rFonts w:ascii="Arial" w:cs="Arial" w:eastAsia="Arial" w:hAnsi="Arial"/>
          <w:sz w:val="18"/>
          <w:szCs w:val="18"/>
          <w:color w:val="auto"/>
        </w:rPr>
        <w:t>real-time collection and dissemination of video and data using secure, jam-resistant transmission links. These data links communicate over Link 16 or tactical VHF/UHF networks, from manned and unmanned aircraft, ground mobile vehicles, individual warfighters and other remote platforms to each other and networked communication and command centers. Key products in this category include our Battlefield Awareness and Targeting System — Dismounted (BATS-D) handheld Link 16 radios, our Small Tactical Terminal (STT) 2-channel radios for manned and unmanned applications, “disposable” defense data links, and our Multifunctional Information Distribution System (MIDS) and MIDS Joint Tactical Radio System (MIDS-JTRS) terminals for military fighter jets.</w:t>
      </w:r>
    </w:p>
    <w:p>
      <w:pPr>
        <w:spacing w:after="0" w:line="15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We believe the battlefield of the future will require a resilient communications architecture capable of supporting tomorrow’s Multi-Domain Command and Control (MDC2) and high-velocity, data-rich network-centric operations, enabling secure, reliable and ubiquitous connectivity while under attack, on the move or at fixed locations around the globe. These requirements will potentially provide significant growth opportunities in our government systems segment in the coming years, as demand increases for secure, higher-capacity, higher-quality broadband services, associated ground systems and advanced cybersecurity protections. Additional growth factors also reside in an increasing military interest for high-speed broadband BLOS connectivity, for example over Link 16 networks, supporting real-time C2 decision-making and enhanced situational awareness across ground and air applications.</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0"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Strengths</w:t>
      </w:r>
    </w:p>
    <w:p>
      <w:pPr>
        <w:spacing w:after="0" w:line="84" w:lineRule="exact"/>
        <w:rPr>
          <w:sz w:val="20"/>
          <w:szCs w:val="20"/>
          <w:color w:val="auto"/>
        </w:rPr>
      </w:pPr>
    </w:p>
    <w:p>
      <w:pPr>
        <w:ind w:right="120" w:firstLine="510"/>
        <w:spacing w:after="0" w:line="246" w:lineRule="auto"/>
        <w:rPr>
          <w:sz w:val="20"/>
          <w:szCs w:val="20"/>
          <w:color w:val="auto"/>
        </w:rPr>
      </w:pPr>
      <w:r>
        <w:rPr>
          <w:rFonts w:ascii="Arial" w:cs="Arial" w:eastAsia="Arial" w:hAnsi="Arial"/>
          <w:sz w:val="18"/>
          <w:szCs w:val="18"/>
          <w:color w:val="auto"/>
        </w:rPr>
        <w:t>We believe the following strengths position our business to capitalize on the attractive growth opportunities presented in our business segments:</w:t>
      </w:r>
    </w:p>
    <w:p>
      <w:pPr>
        <w:spacing w:after="0" w:line="44" w:lineRule="exact"/>
        <w:rPr>
          <w:sz w:val="20"/>
          <w:szCs w:val="20"/>
          <w:color w:val="auto"/>
        </w:rPr>
      </w:pPr>
    </w:p>
    <w:p>
      <w:pPr>
        <w:ind w:left="1000" w:hanging="493"/>
        <w:spacing w:after="0" w:line="23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Innovation of Next-Generation Satellite and Space Technologies. </w:t>
      </w:r>
      <w:r>
        <w:rPr>
          <w:rFonts w:ascii="Arial" w:cs="Arial" w:eastAsia="Arial" w:hAnsi="Arial"/>
          <w:sz w:val="18"/>
          <w:szCs w:val="18"/>
          <w:color w:val="auto"/>
        </w:rPr>
        <w:t>We have a long history of innovation in next-generation</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and space technologies. Our award-winning first-generation, high-capacity Ka-band spot-beam satellite, ViaSat-1, earned a Guinness World Records® title in 2013 as the highest-capacity communications satellite in the world at that time. Our second-generation ViaSat-2 satellite (launched in 2017) and its advanced ground network infrastructure significantly expanded our total data capacity and geographic reach, and supports the flexible allocation of capacity to meet demand within the satellite’s footprint. By improving satellite speed, availability and geographic coverage area, our ViaSat-2 satellite enabled us to provide compelling premium retail service plans in select markets that can compete against traditional terrestrial broadband service providers and to significantly expand our IFC services business. In March 2018, ViaSat-2 was selected as a winner in the ‘Space, Platforms’ category of Aviation Week’s 61st Annual Laureate Awards, honoring extraordinary achievements in the global aerospace arena. Our third-generation ViaSat-3 class satellites under construction offer a new satellite architecture with miniaturized electronics and more productive and efficient antenna designs. This new satellite design is expected to significantly expand the geographic coverage area and data capacity of each satellite and to further enhance our ability to flexibly and dynamically allocate capacity to match demand, resulting in greater speed, availability and cost-efficiency. We believe our history since inception of developing proprietary and innovative satellite technologies spanning spacecraft, ground infrastructure, user terminals and network design demonstrates that we possess the expertise and credibility required to serve the evolving technology needs of our customers whether on the ground, in the air or at sea.</w:t>
      </w:r>
    </w:p>
    <w:p>
      <w:pPr>
        <w:spacing w:after="0" w:line="37" w:lineRule="exact"/>
        <w:rPr>
          <w:rFonts w:ascii="Arial" w:cs="Arial" w:eastAsia="Arial" w:hAnsi="Arial"/>
          <w:sz w:val="18"/>
          <w:szCs w:val="18"/>
          <w:color w:val="auto"/>
        </w:rPr>
      </w:pPr>
    </w:p>
    <w:p>
      <w:pPr>
        <w:ind w:left="1000" w:hanging="493"/>
        <w:spacing w:after="0" w:line="238"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Vertically Integrated End-to-End Platform of Leading Broadband Technologies</w:t>
      </w:r>
      <w:r>
        <w:rPr>
          <w:rFonts w:ascii="Arial" w:cs="Arial" w:eastAsia="Arial" w:hAnsi="Arial"/>
          <w:sz w:val="18"/>
          <w:szCs w:val="18"/>
          <w:color w:val="auto"/>
        </w:rPr>
        <w:t>. We believe our innovative ecosystem of high-capacity Ka-band satellites, ground infrastructure and user terminals provides a vertically integrated end-to-end platform that creates significant synergies in our business and uniquely positions us to drive operational efficiencies and cost-effectively deliver a diverse portfolio of high-speed, high-quality broadband solutions and applications to enterprises, consumers, military and government users. Our product, system and service offerings are often linked through common underlying technologies, customer applications and market relationships. We believe that our comprehensive and vertically integrated portfolio of satellites, products and services, combined with our ability to effectively cross-deploy technologies between government and commercial segments and across different geographic markets, provides us with a strong foundation to sustain and enhance our leadership in broadband technologies and services.</w:t>
      </w:r>
    </w:p>
    <w:p>
      <w:pPr>
        <w:spacing w:after="0" w:line="42" w:lineRule="exact"/>
        <w:rPr>
          <w:rFonts w:ascii="Arial" w:cs="Arial" w:eastAsia="Arial" w:hAnsi="Arial"/>
          <w:sz w:val="18"/>
          <w:szCs w:val="18"/>
          <w:color w:val="auto"/>
        </w:rPr>
      </w:pPr>
    </w:p>
    <w:p>
      <w:pPr>
        <w:ind w:left="1000" w:right="40" w:hanging="493"/>
        <w:spacing w:after="0" w:line="238"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Diversification of Business Model</w:t>
      </w:r>
      <w:r>
        <w:rPr>
          <w:rFonts w:ascii="Arial" w:cs="Arial" w:eastAsia="Arial" w:hAnsi="Arial"/>
          <w:sz w:val="18"/>
          <w:szCs w:val="18"/>
          <w:color w:val="auto"/>
        </w:rPr>
        <w:t>. Our business is highly diversified. Our fixed broadband services range from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services at high data speeds to Community Internet services designed to provide affordable internet access in countries with significant unserved or underserved populations. Our IFC systems and services support high-speed broadband services for commercial, private and military aircraft around the globe. We also sell complex satellite communication systems and products to communications service providers, enterprises and government users, and in our government systems segment we offer a portfolio of military tactical data link, cybersecurity and information assurance products and services. This diversification in product and service offerings, customer base and market segment helps to reduce our exposure to fluctuations in any of the individual markets we serve and to provide resilience in our business performance in times of economic or political disruption. For example, revenue impacts to our commercial air business in our satellite services and commercial networks segments resulting from the global disruption in the airline industry caused by the COVID-19 pandemic may be offset by other parts of our business.</w:t>
      </w:r>
    </w:p>
    <w:p>
      <w:pPr>
        <w:spacing w:after="0" w:line="37" w:lineRule="exact"/>
        <w:rPr>
          <w:rFonts w:ascii="Arial" w:cs="Arial" w:eastAsia="Arial" w:hAnsi="Arial"/>
          <w:sz w:val="18"/>
          <w:szCs w:val="18"/>
          <w:color w:val="auto"/>
        </w:rPr>
      </w:pPr>
    </w:p>
    <w:p>
      <w:pPr>
        <w:ind w:left="1000" w:right="20" w:hanging="493"/>
        <w:spacing w:after="0" w:line="23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Broad Array of Broadband Service Offerings, Tailored to Market Demand</w:t>
      </w:r>
      <w:r>
        <w:rPr>
          <w:rFonts w:ascii="Arial" w:cs="Arial" w:eastAsia="Arial" w:hAnsi="Arial"/>
          <w:sz w:val="18"/>
          <w:szCs w:val="18"/>
          <w:color w:val="auto"/>
        </w:rPr>
        <w:t>. Our proprietary Ka-band satellite network provides the</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us to provide a broad array of satellite-based high-quality, high-speed broadband services with multiple applications. Our offerings include fixed broadband services to residential and enterprise customers, market-leading mobility services to aircraft utilizing our IFC systems, and satellite-powered Community Internet services that provide affordable and reliable high-speed connectivity in unserved and underserved areas. In the U.S. residential broadband market, our ViaSat-2 satellite supports retail service plans offering data capacity in select markets of up to 100 Mbps, allowing us to compete more effectively with traditional terrestrial broadband service providers. As the speed of our broadband offerings increases (with ViaSat-3 expected to support a wider array of premium service offerings and speeds in more geographic areas), we expect the number of companies able to provide competing broadband offerings at equivalent speeds to decrease. Our IFC services enable connectivity services to be provided to more passengers and crew on more flights, across commercial and business aircraft, and the ability to leverage high-capacity internet services such as streaming video. Our IFC services have received numerous awards and accolades, including the Crystal Cabin Award for the best Passenger Comfort System in April 2015 and the Excellence in Avionics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ind w:left="500" w:right="220"/>
        <w:spacing w:after="0" w:line="236" w:lineRule="auto"/>
        <w:rPr>
          <w:sz w:val="20"/>
          <w:szCs w:val="20"/>
          <w:color w:val="auto"/>
        </w:rPr>
      </w:pPr>
      <w:r>
        <w:rPr>
          <w:rFonts w:ascii="Arial" w:cs="Arial" w:eastAsia="Arial" w:hAnsi="Arial"/>
          <w:sz w:val="18"/>
          <w:szCs w:val="18"/>
          <w:color w:val="auto"/>
        </w:rPr>
        <w:t>Award for In-Flight Connectivity Innovation in July 2015. JetBlue’s Fly-Fi® in-flight Wi-Fi service, which is powered by Viasat’s IFC system, won the 2017 APEX Passenger Choice Award for ‘Best Wi -Fi.’ This particular award was tallied from passenger-submitted data, showcasing the power of the Viasat internet platform to deliver exceptional in-flight connectivity services. The flexibility, high data throughput and broad geographic coverage area of ViaSat-2 (and our even more powerful third -generation ViaSat-3 class proprietary Ka-band satellites under construction), combined with our ability to dynamically allocate capacity based on demand, enable us to support a wide range of high-speed broadband services addressing multiple markets, provide innovative new services creating new market opportunities, tailor our service offerings to market needs, and compete more effectively in the markets we serve.</w:t>
      </w:r>
    </w:p>
    <w:p>
      <w:pPr>
        <w:spacing w:after="0" w:line="40" w:lineRule="exact"/>
        <w:rPr>
          <w:sz w:val="20"/>
          <w:szCs w:val="20"/>
          <w:color w:val="auto"/>
        </w:rPr>
      </w:pPr>
    </w:p>
    <w:p>
      <w:pPr>
        <w:ind w:left="500" w:hanging="493"/>
        <w:spacing w:after="0" w:line="236"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Diverse Portfolio of Market-Leading Military and Government Offerings. </w:t>
      </w:r>
      <w:r>
        <w:rPr>
          <w:rFonts w:ascii="Arial" w:cs="Arial" w:eastAsia="Arial" w:hAnsi="Arial"/>
          <w:sz w:val="18"/>
          <w:szCs w:val="18"/>
          <w:color w:val="auto"/>
        </w:rPr>
        <w:t>We are a leading provider of innovative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cybersecurity products and solutions to the U.S. Government and other military and government users around the world for innovative communications products and solutions designed to enable the transmission of secure real-time digital information and communications between fixed and mobile command centers, intelligence and defense platforms and individuals. Our portfolio of government and military offerings leverages our technological investments in our commercial business, and includes tactical data links, mobile satellite broadband systems and services, cybersecurity and information assurance products and services. Total new awards in our government systems segment grew from $460.9 million in fiscal year 2011 to $1.1 billion in fiscal year 2020, despite an uneven defense spending environment, reflecting the high demand for our diverse portfolio of products and services for military and government users. Our tactical data link products include our market-leading BATS-D AN/PRC-161 handheld Link 16 radios and STT KOR-24A 2-channel radios, which bridge the gap between air and ground forces by providing secure, reliable access to integrated air and ground data for improved situational awareness capabilities and support communications, and are capable of advanced concurrent multiple reception capabilities to enhance communications and reduce network congestion. Our mobile satellite broadband offerings leverage our innovative satellite technologies and proprietary Ka-band satellite platform, allowing us to provide high-speed, high-quality internet services to government and military aircraft, ships and vehicles. In September 2018, we were awarded an eight-year, firm-fixed price contract to provide in-flight broadband and connectivity services to U.S. Government Senior Leader and VIP aircraft. Our secure networking products and services include a broad portfolio of advanced, high-speed Type 1 encryption solutions that are capable of operating at speeds of up to 100 Gbps, as well as advanced cybersecurity products to secure information transmitted via the cloud. In November 2018, we received a Platinum 'ASTORS' Homeland Security Award from American Security Today magazine for “Best Cybersecurity Program for Government and Military Organizations.”</w:t>
      </w:r>
    </w:p>
    <w:p>
      <w:pPr>
        <w:spacing w:after="0" w:line="46" w:lineRule="exact"/>
        <w:rPr>
          <w:rFonts w:ascii="Arial" w:cs="Arial" w:eastAsia="Arial" w:hAnsi="Arial"/>
          <w:sz w:val="18"/>
          <w:szCs w:val="18"/>
          <w:color w:val="auto"/>
        </w:rPr>
      </w:pPr>
    </w:p>
    <w:p>
      <w:pPr>
        <w:ind w:left="500" w:right="220" w:hanging="493"/>
        <w:spacing w:after="0" w:line="241"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Blue-Chip Customer Base</w:t>
      </w:r>
      <w:r>
        <w:rPr>
          <w:rFonts w:ascii="Arial" w:cs="Arial" w:eastAsia="Arial" w:hAnsi="Arial"/>
          <w:sz w:val="18"/>
          <w:szCs w:val="18"/>
          <w:color w:val="auto"/>
        </w:rPr>
        <w:t>. Our blue-chip customer base includes customers such as the U.S. government, leading aerospace</w:t>
      </w:r>
      <w:r>
        <w:rPr>
          <w:rFonts w:ascii="Arial" w:cs="Arial" w:eastAsia="Arial" w:hAnsi="Arial"/>
          <w:sz w:val="18"/>
          <w:szCs w:val="18"/>
          <w:i w:val="1"/>
          <w:iCs w:val="1"/>
          <w:color w:val="auto"/>
        </w:rPr>
        <w:t xml:space="preserve"> </w:t>
      </w:r>
      <w:r>
        <w:rPr>
          <w:rFonts w:ascii="Arial" w:cs="Arial" w:eastAsia="Arial" w:hAnsi="Arial"/>
          <w:sz w:val="18"/>
          <w:szCs w:val="18"/>
          <w:color w:val="auto"/>
        </w:rPr>
        <w:t>and defense prime contractors, allied foreign governments, civil agencies, satellite network integrators, large communications service providers, commercial airlines and enterprises requiring complex communications and networking solutions and services. We believe that the credit strength of these key customers helps support more consistent financial performance. Moreover, our direct relationships with key customers such as commercial airlines and the DoD allow us to adapt our satellite designs and product and service offerings to better meet their needs.</w:t>
      </w:r>
    </w:p>
    <w:p>
      <w:pPr>
        <w:spacing w:after="0" w:line="35" w:lineRule="exact"/>
        <w:rPr>
          <w:rFonts w:ascii="Arial" w:cs="Arial" w:eastAsia="Arial" w:hAnsi="Arial"/>
          <w:sz w:val="18"/>
          <w:szCs w:val="18"/>
          <w:color w:val="auto"/>
        </w:rPr>
      </w:pPr>
    </w:p>
    <w:p>
      <w:pPr>
        <w:ind w:left="500" w:right="40" w:hanging="493"/>
        <w:spacing w:after="0" w:line="253"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Experienced Management Team and Diversified Board of Directors. </w:t>
      </w:r>
      <w:r>
        <w:rPr>
          <w:rFonts w:ascii="Arial" w:cs="Arial" w:eastAsia="Arial" w:hAnsi="Arial"/>
          <w:sz w:val="17"/>
          <w:szCs w:val="17"/>
          <w:color w:val="auto"/>
        </w:rPr>
        <w:t>Our core management team is comprised of seasoned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with significant satellite communications, defense and aerospace experience. For example, our Chief Executive Officer, Mark Dankberg, has been with the company since its inception in 1986. Mr. Dankberg is considered to be a leading expert in the field of satellite and wireless communications. In 2008, Mr. Dankberg received the prestigious AIAA Aerospace International Communication award, which recognized him for “shepherding Viasat into a leading satellite communications company through outstanding leadership and technical expertise.” In 2013, Mr. Dankberg received the Innovator Award from the Arthur C. Clarke Foundation. In 2015, Mr. Dankberg was inducted into the Society of Satellite Professionals Hall of Fame for his leadership and visionary role in satellite communications, and in 2017, Mr. Dankberg became an elected member of the National Academy of Engineering. In addition, over the past several years, we have undertaken a conscious effort to diversify our Board of Directors, bringing in a wide variety of skills and experience aligned with our long-term goals. Our Board is comprised of high-profile corporate leaders with extensive experience in globalization, communications and technology and business integration.</w:t>
      </w:r>
    </w:p>
    <w:p>
      <w:pPr>
        <w:spacing w:after="0" w:line="19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right="80" w:firstLine="510"/>
        <w:spacing w:after="0" w:line="246" w:lineRule="auto"/>
        <w:rPr>
          <w:sz w:val="20"/>
          <w:szCs w:val="20"/>
          <w:color w:val="auto"/>
        </w:rPr>
      </w:pPr>
      <w:r>
        <w:rPr>
          <w:rFonts w:ascii="Arial" w:cs="Arial" w:eastAsia="Arial" w:hAnsi="Arial"/>
          <w:sz w:val="18"/>
          <w:szCs w:val="18"/>
          <w:color w:val="auto"/>
        </w:rPr>
        <w:t>Our business strategy is to maintain our leadership position in cost-efficient, high-quality satellite-based communications products and services, focused on making connectivity accessible, available and secure for all. The principal elements of our strategy include:</w:t>
      </w:r>
    </w:p>
    <w:p>
      <w:pPr>
        <w:spacing w:after="0" w:line="188"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Drive Capital Efficiencies</w:t>
      </w:r>
    </w:p>
    <w:p>
      <w:pPr>
        <w:spacing w:after="0" w:line="80" w:lineRule="exact"/>
        <w:rPr>
          <w:rFonts w:ascii="Arial" w:cs="Arial" w:eastAsia="Arial" w:hAnsi="Arial"/>
          <w:sz w:val="18"/>
          <w:szCs w:val="18"/>
          <w:color w:val="auto"/>
        </w:rPr>
      </w:pPr>
    </w:p>
    <w:p>
      <w:pPr>
        <w:ind w:left="1520" w:hanging="500"/>
        <w:spacing w:after="0" w:line="242"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i w:val="1"/>
          <w:iCs w:val="1"/>
          <w:color w:val="auto"/>
        </w:rPr>
        <w:t xml:space="preserve">Deliver the Most Productive Satellite Systems: </w:t>
      </w:r>
      <w:r>
        <w:rPr>
          <w:rFonts w:ascii="Arial" w:cs="Arial" w:eastAsia="Arial" w:hAnsi="Arial"/>
          <w:sz w:val="18"/>
          <w:szCs w:val="18"/>
          <w:color w:val="auto"/>
        </w:rPr>
        <w:t>We are hyper-focused on maximizing the useful bandwidth per total lifetime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cost of each satellite. We refer to this as “bandwidth productivity” and see this metric as a key factor in determining our return on satellite investment for each satellite we design, develop and build. When measured in terms of bandwidth productivity, we believe our existing and planned satellite fleet substantially outperforms other satellite operators and would also outperform our expectations for the LEO constellations proposed by new market entrants.</w:t>
      </w:r>
    </w:p>
    <w:p>
      <w:pPr>
        <w:spacing w:after="0" w:line="36" w:lineRule="exact"/>
        <w:rPr>
          <w:rFonts w:ascii="Arial" w:cs="Arial" w:eastAsia="Arial" w:hAnsi="Arial"/>
          <w:sz w:val="18"/>
          <w:szCs w:val="18"/>
          <w:color w:val="auto"/>
        </w:rPr>
      </w:pPr>
    </w:p>
    <w:p>
      <w:pPr>
        <w:ind w:left="1520" w:right="100" w:hanging="500"/>
        <w:spacing w:after="0" w:line="256"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7"/>
          <w:szCs w:val="17"/>
          <w:i w:val="1"/>
          <w:iCs w:val="1"/>
          <w:color w:val="auto"/>
        </w:rPr>
        <w:t xml:space="preserve">Drive Efficiencies of Scale and Operations. </w:t>
      </w:r>
      <w:r>
        <w:rPr>
          <w:rFonts w:ascii="Arial" w:cs="Arial" w:eastAsia="Arial" w:hAnsi="Arial"/>
          <w:sz w:val="17"/>
          <w:szCs w:val="17"/>
          <w:color w:val="auto"/>
        </w:rPr>
        <w:t>We intend to continue to drive efficiencies in our businesses through our</w:t>
      </w:r>
      <w:r>
        <w:rPr>
          <w:rFonts w:ascii="Arial" w:cs="Arial" w:eastAsia="Arial" w:hAnsi="Arial"/>
          <w:sz w:val="17"/>
          <w:szCs w:val="17"/>
          <w:i w:val="1"/>
          <w:iCs w:val="1"/>
          <w:color w:val="auto"/>
        </w:rPr>
        <w:t xml:space="preserve"> </w:t>
      </w:r>
      <w:r>
        <w:rPr>
          <w:rFonts w:ascii="Arial" w:cs="Arial" w:eastAsia="Arial" w:hAnsi="Arial"/>
          <w:sz w:val="17"/>
          <w:szCs w:val="17"/>
          <w:color w:val="auto"/>
        </w:rPr>
        <w:t>vertical integration strategy and increasing scale as we move into new and adjacent geographic, product and service markets. We optimize our satellite systems through our development of an end-to-end platform of next-generation Ka-band satellites, ground networking equipment and user terminals that enable the provision of a broad array of high-speed broadband services. Our ViaSat-3 class satellites are expected to further drive scale and operational efficiencies through their enhanced ability to efficiently and dynamically match supply and demand through the flexible allocation of capacity by service, time and geography within the satellite footprint, as well as through their expected global geographic reach.</w:t>
      </w:r>
    </w:p>
    <w:p>
      <w:pPr>
        <w:spacing w:after="0" w:line="183"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Focus on Relentless Execution</w:t>
      </w:r>
    </w:p>
    <w:p>
      <w:pPr>
        <w:spacing w:after="0" w:line="80" w:lineRule="exact"/>
        <w:rPr>
          <w:rFonts w:ascii="Arial" w:cs="Arial" w:eastAsia="Arial" w:hAnsi="Arial"/>
          <w:sz w:val="18"/>
          <w:szCs w:val="18"/>
          <w:color w:val="auto"/>
        </w:rPr>
      </w:pPr>
    </w:p>
    <w:p>
      <w:pPr>
        <w:ind w:left="1520" w:right="140" w:hanging="500"/>
        <w:spacing w:after="0" w:line="241"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i w:val="1"/>
          <w:iCs w:val="1"/>
          <w:color w:val="auto"/>
        </w:rPr>
        <w:t xml:space="preserve">Maintain Focus on Technology Leadership. </w:t>
      </w:r>
      <w:r>
        <w:rPr>
          <w:rFonts w:ascii="Arial" w:cs="Arial" w:eastAsia="Arial" w:hAnsi="Arial"/>
          <w:sz w:val="18"/>
          <w:szCs w:val="18"/>
          <w:color w:val="auto"/>
        </w:rPr>
        <w:t>We continue to focus on R&amp;D to bring high-capacity, high-speed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to the global market. Our continued innovation in satellite system product development has been one of our hallmarks. We intend to maintain our leadership position in satellite systems, technologies and services, while continuing to expand our efforts in wireless communications, cloud networking and security. Our R&amp;D efforts are supported by a global employee base that includes approximately 3,000 engineers and a culture that deeply values and supports innovation.</w:t>
      </w:r>
    </w:p>
    <w:p>
      <w:pPr>
        <w:spacing w:after="0" w:line="35" w:lineRule="exact"/>
        <w:rPr>
          <w:rFonts w:ascii="Arial" w:cs="Arial" w:eastAsia="Arial" w:hAnsi="Arial"/>
          <w:sz w:val="18"/>
          <w:szCs w:val="18"/>
          <w:color w:val="auto"/>
        </w:rPr>
      </w:pPr>
    </w:p>
    <w:p>
      <w:pPr>
        <w:ind w:left="1520" w:right="20" w:hanging="500"/>
        <w:spacing w:after="0" w:line="245"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i w:val="1"/>
          <w:iCs w:val="1"/>
          <w:color w:val="auto"/>
        </w:rPr>
        <w:t xml:space="preserve">Follow Our Path of Proven Performance: </w:t>
      </w:r>
      <w:r>
        <w:rPr>
          <w:rFonts w:ascii="Arial" w:cs="Arial" w:eastAsia="Arial" w:hAnsi="Arial"/>
          <w:sz w:val="18"/>
          <w:szCs w:val="18"/>
          <w:color w:val="auto"/>
        </w:rPr>
        <w:t>We have an enviable track record for identifying and bringing to market impactful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technologies in space systems. ViaSat-1 was the highest capacity communications satellite at the time of its launch; ViaSat-2 almost doubled the capacity of ViaSat-1; and the ViaSat-3 constellation is anticipated to have roughly eight times more capacity than Viasat’s existing satellite fleet combined.</w:t>
      </w:r>
    </w:p>
    <w:p>
      <w:pPr>
        <w:spacing w:after="0" w:line="190"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Expand into New Markets and Geographies</w:t>
      </w:r>
    </w:p>
    <w:p>
      <w:pPr>
        <w:spacing w:after="0" w:line="80" w:lineRule="exact"/>
        <w:rPr>
          <w:rFonts w:ascii="Arial" w:cs="Arial" w:eastAsia="Arial" w:hAnsi="Arial"/>
          <w:sz w:val="18"/>
          <w:szCs w:val="18"/>
          <w:color w:val="auto"/>
        </w:rPr>
      </w:pPr>
    </w:p>
    <w:p>
      <w:pPr>
        <w:ind w:left="1520" w:right="220" w:hanging="500"/>
        <w:spacing w:after="0" w:line="238"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i w:val="1"/>
          <w:iCs w:val="1"/>
          <w:color w:val="auto"/>
        </w:rPr>
        <w:t xml:space="preserve">Enter and Disrupt New and Adjacent Markets. </w:t>
      </w:r>
      <w:r>
        <w:rPr>
          <w:rFonts w:ascii="Arial" w:cs="Arial" w:eastAsia="Arial" w:hAnsi="Arial"/>
          <w:sz w:val="18"/>
          <w:szCs w:val="18"/>
          <w:color w:val="auto"/>
        </w:rPr>
        <w:t>We continue to create or address new and adjacent markets using our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technological advancements to disrupt existing business models and drive shifts in target markets or user demand. For example, the technological innovations and power of our proprietary Ka-band satellite network enabled us to disrupt the IFC business model and successfully expand our broadband service offerings into the commercial air market. As the capacity and geographic coverage areas of our satellite systems continue to increase with each generation of our high-capacity Ka-band satellite designs, we expect the addressable markets for our broadband technologies, products and services to continue to expand. Higher capacity, more flexible satellites will allow us to offer a broader array of cost-effective, high-quality broadband services that can be tailored to different geographic regions and bandwidth usage demand. In our government systems business, we are actively identifying market or operational needs that are not currently served by existing communications and encryption products and services, with a view to developing unique or disruptive products and services and creating new addressable markets.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0" w:name="page11"/>
    <w:bookmarkEnd w:id="10"/>
    <w:p>
      <w:pPr>
        <w:ind w:left="1020" w:right="60" w:hanging="500"/>
        <w:spacing w:after="0" w:line="236" w:lineRule="auto"/>
        <w:tabs>
          <w:tab w:leader="none" w:pos="102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i w:val="1"/>
          <w:iCs w:val="1"/>
          <w:color w:val="auto"/>
        </w:rPr>
        <w:t xml:space="preserve">Target International Expansion. </w:t>
      </w:r>
      <w:r>
        <w:rPr>
          <w:rFonts w:ascii="Arial" w:cs="Arial" w:eastAsia="Arial" w:hAnsi="Arial"/>
          <w:sz w:val="18"/>
          <w:szCs w:val="18"/>
          <w:color w:val="auto"/>
        </w:rPr>
        <w:t>We continue to believe that international markets provide attractive opportunities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growth of our business. As worldwide demand for broadband connectivity continues to grow, we expect that our comprehensive offering of next-generation Ka-band satellites, advanced end-to-end communication systems and ground networking equipment and products, and their ability to enable a wide range of cost-effective, high-speed, high-quality broadband services, will be increasingly attractive internationally. Our ViaSat-2 satellite significantly expanded the geographic coverage area of our broadband services over North and Central America and the primary aeronautical and maritime routes across the Atlantic Ocean, allowing us to bring high-value in-flight services to many more commercial, business and government aircraft within the expanded satellite footprint and launch new and innovative services in new markets, such as our Community Internet service in Mexico. Of our three ViaSat-3 class satellites under construction, the first is expected to provide broadband services over the Americas, the second is expected to provide broadband services over the EMEA region, and the third is expected to provide broadband services over the APAC region. We expect this global constellation to be an enabler for the scalable, long-term global expansion of our business, providing the platform for us to deliver high-quality and affordable broadband connectivity worldwide. Demand profile differs by geographic market, reflecting geographic, economic, political, regulatory and other factors. However, the flexibility, high data capacity and broad geographic coverage area of our second- and third-generation proprietary Ka-band satellites allow us to tailor our service offerings for the opportunities and needs of different geographic markets.</w:t>
      </w:r>
    </w:p>
    <w:p>
      <w:pPr>
        <w:spacing w:after="0" w:line="194" w:lineRule="exact"/>
        <w:rPr>
          <w:rFonts w:ascii="Courier New" w:cs="Courier New" w:eastAsia="Courier New" w:hAnsi="Courier New"/>
          <w:sz w:val="18"/>
          <w:szCs w:val="18"/>
          <w:color w:val="auto"/>
        </w:rPr>
      </w:pPr>
    </w:p>
    <w:p>
      <w:pPr>
        <w:ind w:left="500" w:hanging="49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Prioritize the End-User</w:t>
      </w:r>
    </w:p>
    <w:p>
      <w:pPr>
        <w:spacing w:after="0" w:line="80" w:lineRule="exact"/>
        <w:rPr>
          <w:rFonts w:ascii="Arial" w:cs="Arial" w:eastAsia="Arial" w:hAnsi="Arial"/>
          <w:sz w:val="18"/>
          <w:szCs w:val="18"/>
          <w:color w:val="auto"/>
        </w:rPr>
      </w:pPr>
    </w:p>
    <w:p>
      <w:pPr>
        <w:ind w:left="1020" w:right="40" w:hanging="500"/>
        <w:spacing w:after="0" w:line="236" w:lineRule="auto"/>
        <w:tabs>
          <w:tab w:leader="none" w:pos="102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i w:val="1"/>
          <w:iCs w:val="1"/>
          <w:color w:val="auto"/>
        </w:rPr>
        <w:t xml:space="preserve">Recognize Broadband Connectivity is a Means to an End, not an End in Itself. </w:t>
      </w:r>
      <w:r>
        <w:rPr>
          <w:rFonts w:ascii="Arial" w:cs="Arial" w:eastAsia="Arial" w:hAnsi="Arial"/>
          <w:sz w:val="18"/>
          <w:szCs w:val="18"/>
          <w:color w:val="auto"/>
        </w:rPr>
        <w:t>The value of a broadband network is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it enables. With this understanding, we have worked closely with leading edge providers (including companies such as Apple, Facebook, Amazon and Netflix) to enhance end-users’ experiences with their online and streaming media services over our network, helping them leverage the potential of making affordable broadband available in places where it has never been. We also work with U.S. government agencies, major airlines and others on multiple continents to help ensure end-users have great — and affordable — broadband experiences on our network. Our ViaSat-3 constellation will help meet end-user demand and the need for global reach. In addition, we work with various international governments to help bring digital and social inclusion to their constituents through efficient satellite-enabled services such as our Community Internet hotspots. By making broadband connectivity accessible to millions of people living in regions where traditional terrestrial and wireless internet services were either non-existent or cost prohibitive, we have been able to help generate positive socio-economic impacts — in education, e-commerce, finance, healthcare and more — at lower bandwidth costs.</w:t>
      </w:r>
    </w:p>
    <w:p>
      <w:pPr>
        <w:spacing w:after="0" w:line="197" w:lineRule="exact"/>
        <w:rPr>
          <w:rFonts w:ascii="Courier New" w:cs="Courier New" w:eastAsia="Courier New" w:hAnsi="Courier New"/>
          <w:sz w:val="18"/>
          <w:szCs w:val="18"/>
          <w:color w:val="auto"/>
        </w:rPr>
      </w:pPr>
    </w:p>
    <w:p>
      <w:pPr>
        <w:ind w:left="500" w:hanging="49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Manage for the Long Term</w:t>
      </w:r>
    </w:p>
    <w:p>
      <w:pPr>
        <w:spacing w:after="0" w:line="80" w:lineRule="exact"/>
        <w:rPr>
          <w:rFonts w:ascii="Arial" w:cs="Arial" w:eastAsia="Arial" w:hAnsi="Arial"/>
          <w:sz w:val="18"/>
          <w:szCs w:val="18"/>
          <w:color w:val="auto"/>
        </w:rPr>
      </w:pPr>
    </w:p>
    <w:p>
      <w:pPr>
        <w:ind w:left="1020" w:hanging="500"/>
        <w:spacing w:after="0" w:line="236" w:lineRule="auto"/>
        <w:tabs>
          <w:tab w:leader="none" w:pos="102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i w:val="1"/>
          <w:iCs w:val="1"/>
          <w:color w:val="auto"/>
        </w:rPr>
        <w:t>Pursue Growth Through Strategic Alliances, Partnering Arrangements and Relationships</w:t>
      </w:r>
      <w:r>
        <w:rPr>
          <w:rFonts w:ascii="Arial" w:cs="Arial" w:eastAsia="Arial" w:hAnsi="Arial"/>
          <w:sz w:val="18"/>
          <w:szCs w:val="18"/>
          <w:color w:val="auto"/>
        </w:rPr>
        <w:t>. We actively seek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and joint ventures with companies whose financial, marketing, operational or technological resources can accelerate the introduction of new technologies, service offerings and/or the penetration of new markets. For example, in 2018 we entered into a strategic agreement in Brazil with a local partner to bring high-speed, affordable internet to unserved and underserved communities, which will allow us to gain market insights and build brand awareness in advance of when our ViaSat-3 constellation will provide additional capacity to the region. In our government systems segment, we also regularly enter into teaming arrangements with other government contractors to more effectively capture complex government programs. We have also engaged in strategic relationships with companies that have innovative technologies and products, highly skilled personnel, market presence, or customer relationships and distribution channels that complement our strategy. We may continue to evaluate acquisitions of, or investments in, complementary companies, businesses, products or technologies to supplement our internal growth.</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Our Customers</w:t>
      </w:r>
    </w:p>
    <w:p>
      <w:pPr>
        <w:spacing w:after="0" w:line="99"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Our customer base is highly diversified. Customers in our satellite services segment reflect the diversity in our broadband service offerings and include residential customers, small and medium-sized businesses, enterprise customers, commercial airlines and Community Internet hotspot users. Customers of our fixed broadband services are obtained through either our direct, or U.S. or international partner, distribution channels. The customers of our government systems and commercial networks segments include the DoD, the U.S. National Security Agency, the intelligence community, the U.S. Department of Homeland Security, FVEY and other allied foreign governments and militaries, select other U.S. federal, state and local government agencies, commercial and defense contractors, satellite network integrators, large communications service providers and enterprises requiring complex communications and networking solutions. We enter into government contracts either directly with U.S. or foreign governments, or indirectly through domestic or international partners or resellers. In our commercial networks segment, we also act as both a prime contractor and subcontractor for the sale of equipment and services.</w:t>
      </w:r>
    </w:p>
    <w:p>
      <w:pPr>
        <w:spacing w:after="0" w:line="153" w:lineRule="exact"/>
        <w:rPr>
          <w:sz w:val="20"/>
          <w:szCs w:val="20"/>
          <w:color w:val="auto"/>
        </w:rPr>
      </w:pPr>
    </w:p>
    <w:p>
      <w:pPr>
        <w:ind w:right="160" w:firstLine="510"/>
        <w:spacing w:after="0"/>
        <w:rPr>
          <w:sz w:val="20"/>
          <w:szCs w:val="20"/>
          <w:color w:val="auto"/>
        </w:rPr>
      </w:pPr>
      <w:r>
        <w:rPr>
          <w:rFonts w:ascii="Arial" w:cs="Arial" w:eastAsia="Arial" w:hAnsi="Arial"/>
          <w:sz w:val="18"/>
          <w:szCs w:val="18"/>
          <w:color w:val="auto"/>
        </w:rPr>
        <w:t>Revenues from the U.S. government as an individual customer comprised approximately 30%, 26% and 31% of total revenues for fiscal years 2020, 2019 and 2018, respectively. None of our other customers comprised 10% or more of total revenues in fiscal years 2020, 2019 and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Contracts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Substantial portions of our revenues are generated from contracts and subcontracts with the DoD and other federal government agencies. Many of our contracts are subject to a competitive bid process and are awarded on the basis of technical merit, personnel qualifications, experience and price. We also receive some contract awards involving special technical capabilities on a negotiated, noncompetitive basis due to our unique mix of communication products, satellite services, engineering capabilities and technical expertise in specialized areas. The Federal Acquisition Streamlining Act of 1994 has encouraged the use of commercial type pricing, such as firm fixed-price contracts, on dual use products. Our future revenues and income could be materially affected by changes in government procurement policies and related oversight, a reduction in expenditures for the products and services we provide, and other risks generally associated with federal government contracts.</w:t>
      </w:r>
    </w:p>
    <w:p>
      <w:pPr>
        <w:spacing w:after="0" w:line="154" w:lineRule="exact"/>
        <w:rPr>
          <w:sz w:val="20"/>
          <w:szCs w:val="20"/>
          <w:color w:val="auto"/>
        </w:rPr>
      </w:pPr>
    </w:p>
    <w:p>
      <w:pPr>
        <w:ind w:right="100" w:firstLine="510"/>
        <w:spacing w:after="0"/>
        <w:rPr>
          <w:sz w:val="20"/>
          <w:szCs w:val="20"/>
          <w:color w:val="auto"/>
        </w:rPr>
      </w:pPr>
      <w:r>
        <w:rPr>
          <w:rFonts w:ascii="Arial" w:cs="Arial" w:eastAsia="Arial" w:hAnsi="Arial"/>
          <w:sz w:val="18"/>
          <w:szCs w:val="18"/>
          <w:color w:val="auto"/>
        </w:rPr>
        <w:t>We provide products under federal government contracts that usually require performance over a period of several months to multiple years. Long-term contracts may be conditioned upon continued availability of congressional appropriations. Variances between anticipated budget and congressional appropriations may result in a delay, reduction or termination of these contracts.</w:t>
      </w:r>
    </w:p>
    <w:p>
      <w:pPr>
        <w:spacing w:after="0" w:line="149" w:lineRule="exact"/>
        <w:rPr>
          <w:sz w:val="20"/>
          <w:szCs w:val="20"/>
          <w:color w:val="auto"/>
        </w:rPr>
      </w:pPr>
    </w:p>
    <w:p>
      <w:pPr>
        <w:ind w:firstLine="510"/>
        <w:spacing w:after="0" w:line="252" w:lineRule="auto"/>
        <w:rPr>
          <w:sz w:val="20"/>
          <w:szCs w:val="20"/>
          <w:color w:val="auto"/>
        </w:rPr>
      </w:pPr>
      <w:r>
        <w:rPr>
          <w:rFonts w:ascii="Arial" w:cs="Arial" w:eastAsia="Arial" w:hAnsi="Arial"/>
          <w:sz w:val="17"/>
          <w:szCs w:val="17"/>
          <w:color w:val="auto"/>
        </w:rPr>
        <w:t>Our federal government contracts are performed under cost-reimbursement contracts, time-and-materials contracts and fixed-price contracts. Cost-reimbursement contracts provide for reimbursement of costs and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which may include product R&amp;D, for a fixed price and, accordingly, realize the benefit or detriment to the extent that the actual cost of performing the work differs from the contract price. In fiscal year 2020, approximately 11% of our total government revenues were generated from cost-reimbursement contracts with the federal government or our prime contractors, less than 1% from time-and-materials contracts and approximately 89% from fixed-price contracts.</w:t>
      </w:r>
    </w:p>
    <w:p>
      <w:pPr>
        <w:spacing w:after="0" w:line="140" w:lineRule="exact"/>
        <w:rPr>
          <w:sz w:val="20"/>
          <w:szCs w:val="20"/>
          <w:color w:val="auto"/>
        </w:rPr>
      </w:pPr>
    </w:p>
    <w:p>
      <w:pPr>
        <w:ind w:right="280" w:firstLine="510"/>
        <w:spacing w:after="0"/>
        <w:rPr>
          <w:sz w:val="20"/>
          <w:szCs w:val="20"/>
          <w:color w:val="auto"/>
        </w:rPr>
      </w:pPr>
      <w:r>
        <w:rPr>
          <w:rFonts w:ascii="Arial" w:cs="Arial" w:eastAsia="Arial" w:hAnsi="Arial"/>
          <w:sz w:val="18"/>
          <w:szCs w:val="18"/>
          <w:color w:val="auto"/>
        </w:rPr>
        <w:t>Our allowable federal government contract costs and fees are subject to audit and review by the Defense Contracting Management Agency (DCMA) and the Defense Contract Audit Agency (DCAA), as discussed below under “— Regulatory Environment — Other Regulations.”</w:t>
      </w:r>
    </w:p>
    <w:p>
      <w:pPr>
        <w:spacing w:after="0" w:line="149" w:lineRule="exact"/>
        <w:rPr>
          <w:sz w:val="20"/>
          <w:szCs w:val="20"/>
          <w:color w:val="auto"/>
        </w:rPr>
      </w:pPr>
    </w:p>
    <w:p>
      <w:pPr>
        <w:jc w:val="both"/>
        <w:ind w:right="140" w:firstLine="510"/>
        <w:spacing w:after="0" w:line="255" w:lineRule="auto"/>
        <w:rPr>
          <w:sz w:val="20"/>
          <w:szCs w:val="20"/>
          <w:color w:val="auto"/>
        </w:rPr>
      </w:pPr>
      <w:r>
        <w:rPr>
          <w:rFonts w:ascii="Arial" w:cs="Arial" w:eastAsia="Arial" w:hAnsi="Arial"/>
          <w:sz w:val="17"/>
          <w:szCs w:val="17"/>
          <w:color w:val="auto"/>
        </w:rPr>
        <w:t>Our federal government contracts may be terminated, in whole or in part, at the convenience of the U.S. government. If a termination for convenience occurs, the U.S. government generally is obligated to pay for work completed or services rendered and/or the cost incurred by us under the contract, which may include a fee or allowance for profit.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p>
    <w:p>
      <w:pPr>
        <w:spacing w:after="0" w:line="136" w:lineRule="exact"/>
        <w:rPr>
          <w:sz w:val="20"/>
          <w:szCs w:val="20"/>
          <w:color w:val="auto"/>
        </w:rPr>
      </w:pPr>
    </w:p>
    <w:p>
      <w:pPr>
        <w:jc w:val="both"/>
        <w:ind w:right="20" w:firstLine="510"/>
        <w:spacing w:after="0"/>
        <w:rPr>
          <w:sz w:val="20"/>
          <w:szCs w:val="20"/>
          <w:color w:val="auto"/>
        </w:rPr>
      </w:pPr>
      <w:r>
        <w:rPr>
          <w:rFonts w:ascii="Arial" w:cs="Arial" w:eastAsia="Arial" w:hAnsi="Arial"/>
          <w:sz w:val="18"/>
          <w:szCs w:val="18"/>
          <w:color w:val="auto"/>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2" w:name="page13"/>
    <w:bookmarkEnd w:id="12"/>
    <w:p>
      <w:pPr>
        <w:ind w:right="640" w:firstLine="510"/>
        <w:spacing w:after="0" w:line="246" w:lineRule="auto"/>
        <w:rPr>
          <w:sz w:val="20"/>
          <w:szCs w:val="20"/>
          <w:color w:val="auto"/>
        </w:rPr>
      </w:pPr>
      <w:r>
        <w:rPr>
          <w:rFonts w:ascii="Arial" w:cs="Arial" w:eastAsia="Arial" w:hAnsi="Arial"/>
          <w:sz w:val="18"/>
          <w:szCs w:val="18"/>
          <w:color w:val="auto"/>
        </w:rPr>
        <w:t>Our eligibility to perform under our federal government contracts requires us to maintain adequate security measures. We have implemented security procedures that we believe adequately satisfy the requirements of our federal government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9" w:lineRule="exact"/>
        <w:rPr>
          <w:sz w:val="20"/>
          <w:szCs w:val="20"/>
          <w:color w:val="auto"/>
        </w:rPr>
      </w:pPr>
    </w:p>
    <w:p>
      <w:pPr>
        <w:ind w:right="460" w:firstLine="510"/>
        <w:spacing w:after="0" w:line="238" w:lineRule="auto"/>
        <w:rPr>
          <w:sz w:val="20"/>
          <w:szCs w:val="20"/>
          <w:color w:val="auto"/>
        </w:rPr>
      </w:pPr>
      <w:r>
        <w:rPr>
          <w:rFonts w:ascii="Arial" w:cs="Arial" w:eastAsia="Arial" w:hAnsi="Arial"/>
          <w:sz w:val="18"/>
          <w:szCs w:val="18"/>
          <w:color w:val="auto"/>
        </w:rPr>
        <w:t>The industries in which we compete are subject to rapid technological developments, evolving standards, changes in customer requirements and continuing developments in the communications and networking environment. Our continuing ability to adapt to these changes, and to develop innovative satellite and communications technologies, and new and enhanced products and services, is a significant factor in maintaining or improving our competitive position and our prospects for growth. Therefore, we continue to make significant investments in next-generation satellite technologies and communications product and services development.</w:t>
      </w:r>
    </w:p>
    <w:p>
      <w:pPr>
        <w:spacing w:after="0" w:line="148"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We conduct the majority of our R&amp;D activities in-house and have R&amp;D and engineering staff, which includes approximately 3,000 engineers worldwide. Our product development activities focus on products that we consider viable revenue opportunities to support all of our business segments. We incurred $130.4 million, $123.0 million and $168.3 million during fiscal years 2020, 2019 and 2018, respectively, on independent research and development (IR&amp;D) expenses, which comprise R&amp;D not directly funded by a third party. Funded R&amp;D contains a profit component and is therefore not directly comparable to IR&amp;D. As a U.S. government contractor, we also are able to recover a portion of our IR&amp;D expenses, consisting primarily of salaries and other personnel-related expenses, supplies and prototype materials related to R&amp;D programs.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5"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We seek to establish and maintain our proprietary rights in our technology and products through a combination of patents, copyrights, trademarks, trade secrets and contractual rights. We also seek to maintain our trade secrets and confidential information through nondisclosure policies, the use of appropriate confidentiality agreements and other security measures. We have registered a number of patents and trademarks in the United States and in other countries and have a substantial number of patent filings pending determination. There can be no assurance, however, that these rights can be successfully enforced against competitive products in any particular jurisdiction. Although we believe the protection afforded by our patents, copyrights, trademarks, trade secrets and contracts has value, the rapidly changing technology in the networking, satellite and wireless communications industries and uncertainties in the legal process make our future success dependent primarily on the innovative skills, technological expertise and management abilities of our employees rather than on the protections afforded by patent, copyright, trademark and trade secret laws and contractual rights. Accordingly, while these legal protections are important, they must be supported by other factors such as the expanding knowledge, ability and experience of our personnel, and the continued development of new products and product enhancements.</w:t>
      </w:r>
    </w:p>
    <w:p>
      <w:pPr>
        <w:spacing w:after="0" w:line="151"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Certain of our products include software or other intellectual property licensed from third parties. While it may be necessary in the future to seek or renew licenses relating to various aspects of our products, we believe, based upon past experience and standard industry practice, that such licenses generally could be obtained on commercially reasonable terms. Nonetheless, there can be no assurance that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p>
    <w:p>
      <w:pPr>
        <w:spacing w:after="0" w:line="151"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industry in which we compete is characterized by rapidly changing technology, a large number of patents, and frequent claims and related litigation regarding patent and other intellectual property rights. We 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Sales and Marketing</w:t>
      </w:r>
    </w:p>
    <w:p>
      <w:pPr>
        <w:spacing w:after="0" w:line="99" w:lineRule="exact"/>
        <w:rPr>
          <w:sz w:val="20"/>
          <w:szCs w:val="20"/>
          <w:color w:val="auto"/>
        </w:rPr>
      </w:pPr>
    </w:p>
    <w:p>
      <w:pPr>
        <w:ind w:right="380" w:firstLine="510"/>
        <w:spacing w:after="0" w:line="246" w:lineRule="auto"/>
        <w:rPr>
          <w:sz w:val="20"/>
          <w:szCs w:val="20"/>
          <w:color w:val="auto"/>
        </w:rPr>
      </w:pPr>
      <w:r>
        <w:rPr>
          <w:rFonts w:ascii="Arial" w:cs="Arial" w:eastAsia="Arial" w:hAnsi="Arial"/>
          <w:sz w:val="18"/>
          <w:szCs w:val="18"/>
          <w:color w:val="auto"/>
        </w:rPr>
        <w:t>We have a sales presence in various domestic and international locations, and we sell our products and services both directly and indirectly through partners, as described below:</w:t>
      </w:r>
    </w:p>
    <w:p>
      <w:pPr>
        <w:spacing w:after="0" w:line="30" w:lineRule="exact"/>
        <w:rPr>
          <w:sz w:val="20"/>
          <w:szCs w:val="20"/>
          <w:color w:val="auto"/>
        </w:rPr>
      </w:pPr>
    </w:p>
    <w:p>
      <w:pPr>
        <w:ind w:left="1000" w:hanging="493"/>
        <w:spacing w:after="0" w:line="238"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Satellite Services Sales Organization. </w:t>
      </w:r>
      <w:r>
        <w:rPr>
          <w:rFonts w:ascii="Arial" w:cs="Arial" w:eastAsia="Arial" w:hAnsi="Arial"/>
          <w:sz w:val="18"/>
          <w:szCs w:val="18"/>
          <w:color w:val="auto"/>
        </w:rPr>
        <w:t>Our satellite services sales organization for our broadband internet services sells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both direct and indirect channels. Our residential fixed broadband services are sold directly to customers through our Viasat Internet website, sales call centers and over 1,000 active retail dealers (including DirecTV). Our Community Internet services are sold through local distribution partnerships. Our business internet offerings are sold through a mix of direct sales personnel who work with enterprises and a network of enterprise-focused master agents and wholesale distribution partners. Our commercial aviation offerings are sold direct to airlines, and our business aviation offerings are sold through direct sales and business development personnel as well as through aviation-focused value-added resellers. Our maritime service offerings are sold direct to a variety of maritime commercial targets. In each case, our focus is to identify business opportunities and develop solutions for the unique needs of each customer segment.</w:t>
      </w:r>
    </w:p>
    <w:p>
      <w:pPr>
        <w:spacing w:after="0" w:line="42" w:lineRule="exact"/>
        <w:rPr>
          <w:rFonts w:ascii="Arial" w:cs="Arial" w:eastAsia="Arial" w:hAnsi="Arial"/>
          <w:sz w:val="18"/>
          <w:szCs w:val="18"/>
          <w:color w:val="auto"/>
        </w:rPr>
      </w:pPr>
    </w:p>
    <w:p>
      <w:pPr>
        <w:ind w:left="1000" w:right="200" w:hanging="493"/>
        <w:spacing w:after="0" w:line="24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Commercial Networks Sales Organization. </w:t>
      </w:r>
      <w:r>
        <w:rPr>
          <w:rFonts w:ascii="Arial" w:cs="Arial" w:eastAsia="Arial" w:hAnsi="Arial"/>
          <w:sz w:val="18"/>
          <w:szCs w:val="18"/>
          <w:color w:val="auto"/>
        </w:rPr>
        <w:t>Our commercial networks sales organization consists of sales managers and sales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engineers, who act as the primary interface to establish account relationships and determine technical requirements for customer networks. In addition to our sales force, we maintain a highly trained service staff to provide technical product and service support to our customers. The sales cycle in the commercial network market is often lengthy and it is not unusual for a sale to take up to 18 months from the initial contact through the execution of the agreement. The sales process often includes several network design iterations, network demonstrations and pilot networks consisting of a few sites.</w:t>
      </w:r>
    </w:p>
    <w:p>
      <w:pPr>
        <w:spacing w:after="0" w:line="35" w:lineRule="exact"/>
        <w:rPr>
          <w:rFonts w:ascii="Arial" w:cs="Arial" w:eastAsia="Arial" w:hAnsi="Arial"/>
          <w:sz w:val="18"/>
          <w:szCs w:val="18"/>
          <w:color w:val="auto"/>
        </w:rPr>
      </w:pPr>
    </w:p>
    <w:p>
      <w:pPr>
        <w:ind w:left="1000" w:right="140" w:hanging="493"/>
        <w:spacing w:after="0" w:line="258"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Government Systems Sales Organization. </w:t>
      </w:r>
      <w:r>
        <w:rPr>
          <w:rFonts w:ascii="Arial" w:cs="Arial" w:eastAsia="Arial" w:hAnsi="Arial"/>
          <w:sz w:val="17"/>
          <w:szCs w:val="17"/>
          <w:color w:val="auto"/>
        </w:rPr>
        <w:t>Our government systems sales organization consists of both direct sales personnel</w:t>
      </w:r>
      <w:r>
        <w:rPr>
          <w:rFonts w:ascii="Arial" w:cs="Arial" w:eastAsia="Arial" w:hAnsi="Arial"/>
          <w:sz w:val="17"/>
          <w:szCs w:val="17"/>
          <w:i w:val="1"/>
          <w:iCs w:val="1"/>
          <w:color w:val="auto"/>
        </w:rPr>
        <w:t xml:space="preserve"> </w:t>
      </w:r>
      <w:r>
        <w:rPr>
          <w:rFonts w:ascii="Arial" w:cs="Arial" w:eastAsia="Arial" w:hAnsi="Arial"/>
          <w:sz w:val="17"/>
          <w:szCs w:val="17"/>
          <w:color w:val="auto"/>
        </w:rPr>
        <w:t>who sell our standard products and services, and business development personnel who work with engineers, program managers, marketing managers and contract managers to identify business opportunities, develop customer relationships, develop solutions for customers’ needs, prepare proposals and negotiate contractual arrangements. The period of time from initial contact through the point of product sale and delivery can take over three years for more complex product developments. Products already in production can usually be delivered to a customer between 90 to 180 days from the point of product sale.</w:t>
      </w:r>
    </w:p>
    <w:p>
      <w:pPr>
        <w:spacing w:after="0" w:line="21" w:lineRule="exact"/>
        <w:rPr>
          <w:rFonts w:ascii="Arial" w:cs="Arial" w:eastAsia="Arial" w:hAnsi="Arial"/>
          <w:sz w:val="17"/>
          <w:szCs w:val="17"/>
          <w:color w:val="auto"/>
        </w:rPr>
      </w:pPr>
    </w:p>
    <w:p>
      <w:pPr>
        <w:ind w:left="1000" w:hanging="493"/>
        <w:spacing w:after="0" w:line="24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Strategic Partners. </w:t>
      </w:r>
      <w:r>
        <w:rPr>
          <w:rFonts w:ascii="Arial" w:cs="Arial" w:eastAsia="Arial" w:hAnsi="Arial"/>
          <w:sz w:val="18"/>
          <w:szCs w:val="18"/>
          <w:color w:val="auto"/>
        </w:rPr>
        <w:t>To augment our direct sales efforts, we seek to develop key strategic relationships to market and sell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 We seek strategic relationships and partners based on many factors, including financial resources, technical capability, geographic location and market presence.</w:t>
      </w:r>
    </w:p>
    <w:p>
      <w:pPr>
        <w:spacing w:after="0" w:line="148"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Our marketing team works closely with our business development, sales, research and product development organizations to increase the awareness of the Viasat brand through a mix of positive program performance, corporate and marketing communications, public relations, advertising, trade show participation and conference speaking engagements that keep the market current on our services, products and features. Our marketing team also works closely with our existing customers to bring ongoing satisfaction resulting in positive reviews and customer recommendations. Viasat products and services, both in the U.S. and internationally, are typically sold under one unified master global brand, using a single logo and visual identity system. Our marketing team also identifies and sizes new target markets for our products and services, creates awareness of our company and our portfolio of offerings, and generates contacts and leads within these targeted markets.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5"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markets in which we compete are characterized by rapid change, converging technologies and a migration to solutions that offer higher capacity and speed and other superior advantages. These market factors represent both an opportunity and a competitive threat to us. In many cases our competitors can also be our customers or partners. Accordingly, maintaining an open and cooperative relationship is important. The overall number of our competitors may increase, and the identity and composition of competitors may change. As we continue to expand our business globally, we may see new competition in different geographic regions.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compete, we emphasize:</w:t>
      </w:r>
    </w:p>
    <w:p>
      <w:pPr>
        <w:spacing w:after="0" w:line="77"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high-speed, high-quality and broad geographic availability of our broadband services;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deep understanding of our customers’ unique expectations and requirements;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4" w:name="page15"/>
    <w:bookmarkEnd w:id="14"/>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proven designs and network integration services for complex, customized network needs;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increased bandwidth efficiency offered by our networks, products and services;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advanced security and information assurance capabilities;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innovative and flexible features integrated into our products and services;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network management experience;</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end-to-end network implementation capabilities;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distinct advantages of satellite data networks;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technical advantages and advanced features of our antenna systems as compared to our competitors’ offerings;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overall cost-effectiveness of our communications systems, products and services.</w:t>
      </w:r>
    </w:p>
    <w:p>
      <w:pPr>
        <w:spacing w:after="0" w:line="171" w:lineRule="exact"/>
        <w:rPr>
          <w:sz w:val="20"/>
          <w:szCs w:val="20"/>
          <w:color w:val="auto"/>
        </w:rPr>
      </w:pPr>
    </w:p>
    <w:p>
      <w:pPr>
        <w:ind w:right="200" w:firstLine="510"/>
        <w:spacing w:after="0" w:line="246" w:lineRule="auto"/>
        <w:rPr>
          <w:sz w:val="20"/>
          <w:szCs w:val="20"/>
          <w:color w:val="auto"/>
        </w:rPr>
      </w:pPr>
      <w:r>
        <w:rPr>
          <w:rFonts w:ascii="Arial" w:cs="Arial" w:eastAsia="Arial" w:hAnsi="Arial"/>
          <w:sz w:val="18"/>
          <w:szCs w:val="18"/>
          <w:color w:val="auto"/>
        </w:rPr>
        <w:t>While we believe we compete successfully on each of these factors, we expect to continue to face intense competition in each of our markets.</w:t>
      </w:r>
    </w:p>
    <w:p>
      <w:pPr>
        <w:spacing w:after="0" w:line="143"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In our satellite services segment, we face competition for fixed broadband services both from existing competitors and emerging technologies. Our fixed broadband service offerings compete with broadband service offerings from wireline and wireless telecommunications companies, cable companies, satellite companies and internet service providers. Many of our competitors are larger than us, have substantial capital resources, have greater brand recognition, have access to spectrum or technologies not available to us, or are able to offer bundled service offerings that we are not able to duplicate, all of which may reduce demand for our broadband services. In addition, the broadband services market continues to see industry consolidation and vertical integration which may enable our competitors to provide competing services to broader customer segments. New entrants, some with significant financial resources and new emerging technologies (including terrestrial and space-based networks) may compete with our broadband service offerings. Additionally, wireless telecommunications carriers such as AT&amp;T, T-Mobile and Verizon are currently offering unlimited data plans that could attract our existing and future subscribers. Our IFC and W-IFE service offerings compete against air-to-ground mobile services and other satellite-based services, such as the services offered by Global Eagle Entertainment, Gogo, Inmarsat and Panasonic Avionics Corporation. We believe that our Ka-band satellite-based IFC systems offer a competitive combination of high-speed and data throughput capacity, that enable more passengers and crew on more flights, across commercial and business aircraft, the ability to leverage high-capacity internet services such as streaming video.</w:t>
      </w:r>
    </w:p>
    <w:p>
      <w:pPr>
        <w:spacing w:after="0" w:line="160"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In our commercial networks segment, we compete with numerous other providers of satellite and terrestrial communications systems, products and equipment, including: Airbus, CPI Antenna Systems Division, Comtech, EchoStar (Hughes Network Systems), General Dynamics, Gilat, iDirect Technologies, L3Harris, Newtec, Panasonic, Safran Aerosystems, Space Systems/Loral (SS/L) (MAXAR) and Thales. In addition, some of our customers continuously evaluate whether to develop and manufacture their own products and could elect to compete with us at any time.</w:t>
      </w:r>
    </w:p>
    <w:p>
      <w:pPr>
        <w:spacing w:after="0" w:line="148"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Within our government systems segment, we generally compete with government communications service providers and manufacturers of defense electronics products, systems or subsystems, such as BAE Systems, Collins Aerospace, General Dynamics, Inmarsat, Intelsat, L3Harris and similar companies. We may also compete directly with the largest defense prime contractors, including Boeing, Lockheed Martin, Northrop Grumman and Raytheon Technologies Corporation. In many cases we partner with our competitors, and therefore maintaining an open and cooperative relationship is important.</w:t>
      </w:r>
    </w:p>
    <w:p>
      <w:pPr>
        <w:spacing w:after="0" w:line="148" w:lineRule="exact"/>
        <w:rPr>
          <w:sz w:val="20"/>
          <w:szCs w:val="20"/>
          <w:color w:val="auto"/>
        </w:rPr>
      </w:pPr>
    </w:p>
    <w:p>
      <w:pPr>
        <w:ind w:right="200" w:firstLine="510"/>
        <w:spacing w:after="0" w:line="237" w:lineRule="auto"/>
        <w:rPr>
          <w:sz w:val="20"/>
          <w:szCs w:val="20"/>
          <w:color w:val="auto"/>
        </w:rPr>
      </w:pPr>
      <w:r>
        <w:rPr>
          <w:rFonts w:ascii="Arial" w:cs="Arial" w:eastAsia="Arial" w:hAnsi="Arial"/>
          <w:sz w:val="18"/>
          <w:szCs w:val="18"/>
          <w:color w:val="auto"/>
        </w:rPr>
        <w:t>Many of our competitors in our commercial networks and government systems segments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Manufacturing</w:t>
      </w:r>
    </w:p>
    <w:p>
      <w:pPr>
        <w:spacing w:after="0" w:line="9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Our manufacturing objective is to produce high-quality products that conform to specifications at the lowest possible manufacturing cost. To achieve this objective, we primarily utilize a range of contract manufacturers that are selected based on the production volumes and complexity of the product. By employing contract manufacturers, we are able to reduce the costs of products and support rapid fluctuations in delivery rates when needed. As part of our manufacturing process, we conduct extensive testing and quality control procedures for all products before they are delivered to customers.</w:t>
      </w:r>
    </w:p>
    <w:p>
      <w:pPr>
        <w:spacing w:after="0" w:line="148"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Contract manufacturers produce products for many different customers and are able to pass on the benefits of large-scale manufacturing to their customers. These manufacturers are able to produce high quality products at lower costs by: (1) exercising their high-volume purchasing power, (2) employing advanced and efficient production equipment and capital intensive systems whose costs are leveraged across their broad customer base, and (3) using a cost-effective skilled workforce. Our primary contract manufacturers include Benchmark, CyberTAN, IEC Electronics Corporation, L3Harris, Microelectronics Technology, Plexus, Regal Technology Partners and Sanmina.</w:t>
      </w:r>
    </w:p>
    <w:p>
      <w:pPr>
        <w:spacing w:after="0" w:line="151"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and the forecasted production life cycle. We intend to limit our internal manufacturing capacity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capability for standard products has been, and is expected to continue to be, very limited and we intend to continue to rely on contract manufacturers for large-scale manufacturing. We also rely on outside vendors to manufacture specific components and subassemblies used in the production of our products. Some components, subassemblies and services necessary for the manufacture of our products are obtained from a sole source supplier or a limited group of suppliers.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85"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We are required to comply with the laws and regulations of, and often obtain approvals from, national and local authorities in connection with the services that we provide. In particular, we provide a number of services that rely on the use of radio-frequency spectrum, and the provision of such services is highly regulated. National authorities generally require that the satellites they authorize be operated in a manner consistent with the regulations and procedures of the International Telecommunication Union (ITU), a specialized agency of the United Nations, which require the coordination of the operation of satellite systems in certain circumstances, and more generally are intended to avoid the occurrence of harmful interference among different users of the radio spectrum.</w:t>
      </w:r>
    </w:p>
    <w:p>
      <w:pPr>
        <w:spacing w:after="0" w:line="151" w:lineRule="exact"/>
        <w:rPr>
          <w:sz w:val="20"/>
          <w:szCs w:val="20"/>
          <w:color w:val="auto"/>
        </w:rPr>
      </w:pPr>
    </w:p>
    <w:p>
      <w:pPr>
        <w:ind w:right="220" w:firstLine="510"/>
        <w:spacing w:after="0" w:line="238" w:lineRule="auto"/>
        <w:rPr>
          <w:sz w:val="20"/>
          <w:szCs w:val="20"/>
          <w:color w:val="auto"/>
        </w:rPr>
      </w:pPr>
      <w:r>
        <w:rPr>
          <w:rFonts w:ascii="Arial" w:cs="Arial" w:eastAsia="Arial" w:hAnsi="Arial"/>
          <w:sz w:val="18"/>
          <w:szCs w:val="18"/>
          <w:color w:val="auto"/>
        </w:rPr>
        <w:t>We also produce a variety of communications systems and networking equipment, the design, manufacture, and marketing of which are subject to the laws and regulations of the jurisdictions in which we sell such equipment. We are subject to export control laws and regulations, and trade and economic sanctions laws and regulations, with respect to the export of such systems and equipment. As a government contractor, we are subject to U.S. procurement laws and regulations.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Radio-frequency and Communications Regulation</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International Telecommunication Union (ITU)</w:t>
      </w:r>
    </w:p>
    <w:p>
      <w:pPr>
        <w:spacing w:after="0" w:line="85" w:lineRule="exact"/>
        <w:rPr>
          <w:sz w:val="20"/>
          <w:szCs w:val="20"/>
          <w:color w:val="auto"/>
        </w:rPr>
      </w:pPr>
    </w:p>
    <w:p>
      <w:pPr>
        <w:ind w:right="260" w:firstLine="510"/>
        <w:spacing w:after="0" w:line="237" w:lineRule="auto"/>
        <w:rPr>
          <w:sz w:val="20"/>
          <w:szCs w:val="20"/>
          <w:color w:val="auto"/>
        </w:rPr>
      </w:pPr>
      <w:r>
        <w:rPr>
          <w:rFonts w:ascii="Arial" w:cs="Arial" w:eastAsia="Arial" w:hAnsi="Arial"/>
          <w:sz w:val="18"/>
          <w:szCs w:val="18"/>
          <w:color w:val="auto"/>
        </w:rPr>
        <w:t>The orbital location and frequencies for our satellites are subject to the ITU’s regulations, including its frequency registration and coordination procedures, and its various provisions on spectrum usage. Those procedures are specified in the ITU Radio Regulations and seek to facilitate shared international use of limited spectrum and orbital resources in a manner that avoids harmful interference. Among other things, the ITU regulations set forth procedures for establishing international priority with respect to the use of such resources, deadlines for bringing satellite networks into use in order to maintain such priority, and coordination rights and obligations with respect to other networks, which vary depending on whether such networks have higher or lower ITU priority.</w:t>
      </w:r>
    </w:p>
    <w:p>
      <w:pPr>
        <w:spacing w:after="0" w:line="151"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The ITU regulations provide allocations or designations for how spectrum can be used for various purposes, and whether such uses operate on a primary or secondary basis with one another. Secondary uses may not cause harmful interference to primary uses, and may not claim interference protection from primary uses.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6" w:name="page17"/>
    <w:bookmarkEnd w:id="16"/>
    <w:p>
      <w:pPr>
        <w:ind w:firstLine="510"/>
        <w:spacing w:after="0" w:line="237" w:lineRule="auto"/>
        <w:rPr>
          <w:sz w:val="20"/>
          <w:szCs w:val="20"/>
          <w:color w:val="auto"/>
        </w:rPr>
      </w:pPr>
      <w:r>
        <w:rPr>
          <w:rFonts w:ascii="Arial" w:cs="Arial" w:eastAsia="Arial" w:hAnsi="Arial"/>
          <w:sz w:val="18"/>
          <w:szCs w:val="18"/>
          <w:color w:val="auto"/>
        </w:rPr>
        <w:t>On our behalf, various countries have made ITU filings, and may in the future make additional filings, for the frequency assignments at particular orbital locations that are used, or may in the future be used, by our current satellite networks and potential future satellite networks we may build or acquire. In the event that any international coordination process that is triggered by such an ITU filing is not successfully completed, or bringing into use deadlines or requirements are not satisfied, we may be compelled to accept more limited or suboptimal orbital and spectrum rights, to operate the applicable satellite(s) on a non-interference basis, or to cease operating such satellite(s) altogether. The orbital arc is becoming increasingly congested with respect to such ITU filings and the satellite networks operated under those filings.</w:t>
      </w:r>
    </w:p>
    <w:p>
      <w:pPr>
        <w:spacing w:after="0" w:line="151"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In addition, the ITU’s Radio Regulations are subject to change at periodic ITU World Radio-communication Conferences (WRCs), and their application is determined by various governing bodies within the ITU. WRCs typically are convened approximately every four years, with the next one occurring at the end of 2023. The next WRC is considering various changes to the Radio Regulations that address the terms and conditions under which spectrum is used for satellite and terrestrial and purposes, and future WRCs are likely to do the same.</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Spectrum</w:t>
      </w:r>
    </w:p>
    <w:p>
      <w:pPr>
        <w:spacing w:after="0" w:line="99"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The space stations and ground networks we use to provide our broadband services rely on access to spectrum within each country in which we do business. Use of such spectrum is authorized by regulatory authorities within each country (or a regional authority whose jurisdiction over spectrum rights encompasses that country), which determines the terms and conditions for access to and use of that spectrum in that particular country. The terms and conditions for access can and do vary by country, may differ from the ITU’s Radio regulations, and may change over time. In particular, the growing demand for both satellite and terrestrial communications services is causing many countries to evaluate how spectrum is used within their borders, and to consider changes in the local terms and conditions for access to and use of spectrum. Those terms and conditions affect, among other things, the extent to which, and how, we must share spectrum with other spectrum users, including terrestrial and satellite uses, and whether we must operate on a secondary basis in some cases. Most of the spectrum on which we rely is shared with other satellite networks, including those operating in different orbits that could cross our orbital location and result in interference conditions. In many countries, portions of the spectrum on which we rely also are shared with terrestrial wireless services.</w:t>
      </w:r>
    </w:p>
    <w:p>
      <w:pPr>
        <w:spacing w:after="0" w:line="151"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If the deployment of new terrestrial or satellite networks results in harmful interference into our satellite operations, or if the implementation of those networks under newly adopted terms and conditions constrains or prohibits the types of spectrum uses for which we have planned in a manner that we do not anticipate, such developments could have a material adverse effect on our business, financial condition and results of operations.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Broadband Services</w:t>
      </w:r>
    </w:p>
    <w:p>
      <w:pPr>
        <w:spacing w:after="0" w:line="85"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We provide high-speed broadband internet access and VoIP services to customers in the United States, as well as in Europe and Latin America and on aircraft and seagoing vessels travelling around the world. Our provision of these services is subject to a number of legal obligations, including requirements to obtain licenses, authorizations and/or registrations to provide service in or to a given jurisdiction, implementation of certain network capabilities to assist law enforcement, and open internet requirements. Legislators and regulators often consider changes to existing statutes, rules and requirements, or prescribe new ones, which could significantly impact the ability to comply, or the costs of complying with, these types of obligations, or that otherwise could materially and adversely affect our ability to provide service in a given jurisdiction.</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Regulation</w:t>
      </w:r>
    </w:p>
    <w:p>
      <w:pPr>
        <w:spacing w:after="0" w:line="85" w:lineRule="exact"/>
        <w:rPr>
          <w:sz w:val="20"/>
          <w:szCs w:val="20"/>
          <w:color w:val="auto"/>
        </w:rPr>
      </w:pPr>
    </w:p>
    <w:p>
      <w:pPr>
        <w:ind w:right="340" w:firstLine="510"/>
        <w:spacing w:after="0" w:line="238" w:lineRule="auto"/>
        <w:rPr>
          <w:sz w:val="20"/>
          <w:szCs w:val="20"/>
          <w:color w:val="auto"/>
        </w:rPr>
      </w:pPr>
      <w:r>
        <w:rPr>
          <w:rFonts w:ascii="Arial" w:cs="Arial" w:eastAsia="Arial" w:hAnsi="Arial"/>
          <w:sz w:val="18"/>
          <w:szCs w:val="18"/>
          <w:color w:val="auto"/>
        </w:rPr>
        <w:t>The commercial use of radio-frequency spectrum in the United States is subject to the jurisdiction of the Federal Communications Commission (FCC) under the Communications Act of 1934, as amended (Communications Act). The FCC is responsible for licensing the operation of satellite earth stations and spacecraft, regulating the technical and other aspects of the operation of these facilities, and regulating certain aspects of the provision of services to customers.</w:t>
      </w:r>
    </w:p>
    <w:p>
      <w:pPr>
        <w:spacing w:after="0" w:line="133" w:lineRule="exact"/>
        <w:rPr>
          <w:sz w:val="20"/>
          <w:szCs w:val="20"/>
          <w:color w:val="auto"/>
        </w:rPr>
      </w:pPr>
    </w:p>
    <w:p>
      <w:pPr>
        <w:ind w:firstLine="510"/>
        <w:spacing w:after="0" w:line="241" w:lineRule="auto"/>
        <w:rPr>
          <w:sz w:val="20"/>
          <w:szCs w:val="20"/>
          <w:color w:val="auto"/>
        </w:rPr>
      </w:pPr>
      <w:r>
        <w:rPr>
          <w:rFonts w:ascii="Arial" w:cs="Arial" w:eastAsia="Arial" w:hAnsi="Arial"/>
          <w:sz w:val="18"/>
          <w:szCs w:val="18"/>
          <w:i w:val="1"/>
          <w:iCs w:val="1"/>
          <w:color w:val="auto"/>
        </w:rPr>
        <w:t xml:space="preserve">Earth Stations. </w:t>
      </w:r>
      <w:r>
        <w:rPr>
          <w:rFonts w:ascii="Arial" w:cs="Arial" w:eastAsia="Arial" w:hAnsi="Arial"/>
          <w:sz w:val="18"/>
          <w:szCs w:val="18"/>
          <w:color w:val="auto"/>
        </w:rPr>
        <w:t>The Communications Act requires a license for the operation of transmitting satellite earth station facilities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satellite earth station facilities in the United States. We currently hold licenses authorizing us to operate various earth stations within the United States, including but not limited to user terminals and facilities that aggregate traffic and interconnect with the internet backbone and network hubs. These licenses typically are granted for 15 year terms, and typically are renewed in the ordinary course. Material changes in earth station operations would require prior approval by the FCC. The operation of our earth stations is subject to various license conditions, as well as the technical and operational requirements of the FCC’s rules and regulations.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7" w:name="page18"/>
    <w:bookmarkEnd w:id="17"/>
    <w:p>
      <w:pPr>
        <w:ind w:right="20" w:firstLine="510"/>
        <w:spacing w:after="0" w:line="242" w:lineRule="auto"/>
        <w:rPr>
          <w:sz w:val="20"/>
          <w:szCs w:val="20"/>
          <w:color w:val="auto"/>
        </w:rPr>
      </w:pPr>
      <w:r>
        <w:rPr>
          <w:rFonts w:ascii="Arial" w:cs="Arial" w:eastAsia="Arial" w:hAnsi="Arial"/>
          <w:sz w:val="18"/>
          <w:szCs w:val="18"/>
          <w:i w:val="1"/>
          <w:iCs w:val="1"/>
          <w:color w:val="auto"/>
        </w:rPr>
        <w:t xml:space="preserve">Space Stations. </w:t>
      </w:r>
      <w:r>
        <w:rPr>
          <w:rFonts w:ascii="Arial" w:cs="Arial" w:eastAsia="Arial" w:hAnsi="Arial"/>
          <w:sz w:val="18"/>
          <w:szCs w:val="18"/>
          <w:color w:val="auto"/>
        </w:rPr>
        <w:t>In the United States, the FCC authorizes the launch and operation of commercial spacecraft, and also authorizes non-U.S. licensed spacecraft to be used to serve the United States. The FCC has authorized the use of the ViaSat-1, ViaSat-2, WildBlue-1 and Anik F2 spacecraft to serve the United States. The FCC also has granted us the right to use certain future spacecraft to serve the United States, as long as we implement those spacecraft by certain deadlines. The use of these spacecraft in our business is subject to various conditions in the underlying authorizations, as well as the technical and operational requirements of the FCC’s rules and regulations.</w:t>
      </w:r>
    </w:p>
    <w:p>
      <w:pPr>
        <w:spacing w:after="0" w:line="131"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i w:val="1"/>
          <w:iCs w:val="1"/>
          <w:color w:val="auto"/>
        </w:rPr>
        <w:t xml:space="preserve">Universal Service. </w:t>
      </w:r>
      <w:r>
        <w:rPr>
          <w:rFonts w:ascii="Arial" w:cs="Arial" w:eastAsia="Arial" w:hAnsi="Arial"/>
          <w:sz w:val="18"/>
          <w:szCs w:val="18"/>
          <w:color w:val="auto"/>
        </w:rPr>
        <w:t>Certain of our services may constitute the provision of telecommunications to, from or within the United States,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may require us to contribute a percentage of our revenues from such services to universal service support mechanisms that subsidize the provision of services to low-income consumers, high-cost areas, schools, libraries and rural health care providers. This percentage is set each calendar quarter by the FCC, and currently is 19.6%. Current FCC rules permit us to pass this universal service contribution through to our customers. The FCC has established universal service funding mechanisms to support the provision of voice and broadband services in certain high-cost areas of the United States. These supporting mechanisms are known as the Connect America Fund (CAF) and the Rural Digital Opportunity Fund (RDOF). Among other things, the CAF and RDOF mechanisms provide, or will likely provide, support to terrestrial service providers under terms and conditions that are not available to satellite-based service providers. The CAF and RDOF mechanisms could provide other service providers a competitive advantage in providing broadband services in supported areas, which could have a material adverse effect on our business, financial condition and results of operations. Additionally, Viasat has been awarded $122.5 million under CAF support to serve certain portions of the country, and must comply with federal and state obligations imposed in connection with such support.</w:t>
      </w:r>
    </w:p>
    <w:p>
      <w:pPr>
        <w:spacing w:after="0" w:line="139" w:lineRule="exact"/>
        <w:rPr>
          <w:sz w:val="20"/>
          <w:szCs w:val="20"/>
          <w:color w:val="auto"/>
        </w:rPr>
      </w:pPr>
    </w:p>
    <w:p>
      <w:pPr>
        <w:ind w:right="120" w:firstLine="510"/>
        <w:spacing w:after="0" w:line="250" w:lineRule="auto"/>
        <w:rPr>
          <w:sz w:val="20"/>
          <w:szCs w:val="20"/>
          <w:color w:val="auto"/>
        </w:rPr>
      </w:pPr>
      <w:r>
        <w:rPr>
          <w:rFonts w:ascii="Arial" w:cs="Arial" w:eastAsia="Arial" w:hAnsi="Arial"/>
          <w:sz w:val="18"/>
          <w:szCs w:val="18"/>
          <w:i w:val="1"/>
          <w:iCs w:val="1"/>
          <w:color w:val="auto"/>
        </w:rPr>
        <w:t xml:space="preserve">CALEA. </w:t>
      </w:r>
      <w:r>
        <w:rPr>
          <w:rFonts w:ascii="Arial" w:cs="Arial" w:eastAsia="Arial" w:hAnsi="Arial"/>
          <w:sz w:val="18"/>
          <w:szCs w:val="18"/>
          <w:color w:val="auto"/>
        </w:rPr>
        <w:t>We are obligated to comply with the requirements of the Communications Assistance for Law Enforcement Act (CALEA),</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requires telecommunications providers and broadband internet access providers to ensure that law enforcement agencies are able to conduct lawfully-authorized surveillance of users of their services.</w:t>
      </w:r>
    </w:p>
    <w:p>
      <w:pPr>
        <w:spacing w:after="0" w:line="123" w:lineRule="exact"/>
        <w:rPr>
          <w:sz w:val="20"/>
          <w:szCs w:val="20"/>
          <w:color w:val="auto"/>
        </w:rPr>
      </w:pPr>
    </w:p>
    <w:p>
      <w:pPr>
        <w:ind w:right="240" w:firstLine="510"/>
        <w:spacing w:after="0" w:line="255" w:lineRule="auto"/>
        <w:rPr>
          <w:sz w:val="20"/>
          <w:szCs w:val="20"/>
          <w:color w:val="auto"/>
        </w:rPr>
      </w:pPr>
      <w:r>
        <w:rPr>
          <w:rFonts w:ascii="Arial" w:cs="Arial" w:eastAsia="Arial" w:hAnsi="Arial"/>
          <w:sz w:val="17"/>
          <w:szCs w:val="17"/>
          <w:i w:val="1"/>
          <w:iCs w:val="1"/>
          <w:color w:val="auto"/>
        </w:rPr>
        <w:t xml:space="preserve">Net Neutrality. </w:t>
      </w:r>
      <w:r>
        <w:rPr>
          <w:rFonts w:ascii="Arial" w:cs="Arial" w:eastAsia="Arial" w:hAnsi="Arial"/>
          <w:sz w:val="17"/>
          <w:szCs w:val="17"/>
          <w:color w:val="auto"/>
        </w:rPr>
        <w:t>In February 2015, the FCC adopted new rules intended to preserve the openness of the internet, a concept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as “net neutrality” or “open internet.” The FCC’s “net neutrality” rules, among other things, prohibited all ISPs from: (i) blocking access to legal content, applications, services, or non-harmful devices (subject to an exception for “reasonable network management”);</w:t>
      </w:r>
    </w:p>
    <w:p>
      <w:pPr>
        <w:spacing w:after="0" w:line="2" w:lineRule="exact"/>
        <w:rPr>
          <w:sz w:val="20"/>
          <w:szCs w:val="20"/>
          <w:color w:val="auto"/>
        </w:rPr>
      </w:pPr>
    </w:p>
    <w:p>
      <w:pPr>
        <w:ind w:right="260" w:firstLine="8"/>
        <w:spacing w:after="0" w:line="248" w:lineRule="auto"/>
        <w:tabs>
          <w:tab w:leader="none" w:pos="25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impairing or degrading lawful internet traffic on the basis of content, applications, services, or non-harmful devices (subject to the same exception); (iii) favoring some lawful internet traffic over other lawful traffic in exchange for consideration of any kind whatsoever; and</w:t>
      </w:r>
    </w:p>
    <w:p>
      <w:pPr>
        <w:spacing w:after="0" w:line="1" w:lineRule="exact"/>
        <w:rPr>
          <w:rFonts w:ascii="Arial" w:cs="Arial" w:eastAsia="Arial" w:hAnsi="Arial"/>
          <w:sz w:val="17"/>
          <w:szCs w:val="17"/>
          <w:color w:val="auto"/>
        </w:rPr>
      </w:pPr>
    </w:p>
    <w:p>
      <w:pPr>
        <w:ind w:right="60" w:firstLine="8"/>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unreasonably interfering with or unreasonably disadvantaging the ability of end users to access content or the ability of content providers to access end users (again subject to the exception for “reasonable network management”). ISPs also are obligated to make certain disclosures to consumers with respect to their network management policies.</w:t>
      </w:r>
    </w:p>
    <w:p>
      <w:pPr>
        <w:spacing w:after="0" w:line="14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 xml:space="preserve">In adopting these rules, the FCC relied on Title II of the Communications Act, which authorizes the FCC to regulate telecommunications common carriers. More specifically, the FCC reclassified mass-market retail broadband internet access service as a “telecommunications service” subject to common-carrier regulation under Title II, reversing longstanding precedent classifying broadband as a lightly regulated “information service” </w:t>
      </w:r>
      <w:r>
        <w:rPr>
          <w:rFonts w:ascii="Arial" w:cs="Arial" w:eastAsia="Arial" w:hAnsi="Arial"/>
          <w:sz w:val="18"/>
          <w:szCs w:val="18"/>
          <w:i w:val="1"/>
          <w:iCs w:val="1"/>
          <w:color w:val="auto"/>
        </w:rPr>
        <w:t>not</w:t>
      </w:r>
      <w:r>
        <w:rPr>
          <w:rFonts w:ascii="Arial" w:cs="Arial" w:eastAsia="Arial" w:hAnsi="Arial"/>
          <w:sz w:val="18"/>
          <w:szCs w:val="18"/>
          <w:color w:val="auto"/>
        </w:rPr>
        <w:t xml:space="preserve"> subject to such regulation. Such common-carrier regulation potentially could have included review of the reasonableness of an ISP’s rates and practices.</w:t>
      </w:r>
    </w:p>
    <w:p>
      <w:pPr>
        <w:spacing w:after="0" w:line="148"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In January 2018, the FCC adopted an order restoring the classification of broadband internet access service as a lightly regulated information service, ending the Title II regulatory approach adopted in 2015. The order eliminated explicit requirements against blocking or throttling traffic and paid prioritization of traffic. At the same time, the FCC maintained the consumer disclosure requirements with some modifications and acknowledged the jurisdiction of the Federal Trade Commission to enforce consumer protection measures. The 2018 order was recently upheld by the D.C. Circuit, and the period for seeking further review in the Supreme Court has not yet expired. In addition, legislative proposals that would restore net neutrality requirements are being considered in Congress, and some states have recently adopted portions of the net neutrality requirements. Some legislative actions at the state level are being challenged in courts on federal preemption and other grounds, and in some cases, the requirements currently are not being enforced. We cannot predict the outcome of these pending appeals and legislative efforts, or any resulting impact on ISPs.</w:t>
      </w:r>
    </w:p>
    <w:p>
      <w:pPr>
        <w:spacing w:after="0" w:line="162" w:lineRule="exact"/>
        <w:rPr>
          <w:sz w:val="20"/>
          <w:szCs w:val="20"/>
          <w:color w:val="auto"/>
        </w:rPr>
      </w:pPr>
    </w:p>
    <w:p>
      <w:pPr>
        <w:ind w:right="80" w:firstLine="510"/>
        <w:spacing w:after="0" w:line="242" w:lineRule="auto"/>
        <w:rPr>
          <w:sz w:val="20"/>
          <w:szCs w:val="20"/>
          <w:color w:val="auto"/>
        </w:rPr>
      </w:pPr>
      <w:r>
        <w:rPr>
          <w:rFonts w:ascii="Arial" w:cs="Arial" w:eastAsia="Arial" w:hAnsi="Arial"/>
          <w:sz w:val="18"/>
          <w:szCs w:val="18"/>
          <w:i w:val="1"/>
          <w:iCs w:val="1"/>
          <w:color w:val="auto"/>
        </w:rPr>
        <w:t>Privacy and Data Security</w:t>
      </w:r>
      <w:r>
        <w:rPr>
          <w:rFonts w:ascii="Arial" w:cs="Arial" w:eastAsia="Arial" w:hAnsi="Arial"/>
          <w:sz w:val="18"/>
          <w:szCs w:val="18"/>
          <w:color w:val="auto"/>
        </w:rPr>
        <w:t>. We are subject to federal and state laws concerning privacy and the handling of consumers’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Certain of these laws provide privacy protections for customer proprietary network information related to our voice services. The Federal Trade Commission also oversees consumer privacy and data security more broadly through its authority to take enforcement action for unfair or deceptive practices, and state consumer protection laws can prompt review of privacy practices by state attorneys general. In addition, certain states have established specific consumer privacy and data security requirements, including the California Consumer Privacy Act, which gives California residents the right to receive certain disclosures regarding the collection, use, and sharing of personal information, as well as rights to access and restrict the sale of certain personal information collected about them.</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8" w:name="page19"/>
    <w:bookmarkEnd w:id="18"/>
    <w:p>
      <w:pPr>
        <w:ind w:right="100"/>
        <w:spacing w:after="0" w:line="246" w:lineRule="auto"/>
        <w:rPr>
          <w:sz w:val="20"/>
          <w:szCs w:val="20"/>
          <w:color w:val="auto"/>
        </w:rPr>
      </w:pPr>
      <w:r>
        <w:rPr>
          <w:rFonts w:ascii="Arial" w:cs="Arial" w:eastAsia="Arial" w:hAnsi="Arial"/>
          <w:sz w:val="18"/>
          <w:szCs w:val="18"/>
          <w:color w:val="auto"/>
        </w:rPr>
        <w:t>Many states also have enacted security breach notification laws requiring notice to consumers and government agencies upon disclosure of certain information to an unauthorized party resulting from a security breach.</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9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Our operation of spacecraft and ground network and our provision of services to customers outside of the United States are subject to legal requirements of the jurisdictions issuing the satellite authorizations and in which Viasat provides services. These include obtaining the market access, and the spectrum service and licenses, authorizations and/or registrations that are necessary to operate or provide service in or to a given jurisdiction, and in many cases licenses for the operation of transmitting satellite earth station facilities and certain receiving satellite earth station facilities. In particular, we must obtain authority to operate various earth stations outside the United States, including but not limited to user terminals and facilities that aggregate traffic and interconnect with the internet backbone and network hubs. This authority is subject to conditions and limitations that vary from jurisdiction to jurisdiction.</w:t>
      </w:r>
    </w:p>
    <w:p>
      <w:pPr>
        <w:spacing w:after="0" w:line="149"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The spacecraft we use in our business are subject to the regulatory authority of, and conditions imposed by, foreign governments, as well as contractual arrangements with third parties and the rules and procedures of the ITU.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ViaSat-2 operates under the authority of the United Kingdom.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maintaining their respective governmental rights on which our operating rights are based. The use of these spacecraft in our business is subject to various conditions in the underlying authorizations held by us, ManSat Limited and Telesat Canada, as well as the technical and operational requirements of the rules and regulations of those jurisdictions.</w:t>
      </w:r>
    </w:p>
    <w:p>
      <w:pPr>
        <w:spacing w:after="0" w:line="150"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We are also subject to certain other forms of foreign regulation in connection with our provision of communications services. For instance, certain of our business units are subject to the European Union’s General Data Protection Regulation (GDPR), which regulates the handling of personal data collected from individuals in the EU. Certain foreign jurisdictions in which we operate also impose requirements related to network management practices, cooperation with local law enforcement agencies, and other matters. A smaller number of foreign jurisdictions in which we operate have adopted laws enabling the government to suspend ISP services in the country.</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 Design, Manufacture, and Marketing</w:t>
      </w:r>
    </w:p>
    <w:p>
      <w:pPr>
        <w:spacing w:after="0" w:line="85"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We must comply with the applicable laws and regulations and, where required, obtain the approval of the regulatory authority of each country in which we design, manufacture, or market our communications systems and networking equipment. Applicable laws and regulatory requirements vary from country to country, and jurisdiction to jurisdiction. The increasing demand for wireless communications has exerted pressure on regulatory bodies worldwide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impact on the sale of our products to the customers.</w:t>
      </w:r>
    </w:p>
    <w:p>
      <w:pPr>
        <w:spacing w:after="0" w:line="131" w:lineRule="exact"/>
        <w:rPr>
          <w:sz w:val="20"/>
          <w:szCs w:val="20"/>
          <w:color w:val="auto"/>
        </w:rPr>
      </w:pPr>
    </w:p>
    <w:p>
      <w:pPr>
        <w:ind w:right="200" w:firstLine="510"/>
        <w:spacing w:after="0"/>
        <w:rPr>
          <w:sz w:val="20"/>
          <w:szCs w:val="20"/>
          <w:color w:val="auto"/>
        </w:rPr>
      </w:pPr>
      <w:r>
        <w:rPr>
          <w:rFonts w:ascii="Arial" w:cs="Arial" w:eastAsia="Arial" w:hAnsi="Arial"/>
          <w:sz w:val="18"/>
          <w:szCs w:val="18"/>
          <w:i w:val="1"/>
          <w:iCs w:val="1"/>
          <w:color w:val="auto"/>
        </w:rPr>
        <w:t xml:space="preserve">Equipment Testing and Verification. </w:t>
      </w:r>
      <w:r>
        <w:rPr>
          <w:rFonts w:ascii="Arial" w:cs="Arial" w:eastAsia="Arial" w:hAnsi="Arial"/>
          <w:sz w:val="18"/>
          <w:szCs w:val="18"/>
          <w:color w:val="auto"/>
        </w:rPr>
        <w:t>Certain equipment that we manufacture must comply with applicable technical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minimize radio interference to other communications services and ensure product safety. In the United States, the FCC is responsible for ensuring that communications devices comply with technical requirements for minimizing radio interference and human exposure to radio emissions. Other regulators perform similar functions around the world. These types of requirements typically provide for equipment to be tested either by the manufacturer or by a private testing organization to ensure compliance with the applicable technical requirements. In some cases, the regulator requires submission of an application, which must be approved by the regulator or a private testing organization accredited by the regulator.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i w:val="1"/>
          <w:iCs w:val="1"/>
          <w:color w:val="auto"/>
        </w:rPr>
        <w:t xml:space="preserve">Export Controls. </w:t>
      </w:r>
      <w:r>
        <w:rPr>
          <w:rFonts w:ascii="Arial" w:cs="Arial" w:eastAsia="Arial" w:hAnsi="Arial"/>
          <w:sz w:val="18"/>
          <w:szCs w:val="18"/>
          <w:color w:val="auto"/>
        </w:rPr>
        <w:t>Due to the nature and sophistication of our communications products, we must comply with applicable</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U.S. government and other agency regulations regarding the handling and export of certain of our products. This often requires extra or special handling of these products and could increase our costs. Failure to comply with these regulations could result in substantial harm to the company, including fines, penalties and the forfeiture of future rights to sell or export these products.</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Aviation-Related Regulation</w:t>
      </w:r>
    </w:p>
    <w:p>
      <w:pPr>
        <w:spacing w:after="0" w:line="81"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i w:val="1"/>
          <w:iCs w:val="1"/>
          <w:color w:val="auto"/>
        </w:rPr>
        <w:t>Aircraft Modification</w:t>
      </w:r>
      <w:r>
        <w:rPr>
          <w:rFonts w:ascii="Arial" w:cs="Arial" w:eastAsia="Arial" w:hAnsi="Arial"/>
          <w:sz w:val="18"/>
          <w:szCs w:val="18"/>
          <w:color w:val="auto"/>
        </w:rPr>
        <w:t>. The Federal Aviation Administration (FAA) is responsible for the regulation and oversight of civil aviation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The FAA develops and enforces airworthiness standards and regulations that certify the industry’s ability to manufacture aircraft and aircraft components, perform modification and maintenance activities on aircraft, and repair equipment previously installed on aircraft. We interact with the FAA regarding aircraft modification through two main activities: (1) supporting Type Certificate (TC) activity with an aircraft original equipment manufacturer (OEM) to obtain linefit certification of our IFC and W-IFE equipment and (2) obtaining a Supplemental Type Certificate (STC) to enable the retrofit of our IFC and W-IFE equipment. With respect to TC activity, the OEM is responsible for full certification and FAA regulatory compliance and we are responsible for providing certified equipment to the OEM. With respect to STC activity, we typically use Organization Designation Authorization (ODA) to support holding and maintaining our STCs to ensure FAA regulatory compliance. Our commercial air business depends on our ability to interact with the FAA and ODAs, as well as FAA-certified engineering professionals, in order to access data and obtain authorizations and approvals.</w:t>
      </w:r>
    </w:p>
    <w:p>
      <w:pPr>
        <w:spacing w:after="0" w:line="134" w:lineRule="exact"/>
        <w:rPr>
          <w:sz w:val="20"/>
          <w:szCs w:val="20"/>
          <w:color w:val="auto"/>
        </w:rPr>
      </w:pPr>
    </w:p>
    <w:p>
      <w:pPr>
        <w:ind w:right="40" w:firstLine="510"/>
        <w:spacing w:after="0" w:line="242" w:lineRule="auto"/>
        <w:rPr>
          <w:sz w:val="20"/>
          <w:szCs w:val="20"/>
          <w:color w:val="auto"/>
        </w:rPr>
      </w:pPr>
      <w:r>
        <w:rPr>
          <w:rFonts w:ascii="Arial" w:cs="Arial" w:eastAsia="Arial" w:hAnsi="Arial"/>
          <w:sz w:val="18"/>
          <w:szCs w:val="18"/>
          <w:i w:val="1"/>
          <w:iCs w:val="1"/>
          <w:color w:val="auto"/>
        </w:rPr>
        <w:t>Parts Manufacturing Approval</w:t>
      </w:r>
      <w:r>
        <w:rPr>
          <w:rFonts w:ascii="Arial" w:cs="Arial" w:eastAsia="Arial" w:hAnsi="Arial"/>
          <w:sz w:val="18"/>
          <w:szCs w:val="18"/>
          <w:color w:val="auto"/>
        </w:rPr>
        <w:t>. We have a wide range of products supporting both commercial and business aviation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FAA, under its Part Manufacturing Approval (PMA) program, provides authorization to entities like us and our vendors to manufacture and deliver IFC and W-IFE equipment. These approvals are provided through assigned FAA Manufacturing Inspection District Offices and are subject to strict rules and ongoing oversight. We have been able to obtain PMA on our entire fleet of current IFC and W-IFE product offerings due to multiple licensing agreements with both OEMs for linefit installations and ODAs for retrofit installations.</w:t>
      </w:r>
    </w:p>
    <w:p>
      <w:pPr>
        <w:spacing w:after="0" w:line="131" w:lineRule="exact"/>
        <w:rPr>
          <w:sz w:val="20"/>
          <w:szCs w:val="20"/>
          <w:color w:val="auto"/>
        </w:rPr>
      </w:pPr>
    </w:p>
    <w:p>
      <w:pPr>
        <w:ind w:right="20" w:firstLine="510"/>
        <w:spacing w:after="0" w:line="242" w:lineRule="auto"/>
        <w:rPr>
          <w:sz w:val="20"/>
          <w:szCs w:val="20"/>
          <w:color w:val="auto"/>
        </w:rPr>
      </w:pPr>
      <w:r>
        <w:rPr>
          <w:rFonts w:ascii="Arial" w:cs="Arial" w:eastAsia="Arial" w:hAnsi="Arial"/>
          <w:sz w:val="18"/>
          <w:szCs w:val="18"/>
          <w:i w:val="1"/>
          <w:iCs w:val="1"/>
          <w:color w:val="auto"/>
        </w:rPr>
        <w:t>FAA Part 145 Repair Stations</w:t>
      </w:r>
      <w:r>
        <w:rPr>
          <w:rFonts w:ascii="Arial" w:cs="Arial" w:eastAsia="Arial" w:hAnsi="Arial"/>
          <w:sz w:val="18"/>
          <w:szCs w:val="18"/>
          <w:color w:val="auto"/>
        </w:rPr>
        <w:t>. The FAA has approved several of our locations as 14 CFR Part 145 repair stations, which enables us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ongoing support to customers with respect to our IFC and W-IFE systems. These repair stations support both line-replaceable unit (LRU) and line maintenance activities associated with our IFC and W-IFE products. These approvals are provided and overseen by FAA Flight Standards District Offices. We have also obtained European Aviation Safety Agency (EASA) approval for our repair stations dedicated to LRU repair and maintenance for our IFC and W-IFE products.</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85"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 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or our competitive position in the bidding process. Any of these outcomes could have a material adverse effect on our business, financial condition and results of operations.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0" w:name="page21"/>
    <w:bookmarkEnd w:id="20"/>
    <w:p>
      <w:pPr>
        <w:ind w:right="40" w:firstLine="510"/>
        <w:spacing w:after="0" w:line="237" w:lineRule="auto"/>
        <w:rPr>
          <w:sz w:val="20"/>
          <w:szCs w:val="20"/>
          <w:color w:val="auto"/>
        </w:rPr>
      </w:pPr>
      <w:r>
        <w:rPr>
          <w:rFonts w:ascii="Arial" w:cs="Arial" w:eastAsia="Arial" w:hAnsi="Arial"/>
          <w:sz w:val="18"/>
          <w:szCs w:val="18"/>
          <w:color w:val="auto"/>
        </w:rPr>
        <w:t>We are also subject to a variety of U.S. and international regulations relating to the storage, discharge, handling, emission, generation, manufacture and disposal of toxic or other hazardous substances used to manufacture our products. The failure to comply with current or future regulations could result in the imposition of substantial fines on us, suspension of production, alteration of our manufacturing processes or cessation of operations. To date, these regulations have not had a material effect on our business, as we have neither incurred significant costs to maintain compliance nor to remedy past noncompliance, and we do not expect such regulations to have a material effect on our business in the current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9"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In our satellite services segment, historically subscriber activity for our fixed broadband services has been influenced by seasonal effects related to traditional retail selling periods, with new sales activity generally anticipated to be higher in the second half of the calendar year. However, sales activity and churn can be strongly affected by other factors which may either offset or magnify any anticipated seasonal effects, including availability of capacity, promotional and subscriber retention efforts, changes in our resellers, distributors and wholesalers, changes in the competitive landscape, economic conditions, and changes in credit check and subscriber approval processes.</w:t>
      </w:r>
    </w:p>
    <w:p>
      <w:pPr>
        <w:spacing w:after="0" w:line="148" w:lineRule="exact"/>
        <w:rPr>
          <w:sz w:val="20"/>
          <w:szCs w:val="20"/>
          <w:color w:val="auto"/>
        </w:rPr>
      </w:pPr>
    </w:p>
    <w:p>
      <w:pPr>
        <w:jc w:val="both"/>
        <w:ind w:right="60" w:firstLine="510"/>
        <w:spacing w:after="0"/>
        <w:rPr>
          <w:sz w:val="20"/>
          <w:szCs w:val="20"/>
          <w:color w:val="auto"/>
        </w:rPr>
      </w:pPr>
      <w:r>
        <w:rPr>
          <w:rFonts w:ascii="Arial" w:cs="Arial" w:eastAsia="Arial" w:hAnsi="Arial"/>
          <w:sz w:val="18"/>
          <w:szCs w:val="18"/>
          <w:color w:val="auto"/>
        </w:rPr>
        <w:t>Our commercial networks segment is not generally affected by seasonal impacts. In our government systems segment, our results are impacted by various factors including the timing of contract awards and the timing and availability of U.S. Government funding, as well as the timing of product deliveries and customer acceptance.</w:t>
      </w:r>
    </w:p>
    <w:p>
      <w:pPr>
        <w:spacing w:after="0" w:line="149" w:lineRule="exact"/>
        <w:rPr>
          <w:sz w:val="20"/>
          <w:szCs w:val="20"/>
          <w:color w:val="auto"/>
        </w:rPr>
      </w:pPr>
    </w:p>
    <w:p>
      <w:pPr>
        <w:ind w:right="120" w:firstLine="510"/>
        <w:spacing w:after="0"/>
        <w:rPr>
          <w:sz w:val="20"/>
          <w:szCs w:val="20"/>
          <w:color w:val="auto"/>
        </w:rPr>
      </w:pPr>
      <w:r>
        <w:rPr>
          <w:rFonts w:ascii="Arial" w:cs="Arial" w:eastAsia="Arial" w:hAnsi="Arial"/>
          <w:sz w:val="18"/>
          <w:szCs w:val="18"/>
          <w:color w:val="auto"/>
        </w:rPr>
        <w:t>While the above-described trends have been observed consistently in recent years, we cannot predict with any certainty whether they will continue in the near future as the economy and our customers react to the COVID-19 pandemic and experience associated disruptions and dislocations.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Public Reports</w:t>
      </w:r>
    </w:p>
    <w:p>
      <w:pPr>
        <w:spacing w:after="0" w:line="67" w:lineRule="exact"/>
        <w:rPr>
          <w:sz w:val="20"/>
          <w:szCs w:val="20"/>
          <w:color w:val="auto"/>
        </w:rPr>
      </w:pPr>
    </w:p>
    <w:p>
      <w:pPr>
        <w:ind w:right="80" w:firstLine="510"/>
        <w:spacing w:after="0" w:line="242" w:lineRule="auto"/>
        <w:rPr>
          <w:sz w:val="20"/>
          <w:szCs w:val="20"/>
          <w:color w:val="auto"/>
        </w:rPr>
      </w:pPr>
      <w:r>
        <w:rPr>
          <w:rFonts w:ascii="Arial" w:cs="Arial" w:eastAsia="Arial" w:hAnsi="Arial"/>
          <w:sz w:val="18"/>
          <w:szCs w:val="18"/>
          <w:color w:val="auto"/>
        </w:rPr>
        <w:t xml:space="preserve">Through a link on the Investor Relations section of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The information on our website is not part of this report or any other report that we furnish to or file with the SEC.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5" w:lineRule="exact"/>
        <w:rPr>
          <w:sz w:val="20"/>
          <w:szCs w:val="20"/>
          <w:color w:val="auto"/>
        </w:rPr>
      </w:pPr>
    </w:p>
    <w:p>
      <w:pPr>
        <w:jc w:val="both"/>
        <w:ind w:right="180" w:firstLine="510"/>
        <w:spacing w:after="0" w:line="238" w:lineRule="auto"/>
        <w:rPr>
          <w:sz w:val="20"/>
          <w:szCs w:val="20"/>
          <w:color w:val="auto"/>
        </w:rPr>
      </w:pPr>
      <w:r>
        <w:rPr>
          <w:rFonts w:ascii="Arial" w:cs="Arial" w:eastAsia="Arial" w:hAnsi="Arial"/>
          <w:sz w:val="18"/>
          <w:szCs w:val="18"/>
          <w:color w:val="auto"/>
        </w:rPr>
        <w:t>As of March 31, 2020, we employed approximately 6,100 individuals worldwide. We consider the relationships with our employees to be positive. Competition for technical personnel in our industry is intense. We believe our future success depends in part on our continued ability to hire, assimilate and retain qualified personnel. To date, we believe we have been successful in recruiting qualified employees, but there is no assurance we will continue to be successful in the future.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Set forth below is information concerning our executive officers and their 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0" w:type="dxa"/>
            <w:vAlign w:val="bottom"/>
          </w:tcPr>
          <w:p>
            <w:pPr>
              <w:spacing w:after="0"/>
              <w:rPr>
                <w:sz w:val="14"/>
                <w:szCs w:val="14"/>
                <w:color w:val="auto"/>
              </w:rPr>
            </w:pPr>
          </w:p>
        </w:tc>
        <w:tc>
          <w:tcPr>
            <w:tcW w:w="290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Age</w:t>
            </w:r>
          </w:p>
        </w:tc>
        <w:tc>
          <w:tcPr>
            <w:tcW w:w="5800" w:type="dxa"/>
            <w:vAlign w:val="bottom"/>
          </w:tcPr>
          <w:p>
            <w:pPr>
              <w:spacing w:after="0"/>
              <w:rPr>
                <w:sz w:val="20"/>
                <w:szCs w:val="20"/>
                <w:color w:val="auto"/>
              </w:rPr>
            </w:pPr>
            <w:r>
              <w:rPr>
                <w:rFonts w:ascii="Arial" w:cs="Arial" w:eastAsia="Arial" w:hAnsi="Arial"/>
                <w:sz w:val="13"/>
                <w:szCs w:val="13"/>
                <w:b w:val="1"/>
                <w:bCs w:val="1"/>
                <w:color w:val="auto"/>
              </w:rPr>
              <w:t>Position</w:t>
            </w:r>
          </w:p>
        </w:tc>
        <w:tc>
          <w:tcPr>
            <w:tcW w:w="700" w:type="dxa"/>
            <w:vAlign w:val="bottom"/>
          </w:tcPr>
          <w:p>
            <w:pPr>
              <w:spacing w:after="0"/>
              <w:rPr>
                <w:sz w:val="14"/>
                <w:szCs w:val="14"/>
                <w:color w:val="auto"/>
              </w:rPr>
            </w:pPr>
          </w:p>
        </w:tc>
      </w:tr>
      <w:tr>
        <w:trPr>
          <w:trHeight w:val="195"/>
        </w:trPr>
        <w:tc>
          <w:tcPr>
            <w:tcW w:w="700" w:type="dxa"/>
            <w:vAlign w:val="bottom"/>
          </w:tcPr>
          <w:p>
            <w:pPr>
              <w:spacing w:after="0"/>
              <w:rPr>
                <w:sz w:val="16"/>
                <w:szCs w:val="16"/>
                <w:color w:val="auto"/>
              </w:rPr>
            </w:pPr>
          </w:p>
        </w:tc>
        <w:tc>
          <w:tcPr>
            <w:tcW w:w="27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Mark Dankberg</w:t>
            </w:r>
          </w:p>
        </w:tc>
        <w:tc>
          <w:tcPr>
            <w:tcW w:w="16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65</w:t>
            </w:r>
          </w:p>
        </w:tc>
        <w:tc>
          <w:tcPr>
            <w:tcW w:w="340" w:type="dxa"/>
            <w:vAlign w:val="bottom"/>
          </w:tcPr>
          <w:p>
            <w:pPr>
              <w:spacing w:after="0"/>
              <w:rPr>
                <w:sz w:val="16"/>
                <w:szCs w:val="16"/>
                <w:color w:val="auto"/>
              </w:rPr>
            </w:pPr>
          </w:p>
        </w:tc>
        <w:tc>
          <w:tcPr>
            <w:tcW w:w="5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and Chief Executive Officer</w:t>
            </w:r>
          </w:p>
        </w:tc>
        <w:tc>
          <w:tcPr>
            <w:tcW w:w="700" w:type="dxa"/>
            <w:vAlign w:val="bottom"/>
          </w:tcPr>
          <w:p>
            <w:pPr>
              <w:spacing w:after="0"/>
              <w:rPr>
                <w:sz w:val="16"/>
                <w:szCs w:val="16"/>
                <w:color w:val="auto"/>
              </w:rPr>
            </w:pPr>
          </w:p>
        </w:tc>
      </w:tr>
      <w:tr>
        <w:trPr>
          <w:trHeight w:val="216"/>
        </w:trPr>
        <w:tc>
          <w:tcPr>
            <w:tcW w:w="70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Richard Baldridge</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Director, President and Chief Operating Officer</w:t>
            </w:r>
          </w:p>
        </w:tc>
        <w:tc>
          <w:tcPr>
            <w:tcW w:w="7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Robert Blair</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Vice President, General Counsel and Secretary</w:t>
            </w:r>
          </w:p>
        </w:tc>
        <w:tc>
          <w:tcPr>
            <w:tcW w:w="7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Girish Chandran</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Vice President and Chief Technical Officer</w:t>
            </w:r>
          </w:p>
        </w:tc>
        <w:tc>
          <w:tcPr>
            <w:tcW w:w="7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James Dodd</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President, Global Mobile Solutions</w:t>
            </w:r>
          </w:p>
        </w:tc>
        <w:tc>
          <w:tcPr>
            <w:tcW w:w="7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Shawn Duffy</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700" w:type="dxa"/>
            <w:vAlign w:val="bottom"/>
          </w:tcPr>
          <w:p>
            <w:pPr>
              <w:spacing w:after="0"/>
              <w:rPr>
                <w:sz w:val="18"/>
                <w:szCs w:val="18"/>
                <w:color w:val="auto"/>
              </w:rPr>
            </w:pPr>
          </w:p>
        </w:tc>
      </w:tr>
      <w:tr>
        <w:trPr>
          <w:trHeight w:val="203"/>
        </w:trPr>
        <w:tc>
          <w:tcPr>
            <w:tcW w:w="700" w:type="dxa"/>
            <w:vAlign w:val="bottom"/>
          </w:tcPr>
          <w:p>
            <w:pPr>
              <w:spacing w:after="0"/>
              <w:rPr>
                <w:sz w:val="17"/>
                <w:szCs w:val="17"/>
                <w:color w:val="auto"/>
              </w:rPr>
            </w:pPr>
          </w:p>
        </w:tc>
        <w:tc>
          <w:tcPr>
            <w:tcW w:w="29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Kevin Harkenrider</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64</w:t>
            </w:r>
          </w:p>
        </w:tc>
        <w:tc>
          <w:tcPr>
            <w:tcW w:w="34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Executive Vice President, Global Operations and Chief Operations</w:t>
            </w:r>
          </w:p>
        </w:tc>
        <w:tc>
          <w:tcPr>
            <w:tcW w:w="7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Officer</w:t>
            </w:r>
          </w:p>
        </w:tc>
        <w:tc>
          <w:tcPr>
            <w:tcW w:w="700" w:type="dxa"/>
            <w:vAlign w:val="bottom"/>
          </w:tcPr>
          <w:p>
            <w:pPr>
              <w:spacing w:after="0"/>
              <w:rPr>
                <w:sz w:val="17"/>
                <w:szCs w:val="17"/>
                <w:color w:val="auto"/>
              </w:rPr>
            </w:pPr>
          </w:p>
        </w:tc>
      </w:tr>
      <w:tr>
        <w:trPr>
          <w:trHeight w:val="216"/>
        </w:trPr>
        <w:tc>
          <w:tcPr>
            <w:tcW w:w="70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Melinda Kimbro</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Senior Vice President, People and Culture and Chief People Officer</w:t>
            </w:r>
          </w:p>
        </w:tc>
        <w:tc>
          <w:tcPr>
            <w:tcW w:w="700" w:type="dxa"/>
            <w:vAlign w:val="bottom"/>
          </w:tcPr>
          <w:p>
            <w:pPr>
              <w:spacing w:after="0"/>
              <w:rPr>
                <w:sz w:val="18"/>
                <w:szCs w:val="18"/>
                <w:color w:val="auto"/>
              </w:rPr>
            </w:pPr>
          </w:p>
        </w:tc>
      </w:tr>
      <w:tr>
        <w:trPr>
          <w:trHeight w:val="203"/>
        </w:trPr>
        <w:tc>
          <w:tcPr>
            <w:tcW w:w="700" w:type="dxa"/>
            <w:vAlign w:val="bottom"/>
          </w:tcPr>
          <w:p>
            <w:pPr>
              <w:spacing w:after="0"/>
              <w:rPr>
                <w:sz w:val="17"/>
                <w:szCs w:val="17"/>
                <w:color w:val="auto"/>
              </w:rPr>
            </w:pPr>
          </w:p>
        </w:tc>
        <w:tc>
          <w:tcPr>
            <w:tcW w:w="29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Keven Lippert</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48</w:t>
            </w:r>
          </w:p>
        </w:tc>
        <w:tc>
          <w:tcPr>
            <w:tcW w:w="34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Executive Vice President, Strategic Initiatives and Chief Commercial</w:t>
            </w:r>
          </w:p>
        </w:tc>
        <w:tc>
          <w:tcPr>
            <w:tcW w:w="7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Officer</w:t>
            </w:r>
          </w:p>
        </w:tc>
        <w:tc>
          <w:tcPr>
            <w:tcW w:w="700" w:type="dxa"/>
            <w:vAlign w:val="bottom"/>
          </w:tcPr>
          <w:p>
            <w:pPr>
              <w:spacing w:after="0"/>
              <w:rPr>
                <w:sz w:val="17"/>
                <w:szCs w:val="17"/>
                <w:color w:val="auto"/>
              </w:rPr>
            </w:pPr>
          </w:p>
        </w:tc>
      </w:tr>
      <w:tr>
        <w:trPr>
          <w:trHeight w:val="216"/>
        </w:trPr>
        <w:tc>
          <w:tcPr>
            <w:tcW w:w="70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Mark Miller</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Executive Vice President and Chief Technical Officer</w:t>
            </w:r>
          </w:p>
        </w:tc>
        <w:tc>
          <w:tcPr>
            <w:tcW w:w="7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Ken Peterman</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Senior Vice President and President, Government Systems</w:t>
            </w:r>
          </w:p>
        </w:tc>
        <w:tc>
          <w:tcPr>
            <w:tcW w:w="7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David Ryan</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3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Vice President and President, Viasat Commercial Networks</w:t>
            </w:r>
          </w:p>
        </w:tc>
        <w:tc>
          <w:tcPr>
            <w:tcW w:w="700" w:type="dxa"/>
            <w:vAlign w:val="bottom"/>
          </w:tcPr>
          <w:p>
            <w:pPr>
              <w:spacing w:after="0"/>
              <w:rPr>
                <w:sz w:val="20"/>
                <w:szCs w:val="20"/>
                <w:color w:val="auto"/>
              </w:rPr>
            </w:pPr>
          </w:p>
        </w:tc>
      </w:tr>
      <w:tr>
        <w:trPr>
          <w:trHeight w:val="418"/>
        </w:trPr>
        <w:tc>
          <w:tcPr>
            <w:tcW w:w="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0" w:type="dxa"/>
            <w:vAlign w:val="bottom"/>
          </w:tcPr>
          <w:p>
            <w:pPr>
              <w:ind w:left="780"/>
              <w:spacing w:after="0"/>
              <w:rPr>
                <w:sz w:val="20"/>
                <w:szCs w:val="20"/>
                <w:color w:val="auto"/>
              </w:rPr>
            </w:pPr>
            <w:r>
              <w:rPr>
                <w:rFonts w:ascii="Arial" w:cs="Arial" w:eastAsia="Arial" w:hAnsi="Arial"/>
                <w:sz w:val="18"/>
                <w:szCs w:val="18"/>
                <w:color w:val="auto"/>
              </w:rPr>
              <w:t>20</w:t>
            </w:r>
          </w:p>
        </w:tc>
        <w:tc>
          <w:tcPr>
            <w:tcW w:w="700" w:type="dxa"/>
            <w:vAlign w:val="bottom"/>
          </w:tcPr>
          <w:p>
            <w:pPr>
              <w:spacing w:after="0"/>
              <w:rPr>
                <w:sz w:val="24"/>
                <w:szCs w:val="24"/>
                <w:color w:val="auto"/>
              </w:rPr>
            </w:pPr>
          </w:p>
        </w:tc>
      </w:tr>
      <w:tr>
        <w:trPr>
          <w:trHeight w:val="102"/>
        </w:trPr>
        <w:tc>
          <w:tcPr>
            <w:tcW w:w="70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8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1" w:name="page22"/>
    <w:bookmarkEnd w:id="21"/>
    <w:p>
      <w:pPr>
        <w:ind w:firstLine="510"/>
        <w:spacing w:after="0" w:line="239" w:lineRule="auto"/>
        <w:rPr>
          <w:sz w:val="20"/>
          <w:szCs w:val="20"/>
          <w:color w:val="auto"/>
        </w:rPr>
      </w:pPr>
      <w:r>
        <w:rPr>
          <w:rFonts w:ascii="Arial" w:cs="Arial" w:eastAsia="Arial" w:hAnsi="Arial"/>
          <w:sz w:val="18"/>
          <w:szCs w:val="18"/>
          <w:i w:val="1"/>
          <w:iCs w:val="1"/>
          <w:color w:val="auto"/>
        </w:rPr>
        <w:t xml:space="preserve">Mark Dankberg </w:t>
      </w:r>
      <w:r>
        <w:rPr>
          <w:rFonts w:ascii="Arial" w:cs="Arial" w:eastAsia="Arial" w:hAnsi="Arial"/>
          <w:sz w:val="18"/>
          <w:szCs w:val="18"/>
          <w:color w:val="auto"/>
        </w:rPr>
        <w:t>is a founder of Viasat and has served as Chairman of the Board and Chief Executive Officer of Viasat since its</w:t>
      </w:r>
      <w:r>
        <w:rPr>
          <w:rFonts w:ascii="Arial" w:cs="Arial" w:eastAsia="Arial" w:hAnsi="Arial"/>
          <w:sz w:val="18"/>
          <w:szCs w:val="18"/>
          <w:i w:val="1"/>
          <w:iCs w:val="1"/>
          <w:color w:val="auto"/>
        </w:rPr>
        <w:t xml:space="preserve"> </w:t>
      </w:r>
      <w:r>
        <w:rPr>
          <w:rFonts w:ascii="Arial" w:cs="Arial" w:eastAsia="Arial" w:hAnsi="Arial"/>
          <w:sz w:val="18"/>
          <w:szCs w:val="18"/>
          <w:color w:val="auto"/>
        </w:rPr>
        <w:t>inception in May 1986. Mr. Dankberg provides our Board with significant operational, business and technological expertise in the satellite and communications industry, and intimate knowledge of the issues facing our management. Mr. Dankberg also has significant expertise and perspective as a member of the boards of directors of companies in various industries, including communications. Mr. Dankberg currently serves on the board of Lytx, Inc., a privately-held company that provides fleet safety management solutions, and the Rice University Board of Trustees.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33" w:lineRule="exact"/>
        <w:rPr>
          <w:sz w:val="20"/>
          <w:szCs w:val="20"/>
          <w:color w:val="auto"/>
        </w:rPr>
      </w:pPr>
    </w:p>
    <w:p>
      <w:pPr>
        <w:jc w:val="both"/>
        <w:ind w:right="360" w:firstLine="510"/>
        <w:spacing w:after="0" w:line="255" w:lineRule="auto"/>
        <w:rPr>
          <w:sz w:val="20"/>
          <w:szCs w:val="20"/>
          <w:color w:val="auto"/>
        </w:rPr>
      </w:pPr>
      <w:r>
        <w:rPr>
          <w:rFonts w:ascii="Arial" w:cs="Arial" w:eastAsia="Arial" w:hAnsi="Arial"/>
          <w:sz w:val="17"/>
          <w:szCs w:val="17"/>
          <w:i w:val="1"/>
          <w:iCs w:val="1"/>
          <w:color w:val="auto"/>
        </w:rPr>
        <w:t xml:space="preserve">Richard Baldridge </w:t>
      </w:r>
      <w:r>
        <w:rPr>
          <w:rFonts w:ascii="Arial" w:cs="Arial" w:eastAsia="Arial" w:hAnsi="Arial"/>
          <w:sz w:val="17"/>
          <w:szCs w:val="17"/>
          <w:color w:val="auto"/>
        </w:rPr>
        <w:t>joined Viasat in April 1999, serving as our Executive Vice President, Chief Financial Officer and Chief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from 2000 and as our Executive Vice President and Chief Operating Officer from 2002. Mr. Baldridge assumed his current role as President and Chief Operating Officer in 2003. Mr. Baldridge was elected to the Board of Directors of Viasat in 2016. In addition,</w:t>
      </w:r>
    </w:p>
    <w:p>
      <w:pPr>
        <w:spacing w:after="0" w:line="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Mr. Baldridge serves as a director of Ducommun Incorporated,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January 1998 to April 1999. From June 1994 to December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131" w:lineRule="exact"/>
        <w:rPr>
          <w:sz w:val="20"/>
          <w:szCs w:val="20"/>
          <w:color w:val="auto"/>
        </w:rPr>
      </w:pPr>
    </w:p>
    <w:p>
      <w:pPr>
        <w:ind w:right="280" w:firstLine="510"/>
        <w:spacing w:after="0" w:line="260" w:lineRule="auto"/>
        <w:rPr>
          <w:sz w:val="20"/>
          <w:szCs w:val="20"/>
          <w:color w:val="auto"/>
        </w:rPr>
      </w:pPr>
      <w:r>
        <w:rPr>
          <w:rFonts w:ascii="Arial" w:cs="Arial" w:eastAsia="Arial" w:hAnsi="Arial"/>
          <w:sz w:val="17"/>
          <w:szCs w:val="17"/>
          <w:i w:val="1"/>
          <w:iCs w:val="1"/>
          <w:color w:val="auto"/>
        </w:rPr>
        <w:t xml:space="preserve">Robert Blair </w:t>
      </w:r>
      <w:r>
        <w:rPr>
          <w:rFonts w:ascii="Arial" w:cs="Arial" w:eastAsia="Arial" w:hAnsi="Arial"/>
          <w:sz w:val="17"/>
          <w:szCs w:val="17"/>
          <w:color w:val="auto"/>
        </w:rPr>
        <w:t>joined Viasat in May 2008 as Assistant General Counsel. In April 2009, Mr. Blair was appointed Associate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Counsel and in 2014 was appointed Vice President and Deputy General Counsel. In May 2017, Mr. Blair assumed his current position as Vice President, General Counsel and Secretary. In addition, Mr. Blair has served as a director of the San Diego Regional Economic Development Corporation since 2015. Prior to joining Viasat, Mr. Blair was an associate at the law firm of Latham &amp; Watkins LLP. Mr. Blair holds a J.D. degree from Stanford University and A.B. degrees in Broadcast Journalism and Policy Studies from Syracuse University.</w:t>
      </w:r>
    </w:p>
    <w:p>
      <w:pPr>
        <w:spacing w:after="0" w:line="116" w:lineRule="exact"/>
        <w:rPr>
          <w:sz w:val="20"/>
          <w:szCs w:val="20"/>
          <w:color w:val="auto"/>
        </w:rPr>
      </w:pPr>
    </w:p>
    <w:p>
      <w:pPr>
        <w:ind w:right="40" w:firstLine="510"/>
        <w:spacing w:after="0" w:line="239" w:lineRule="auto"/>
        <w:rPr>
          <w:sz w:val="20"/>
          <w:szCs w:val="20"/>
          <w:color w:val="auto"/>
        </w:rPr>
      </w:pPr>
      <w:r>
        <w:rPr>
          <w:rFonts w:ascii="Arial" w:cs="Arial" w:eastAsia="Arial" w:hAnsi="Arial"/>
          <w:sz w:val="18"/>
          <w:szCs w:val="18"/>
          <w:i w:val="1"/>
          <w:iCs w:val="1"/>
          <w:color w:val="auto"/>
        </w:rPr>
        <w:t xml:space="preserve">Girish Chandran </w:t>
      </w:r>
      <w:r>
        <w:rPr>
          <w:rFonts w:ascii="Arial" w:cs="Arial" w:eastAsia="Arial" w:hAnsi="Arial"/>
          <w:sz w:val="18"/>
          <w:szCs w:val="18"/>
          <w:color w:val="auto"/>
        </w:rPr>
        <w:t>joined Viasat in October 2007 as a Principal Engineer. In September 2013, Mr. Chandran was appointed Chief</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Officer — Commercial Networks. In May 2017, he assumed his current position as Vice President and Chief Technical Officer. Mr. Chandran has extensive experience building multimedia networks. Prior to joining Viasat, from 2001 to 2007, Mr. Chandran served as Vice President of Engineering at Newtec America Inc., a satellite communications equipment provider. From 1995 to 2001, he held several roles, including Vice President of Systems Engineering, at Tiernan Communications Inc. (acquired by Radyne Comstream Inc.), a provider of video compression and transmission solutions. Mr. Chandran earned a Ph.D. degree in Electrical Engineering from the University of California, San Diego, an M.S. degree in Electrical Communication Engineering from the Indian Institute of Science and a BSc. degree in Physics from the University of Kerala.</w:t>
      </w:r>
    </w:p>
    <w:p>
      <w:pPr>
        <w:spacing w:after="0" w:line="133" w:lineRule="exact"/>
        <w:rPr>
          <w:sz w:val="20"/>
          <w:szCs w:val="20"/>
          <w:color w:val="auto"/>
        </w:rPr>
      </w:pPr>
    </w:p>
    <w:p>
      <w:pPr>
        <w:ind w:right="40" w:firstLine="510"/>
        <w:spacing w:after="0"/>
        <w:rPr>
          <w:sz w:val="20"/>
          <w:szCs w:val="20"/>
          <w:color w:val="auto"/>
        </w:rPr>
      </w:pPr>
      <w:r>
        <w:rPr>
          <w:rFonts w:ascii="Arial" w:cs="Arial" w:eastAsia="Arial" w:hAnsi="Arial"/>
          <w:sz w:val="18"/>
          <w:szCs w:val="18"/>
          <w:i w:val="1"/>
          <w:iCs w:val="1"/>
          <w:color w:val="auto"/>
        </w:rPr>
        <w:t xml:space="preserve">James Dodd </w:t>
      </w:r>
      <w:r>
        <w:rPr>
          <w:rFonts w:ascii="Arial" w:cs="Arial" w:eastAsia="Arial" w:hAnsi="Arial"/>
          <w:sz w:val="18"/>
          <w:szCs w:val="18"/>
          <w:color w:val="auto"/>
        </w:rPr>
        <w:t>joined Viasat in March 2020 as President, Global Mobile Solutions. Prior to joining Viasat, Mr. Dodd held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senior-level aviation management and engineering roles at Boeing, focused on complex Department of Defense and international contracted programs, overseeing strategic planning, execution, engineering and business development. Mr. Dodd was retired from October 2016 to February 2020, and at Boeing served as Vice President and Program Manager – Mobility, Surveillance and Engagement from 2015 to September 2016, Vice President and Program Manager – Weapons and Missile Systems from 2013 to 2014, and Vice President and Program Manager – Phantom Works, Advanced Boeing Military Aircraft from 2011 to 2012. Mr. Dodd earned an M.B.A. degree from Seattle University and a B.S. degree in Physics from Arkansas State University.</w:t>
      </w:r>
    </w:p>
    <w:p>
      <w:pPr>
        <w:spacing w:after="0" w:line="131" w:lineRule="exact"/>
        <w:rPr>
          <w:sz w:val="20"/>
          <w:szCs w:val="20"/>
          <w:color w:val="auto"/>
        </w:rPr>
      </w:pPr>
    </w:p>
    <w:p>
      <w:pPr>
        <w:ind w:right="160" w:firstLine="510"/>
        <w:spacing w:after="0" w:line="241" w:lineRule="auto"/>
        <w:rPr>
          <w:sz w:val="20"/>
          <w:szCs w:val="20"/>
          <w:color w:val="auto"/>
        </w:rPr>
      </w:pPr>
      <w:r>
        <w:rPr>
          <w:rFonts w:ascii="Arial" w:cs="Arial" w:eastAsia="Arial" w:hAnsi="Arial"/>
          <w:sz w:val="18"/>
          <w:szCs w:val="18"/>
          <w:i w:val="1"/>
          <w:iCs w:val="1"/>
          <w:color w:val="auto"/>
        </w:rPr>
        <w:t xml:space="preserve">Shawn Duffy </w:t>
      </w:r>
      <w:r>
        <w:rPr>
          <w:rFonts w:ascii="Arial" w:cs="Arial" w:eastAsia="Arial" w:hAnsi="Arial"/>
          <w:sz w:val="18"/>
          <w:szCs w:val="18"/>
          <w:color w:val="auto"/>
        </w:rPr>
        <w:t>joined Viasat in 2005 as Corporate Controller. In 2009, she was appointed Viasat’s Vice President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and in 2012 was appointed Vice President — Corporate Controller and Chief Accounting Officer. From August 2012 until April 2013, Ms. Duffy also served as interim Chief Financial Officer. She assumed her current position as Senior Vice President and Chief Financial Officer in June 2014. Prior to joining Viasat, Ms. Duffy was a Senior Manager at Ernst &amp; Young, LLP, serving the technology and consumer product markets. Ms. Duffy is a certified public accountant in the State of California, and earned a B.S.B.A. degree in Accounting from San Diego State University.</w:t>
      </w:r>
    </w:p>
    <w:p>
      <w:pPr>
        <w:spacing w:after="0" w:line="130" w:lineRule="exact"/>
        <w:rPr>
          <w:sz w:val="20"/>
          <w:szCs w:val="20"/>
          <w:color w:val="auto"/>
        </w:rPr>
      </w:pPr>
    </w:p>
    <w:p>
      <w:pPr>
        <w:ind w:right="260" w:firstLine="510"/>
        <w:spacing w:after="0" w:line="241" w:lineRule="auto"/>
        <w:rPr>
          <w:sz w:val="20"/>
          <w:szCs w:val="20"/>
          <w:color w:val="auto"/>
        </w:rPr>
      </w:pPr>
      <w:r>
        <w:rPr>
          <w:rFonts w:ascii="Arial" w:cs="Arial" w:eastAsia="Arial" w:hAnsi="Arial"/>
          <w:sz w:val="18"/>
          <w:szCs w:val="18"/>
          <w:i w:val="1"/>
          <w:iCs w:val="1"/>
          <w:color w:val="auto"/>
        </w:rPr>
        <w:t xml:space="preserve">Kevin Harkenrider </w:t>
      </w:r>
      <w:r>
        <w:rPr>
          <w:rFonts w:ascii="Arial" w:cs="Arial" w:eastAsia="Arial" w:hAnsi="Arial"/>
          <w:sz w:val="18"/>
          <w:szCs w:val="18"/>
          <w:color w:val="auto"/>
        </w:rPr>
        <w:t>joined Viasat in October 2006 as Director — Operations, served as Vice President — Operations from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2007 until December 2009, served as Vice President of Viasat and Chief Operating Officer of Viasat Communications Inc. from December 2009 to April 2011, as Senior Vice President — Infrastructure Operations from April 2011 to May 2012, as Senior Vice</w:t>
      </w:r>
    </w:p>
    <w:p>
      <w:pPr>
        <w:spacing w:after="0" w:line="2"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President — Broadband Services from May 2012 to May 2015, as Senior Vice President — Commercial Networks from May 2015 to May 2018, and as Senior Vice President and President, Broadband Systems from May 2018 until March 2020. Mr. Harkenrider assumed his current position as Executive Vice President –</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2" w:name="page23"/>
    <w:bookmarkEnd w:id="22"/>
    <w:p>
      <w:pPr>
        <w:ind w:right="120"/>
        <w:spacing w:after="0" w:line="237" w:lineRule="auto"/>
        <w:rPr>
          <w:sz w:val="20"/>
          <w:szCs w:val="20"/>
          <w:color w:val="auto"/>
        </w:rPr>
      </w:pPr>
      <w:r>
        <w:rPr>
          <w:rFonts w:ascii="Arial" w:cs="Arial" w:eastAsia="Arial" w:hAnsi="Arial"/>
          <w:sz w:val="18"/>
          <w:szCs w:val="18"/>
          <w:color w:val="auto"/>
        </w:rPr>
        <w:t>Global Operations and Chief Operations Officer in March 2020. Prior to joining Viasat, Mr. Harkenrider served as Account Executive at Computer Sciences Corporation from 2002 through October 2006. From 1992 to 2001, Mr. Harkenrider held several positions at BAE Systems, Mission Solutions (formerly GDE Systems, Marconi Integrated Systems and General Dynamics Corporation, Electronics Division), including Vice President and Program Director, Vice President — Operations and Vice President — Material. Prior to 1992, Mr. Harkenrider served in several director and program manager positions at General Dynamics Corporation. Mr. Harkenrider holds a B.S. degree in Civil Engineering from Union College and an M.B.A. degree from the University of Pittsburgh.</w:t>
      </w:r>
    </w:p>
    <w:p>
      <w:pPr>
        <w:spacing w:after="0" w:line="133" w:lineRule="exact"/>
        <w:rPr>
          <w:sz w:val="20"/>
          <w:szCs w:val="20"/>
          <w:color w:val="auto"/>
        </w:rPr>
      </w:pPr>
    </w:p>
    <w:p>
      <w:pPr>
        <w:ind w:right="40" w:firstLine="510"/>
        <w:spacing w:after="0" w:line="245" w:lineRule="auto"/>
        <w:rPr>
          <w:sz w:val="20"/>
          <w:szCs w:val="20"/>
          <w:color w:val="auto"/>
        </w:rPr>
      </w:pPr>
      <w:r>
        <w:rPr>
          <w:rFonts w:ascii="Arial" w:cs="Arial" w:eastAsia="Arial" w:hAnsi="Arial"/>
          <w:sz w:val="18"/>
          <w:szCs w:val="18"/>
          <w:i w:val="1"/>
          <w:iCs w:val="1"/>
          <w:color w:val="auto"/>
        </w:rPr>
        <w:t xml:space="preserve">Melinda Kimbro </w:t>
      </w:r>
      <w:r>
        <w:rPr>
          <w:rFonts w:ascii="Arial" w:cs="Arial" w:eastAsia="Arial" w:hAnsi="Arial"/>
          <w:sz w:val="18"/>
          <w:szCs w:val="18"/>
          <w:color w:val="auto"/>
        </w:rPr>
        <w:t>joined Viasat in 2001 as Manager of Learning and Development. In 2003 she began to assume a broader role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organization. In 2008 she was appointed Director of Human Resources and in 2011 was appointed Vice</w:t>
      </w:r>
    </w:p>
    <w:p>
      <w:pPr>
        <w:ind w:right="20"/>
        <w:spacing w:after="0" w:line="237" w:lineRule="auto"/>
        <w:rPr>
          <w:sz w:val="20"/>
          <w:szCs w:val="20"/>
          <w:color w:val="auto"/>
        </w:rPr>
      </w:pPr>
      <w:r>
        <w:rPr>
          <w:rFonts w:ascii="Arial" w:cs="Arial" w:eastAsia="Arial" w:hAnsi="Arial"/>
          <w:sz w:val="18"/>
          <w:szCs w:val="18"/>
          <w:color w:val="auto"/>
        </w:rPr>
        <w:t>President — Human Resources. In April 2016, she assumed the position of Senior Vice President — Human Resources, which was retitled Senior Vice President — People and Culture in April 2017. In May 2018, she was also named Chief People Officer. Ms. Kimbro currently serves on the board of trustees at the San Diego Museum of Art. Ms. Kimbro started her career teaching at San Diego State University within the School of Communication. Prior to joining Viasat she held roles in corporate learning and organizational development for Nicholas-Applegate Capital Management, Qualcomm Personal Electronics and Sony Electronics. Ms. Kimbro holds B.A. and M.A. degrees in Communication from San Diego State University.</w:t>
      </w:r>
    </w:p>
    <w:p>
      <w:pPr>
        <w:spacing w:after="0" w:line="133" w:lineRule="exact"/>
        <w:rPr>
          <w:sz w:val="20"/>
          <w:szCs w:val="20"/>
          <w:color w:val="auto"/>
        </w:rPr>
      </w:pPr>
    </w:p>
    <w:p>
      <w:pPr>
        <w:ind w:right="20" w:firstLine="510"/>
        <w:spacing w:after="0" w:line="239" w:lineRule="auto"/>
        <w:rPr>
          <w:sz w:val="20"/>
          <w:szCs w:val="20"/>
          <w:color w:val="auto"/>
        </w:rPr>
      </w:pPr>
      <w:r>
        <w:rPr>
          <w:rFonts w:ascii="Arial" w:cs="Arial" w:eastAsia="Arial" w:hAnsi="Arial"/>
          <w:sz w:val="18"/>
          <w:szCs w:val="18"/>
          <w:i w:val="1"/>
          <w:iCs w:val="1"/>
          <w:color w:val="auto"/>
        </w:rPr>
        <w:t xml:space="preserve">Keven Lippert </w:t>
      </w:r>
      <w:r>
        <w:rPr>
          <w:rFonts w:ascii="Arial" w:cs="Arial" w:eastAsia="Arial" w:hAnsi="Arial"/>
          <w:sz w:val="18"/>
          <w:szCs w:val="18"/>
          <w:color w:val="auto"/>
        </w:rPr>
        <w:t>joined Viasat in May 2000 as Associate General Counsel and Assistant Secretary. In April 2007, he was appointed</w:t>
      </w:r>
      <w:r>
        <w:rPr>
          <w:rFonts w:ascii="Arial" w:cs="Arial" w:eastAsia="Arial" w:hAnsi="Arial"/>
          <w:sz w:val="18"/>
          <w:szCs w:val="18"/>
          <w:i w:val="1"/>
          <w:iCs w:val="1"/>
          <w:color w:val="auto"/>
        </w:rPr>
        <w:t xml:space="preserve"> </w:t>
      </w:r>
      <w:r>
        <w:rPr>
          <w:rFonts w:ascii="Arial" w:cs="Arial" w:eastAsia="Arial" w:hAnsi="Arial"/>
          <w:sz w:val="18"/>
          <w:szCs w:val="18"/>
          <w:color w:val="auto"/>
        </w:rPr>
        <w:t>Viasat’s Vice President, General Counsel and Secretary, in 2012 he was appointed Senior Vice President — General Counsel and Secretary, and in June 2014 he was appointed Executive Vice President — General Counsel and Secretary. In May 2017, he was appointed President, Broadband Services and Chief Legal Officer, and in May 2018, he assumed the position as Executive Vice President, Corporate Development and Chief Administrative Officer. Effective September 2018, he assumed his current position as Executive Vice President, Strategic Initiatives and Chief Commercial Officer. Prior to joining Viasat, Mr. Lippert was a corporate associate at the law firm of Latham &amp; Watkins LLP. Mr. Lippert holds a J.D. degree from the University of Michigan and a B.S. degree in Business Administration from the University of California, Berkeley.</w:t>
      </w:r>
    </w:p>
    <w:p>
      <w:pPr>
        <w:spacing w:after="0" w:line="133" w:lineRule="exact"/>
        <w:rPr>
          <w:sz w:val="20"/>
          <w:szCs w:val="20"/>
          <w:color w:val="auto"/>
        </w:rPr>
      </w:pPr>
    </w:p>
    <w:p>
      <w:pPr>
        <w:ind w:firstLine="510"/>
        <w:spacing w:after="0" w:line="245" w:lineRule="auto"/>
        <w:rPr>
          <w:sz w:val="20"/>
          <w:szCs w:val="20"/>
          <w:color w:val="auto"/>
        </w:rPr>
      </w:pPr>
      <w:r>
        <w:rPr>
          <w:rFonts w:ascii="Arial" w:cs="Arial" w:eastAsia="Arial" w:hAnsi="Arial"/>
          <w:sz w:val="18"/>
          <w:szCs w:val="18"/>
          <w:i w:val="1"/>
          <w:iCs w:val="1"/>
          <w:color w:val="auto"/>
        </w:rPr>
        <w:t xml:space="preserve">Mark Miller </w:t>
      </w:r>
      <w:r>
        <w:rPr>
          <w:rFonts w:ascii="Arial" w:cs="Arial" w:eastAsia="Arial" w:hAnsi="Arial"/>
          <w:sz w:val="18"/>
          <w:szCs w:val="18"/>
          <w:color w:val="auto"/>
        </w:rPr>
        <w:t>is a founder of Viasat and served as Vice President and Chief Technical Officer of Viasat from March 1993 to June 2014,</w:t>
      </w:r>
      <w:r>
        <w:rPr>
          <w:rFonts w:ascii="Arial" w:cs="Arial" w:eastAsia="Arial" w:hAnsi="Arial"/>
          <w:sz w:val="18"/>
          <w:szCs w:val="18"/>
          <w:i w:val="1"/>
          <w:iCs w:val="1"/>
          <w:color w:val="auto"/>
        </w:rPr>
        <w:t xml:space="preserve"> </w:t>
      </w:r>
      <w:r>
        <w:rPr>
          <w:rFonts w:ascii="Arial" w:cs="Arial" w:eastAsia="Arial" w:hAnsi="Arial"/>
          <w:sz w:val="18"/>
          <w:szCs w:val="18"/>
          <w:color w:val="auto"/>
        </w:rPr>
        <w:t>when he assumed his current position as Executive Vice President and Chief Technical Officer. From 1986 through 1993, Mr. Miller served as Engineering Manager. Prior to joining Viasat, Mr. Miller was a Staff Engineer at M/A-COM Linkabit from 1983 to 1986. Mr. Miller holds a B.S.E.E. degree from the University of California, San Diego and an M.S.E.E. degree from the University of California, Los Angeles.</w:t>
      </w:r>
    </w:p>
    <w:p>
      <w:pPr>
        <w:spacing w:after="0" w:line="127"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i w:val="1"/>
          <w:iCs w:val="1"/>
          <w:color w:val="auto"/>
        </w:rPr>
        <w:t xml:space="preserve">Ken Peterman </w:t>
      </w:r>
      <w:r>
        <w:rPr>
          <w:rFonts w:ascii="Arial" w:cs="Arial" w:eastAsia="Arial" w:hAnsi="Arial"/>
          <w:sz w:val="18"/>
          <w:szCs w:val="18"/>
          <w:color w:val="auto"/>
        </w:rPr>
        <w:t>joined Viasat in April 2013 as Vice President — Government Systems. In June 2014, he was appointed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Government Systems, and in May 2017 Mr. Peterman assumed his current position as Senior Vice President and President — Government Systems. Mr. Peterman has over 40 years of experience in general management, systems engineering, strategic planning, portfolio management, and business leadership in the aerospace and defense industries. Previously, Mr. Peterman served as President and Chief Executive Officer of SpyGlass Group, a company he founded in 2012 to provide executive strategic advisory services to the aerospace and defense industries. From 2007 to July 2013, Mr. Peterman served as President of ITT/Exelis Communications and Force Protection Systems, which is a developer and provider of command, control, communications, computers, intelligence, surveillance and reconnaissance products and systems. Previously, Mr. Peterman was Vice President and General Manager of Rockwell Collins Government System’s Integrated C3 Systems and Rockwell Collins Displays and Awareness Systems. Mr. Peterman earned a B.S.E.E. degree from Tri-State University (now Trine), with high honors.</w:t>
      </w:r>
    </w:p>
    <w:p>
      <w:pPr>
        <w:spacing w:after="0" w:line="134" w:lineRule="exact"/>
        <w:rPr>
          <w:sz w:val="20"/>
          <w:szCs w:val="20"/>
          <w:color w:val="auto"/>
        </w:rPr>
      </w:pPr>
    </w:p>
    <w:p>
      <w:pPr>
        <w:ind w:firstLine="510"/>
        <w:spacing w:after="0" w:line="242" w:lineRule="auto"/>
        <w:rPr>
          <w:sz w:val="20"/>
          <w:szCs w:val="20"/>
          <w:color w:val="auto"/>
        </w:rPr>
      </w:pPr>
      <w:r>
        <w:rPr>
          <w:rFonts w:ascii="Arial" w:cs="Arial" w:eastAsia="Arial" w:hAnsi="Arial"/>
          <w:sz w:val="18"/>
          <w:szCs w:val="18"/>
          <w:i w:val="1"/>
          <w:iCs w:val="1"/>
          <w:color w:val="auto"/>
        </w:rPr>
        <w:t xml:space="preserve">David Ryan </w:t>
      </w:r>
      <w:r>
        <w:rPr>
          <w:rFonts w:ascii="Arial" w:cs="Arial" w:eastAsia="Arial" w:hAnsi="Arial"/>
          <w:sz w:val="18"/>
          <w:szCs w:val="18"/>
          <w:color w:val="auto"/>
        </w:rPr>
        <w:t>joined Viasat in May 2016 as Vice President — Intelligence Programs, and was appointed Vice President and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Viasat Commercial Networks in March 2019. Prior to joining Viasat, Mr. Ryan held several roles at Northrop Grumman Corporation from 2005 to 2014, including Sector Vice President and General Manager of the Intelligence Systems Division. He also served in various roles at Boeing from 1990 to 2005, including President of Boeing Space Systems International. Mr. Ryan currently serves as a director of Space Micro Inc., a satellite electronics product company. Mr. Ryan earned a B.S.E.E and an M.E.E degree from Rice University.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Are Difficult to Predict</w:t>
      </w:r>
    </w:p>
    <w:p>
      <w:pPr>
        <w:spacing w:after="0" w:line="85" w:lineRule="exact"/>
        <w:rPr>
          <w:sz w:val="20"/>
          <w:szCs w:val="20"/>
          <w:color w:val="auto"/>
        </w:rPr>
      </w:pPr>
    </w:p>
    <w:p>
      <w:pPr>
        <w:ind w:right="120" w:firstLine="510"/>
        <w:spacing w:after="0" w:line="246" w:lineRule="auto"/>
        <w:rPr>
          <w:sz w:val="20"/>
          <w:szCs w:val="20"/>
          <w:color w:val="auto"/>
        </w:rPr>
      </w:pPr>
      <w:r>
        <w:rPr>
          <w:rFonts w:ascii="Arial" w:cs="Arial" w:eastAsia="Arial" w:hAnsi="Arial"/>
          <w:sz w:val="18"/>
          <w:szCs w:val="18"/>
          <w:color w:val="auto"/>
        </w:rPr>
        <w:t>Our operating results have varied significantly from quarter to quarter in the past and may continue to do so in the future. The factors that cause our quarter-to-quarter operating results to be unpredictable include:</w:t>
      </w:r>
    </w:p>
    <w:p>
      <w:pPr>
        <w:spacing w:after="0" w:line="62" w:lineRule="exact"/>
        <w:rPr>
          <w:sz w:val="20"/>
          <w:szCs w:val="20"/>
          <w:color w:val="auto"/>
        </w:rPr>
      </w:pPr>
    </w:p>
    <w:p>
      <w:pPr>
        <w:ind w:left="1000" w:right="920" w:hanging="493"/>
        <w:spacing w:after="0" w:line="24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construction, launch or acquisition of satellites, the associated level of investment required and the impact of any construction or launch delays, operational or launch failures or other disruptions to our satellites;</w:t>
      </w:r>
    </w:p>
    <w:p>
      <w:pPr>
        <w:spacing w:after="0" w:line="48" w:lineRule="exact"/>
        <w:rPr>
          <w:rFonts w:ascii="Arial" w:cs="Arial" w:eastAsia="Arial" w:hAnsi="Arial"/>
          <w:sz w:val="18"/>
          <w:szCs w:val="18"/>
          <w:color w:val="auto"/>
        </w:rPr>
      </w:pPr>
    </w:p>
    <w:p>
      <w:pPr>
        <w:ind w:left="1000" w:right="580" w:hanging="493"/>
        <w:spacing w:after="0" w:line="24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uptake of our in-flight services by commercial airlines and number of aircraft being retrofitted or installed with our IFC systems;</w:t>
      </w:r>
    </w:p>
    <w:p>
      <w:pPr>
        <w:spacing w:after="0" w:line="48" w:lineRule="exact"/>
        <w:rPr>
          <w:rFonts w:ascii="Arial" w:cs="Arial" w:eastAsia="Arial" w:hAnsi="Arial"/>
          <w:sz w:val="18"/>
          <w:szCs w:val="18"/>
          <w:color w:val="auto"/>
        </w:rPr>
      </w:pPr>
    </w:p>
    <w:p>
      <w:pPr>
        <w:ind w:left="1000" w:right="920" w:hanging="493"/>
        <w:spacing w:after="0" w:line="24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varying subscriber addition, churn and ARPU rates for our fixed broadband business and mix of wholesale and retail subscribers;</w:t>
      </w:r>
    </w:p>
    <w:p>
      <w:pPr>
        <w:spacing w:after="0" w:line="48" w:lineRule="exact"/>
        <w:rPr>
          <w:rFonts w:ascii="Arial" w:cs="Arial" w:eastAsia="Arial" w:hAnsi="Arial"/>
          <w:sz w:val="18"/>
          <w:szCs w:val="18"/>
          <w:color w:val="auto"/>
        </w:rPr>
      </w:pPr>
    </w:p>
    <w:p>
      <w:pPr>
        <w:ind w:left="1000" w:right="380" w:hanging="493"/>
        <w:spacing w:after="0" w:line="24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complex and lengthy procurement process for most of our commercial networks and government systems customers and potential customers;</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levels of R&amp;D spending, including the effects of associated tax credits;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overruns on fixed-price development contracts;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difficulty in estimating costs over the life of a contract, which may require adjustment in future periods;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quantity and mix of products and services sold;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discounts given to some customers;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and the timing of availability of our new products and services;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customer payments for significant contracts;</w:t>
      </w:r>
    </w:p>
    <w:p>
      <w:pPr>
        <w:spacing w:after="0" w:line="76" w:lineRule="exact"/>
        <w:rPr>
          <w:rFonts w:ascii="Arial" w:cs="Arial" w:eastAsia="Arial" w:hAnsi="Arial"/>
          <w:sz w:val="18"/>
          <w:szCs w:val="18"/>
          <w:color w:val="auto"/>
        </w:rPr>
      </w:pPr>
    </w:p>
    <w:p>
      <w:pPr>
        <w:ind w:left="1000" w:right="180" w:hanging="493"/>
        <w:spacing w:after="0" w:line="24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one-time charges to operating income arising from items such as acquisition expenses, impairment of assets and write-offs of assets related to customer non-payments or obsolescence;</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to receive an expected order or a deferral of an order to a later period;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public health crises, such as the ongoing COVID-19 pandemic;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158" w:lineRule="exact"/>
        <w:rPr>
          <w:sz w:val="20"/>
          <w:szCs w:val="20"/>
          <w:color w:val="auto"/>
        </w:rPr>
      </w:pPr>
    </w:p>
    <w:p>
      <w:pPr>
        <w:ind w:right="160" w:firstLine="510"/>
        <w:spacing w:after="0" w:line="238" w:lineRule="auto"/>
        <w:rPr>
          <w:sz w:val="20"/>
          <w:szCs w:val="20"/>
          <w:color w:val="auto"/>
        </w:rPr>
      </w:pPr>
      <w:r>
        <w:rPr>
          <w:rFonts w:ascii="Arial" w:cs="Arial" w:eastAsia="Arial" w:hAnsi="Arial"/>
          <w:sz w:val="18"/>
          <w:szCs w:val="18"/>
          <w:color w:val="auto"/>
        </w:rPr>
        <w:t>Any of the foregoing factors, or any other factors discussed elsewhere herein, could have a material adverse effect on our business, financial condition and results of operations that could adversely affect our stock price. In addition, it is likely that in one or more future quarters our results may fall below the expectations of analysts and investors, which would likely cause the trading price of our common stock to decrease.</w:t>
      </w:r>
    </w:p>
    <w:p>
      <w:pPr>
        <w:spacing w:after="0" w:line="210"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color w:val="auto"/>
        </w:rPr>
        <w:t>Satellite Failures or Degradations in Satellite Performance Could Affect Our Business, Financial Condition and Results of Operations</w:t>
      </w:r>
    </w:p>
    <w:p>
      <w:pPr>
        <w:spacing w:after="0" w:line="27"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We own three satellites in service (ViaSat-2, ViaSat-1 and WildBlue-1) and lease or have access to capacity on multiple satellites. In addition, we have three ViaSat-3 class satellites under construction, two of which have entered the phase of full construction, and may construct, acquire or use additional satellites in the future. Satellites utilize highly complex technology and operate in the harsh environment of space and are subject to significant operational risks while in orbit. These risks include malfunctions (commonly referred to as anomalies), including malfunctions in the deployment of subsystems and/or components, interference from electrostatic storms, and collisions with meteoroids, decommissioned spacecraft or other space debris. Our satellites have experienced various anomalies in the past and we will likely experience anomalies in the future. Anomalies can occur as a result of various factors, such as:</w:t>
      </w:r>
    </w:p>
    <w:p>
      <w:pPr>
        <w:spacing w:after="0" w:line="54" w:lineRule="exact"/>
        <w:rPr>
          <w:sz w:val="20"/>
          <w:szCs w:val="20"/>
          <w:color w:val="auto"/>
        </w:rPr>
      </w:pPr>
    </w:p>
    <w:p>
      <w:pPr>
        <w:ind w:left="1000" w:right="60" w:hanging="493"/>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satellite manufacturer error, whether due to the use of new or largely unproven technology or due to a design, manufacturing or assembly defect that was not discovered before launch;</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with the power sub-system of the satellite;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6" w:right="419" w:bottom="1440" w:gutter="0" w:footer="0" w:header="0"/>
        </w:sectPr>
      </w:pPr>
    </w:p>
    <w:bookmarkStart w:id="24" w:name="page25"/>
    <w:bookmarkEnd w:id="24"/>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the control sub-system of the satellite; and</w:t>
      </w:r>
    </w:p>
    <w:p>
      <w:pPr>
        <w:spacing w:after="0" w:line="75" w:lineRule="exact"/>
        <w:rPr>
          <w:rFonts w:ascii="Arial" w:cs="Arial" w:eastAsia="Arial" w:hAnsi="Arial"/>
          <w:sz w:val="18"/>
          <w:szCs w:val="18"/>
          <w:color w:val="auto"/>
        </w:rPr>
      </w:pPr>
    </w:p>
    <w:p>
      <w:pPr>
        <w:ind w:left="1000" w:right="440" w:hanging="493"/>
        <w:spacing w:after="0" w:line="246"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failures resulting from operating satellites in the harsh space environment, such as premature component failure or wear.</w:t>
      </w:r>
    </w:p>
    <w:p>
      <w:pPr>
        <w:spacing w:after="0" w:line="143"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Any single anomaly or series of anomalies, or other operational failure or degradation, on any of the satellites we own and operate or use could have a material adverse effect on our operations and revenues and our relationships with current customers and distributors, as well as our ability to attract new customers for our satellite-based services. Anomalies may also reduce the expected useful life of a satellite, thereby creating additional expense due to the need to provide replacement or backup capacity and potentially reducing revenues if service is interrupted or degraded on the satellites we utilize. We may not be able to obtain backup capacity or a replacement satellite on reasonable economic terms, a reasonable schedule or at all. In addition, anomalies may also cause a reduction of the revenues generated by the applicable satellite or the recognition of an impairment loss, and in some circumstances could lead to claims from third parties for damages, for example, if a satellite experiencing an anomaly were to cause physical damage to another satellite, create interference to the transmissions on another satellite or cause another satellite operator to incur expenses to avoid such physical damage or interference. Finally, the occurrence of anomalies may adversely affect our ability to insure our satellites at commercially reasonable premiums or terms, if at all. While some anomalies are covered by insurance policies, others are not or may not be covered, or may be subject to large deductibles.</w:t>
      </w:r>
    </w:p>
    <w:p>
      <w:pPr>
        <w:spacing w:after="0" w:line="150"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Although our satellites have redundant or backup systems and components that operate in the event of an anomaly, operational failure or degradation of primary critical components, these redundant or backup systems and components are subject to risk of failure similar to those experienced by the primary systems and components. The occurrence of a failure of any of these redundant or backup systems and components could materially impair the useful life, capacity, coverage or operational capabilities of the satellite.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 Have a Finite Useful Life, and Their Actual Operational Life May Be Shorter than Their Design Life</w:t>
      </w:r>
    </w:p>
    <w:p>
      <w:pPr>
        <w:spacing w:after="0" w:line="99"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Our ability to earn revenues from our satellite services depends on the continued operation of the satellites we own and operate or use. Each satellite has a limited useful life, referred to as its design life. There can be no assurance as to the actual operational life of a satellite, which may be shorter than its design life. A number of factors affect the useful lives of the satellites, including, among other things, the quality of their design and construction, the durability of their component parts and back-up units, the ability to continue to maintain proper orbit and control over the satellite’s functions, the efficiency of the launch vehicle used, consumption of remaining on-board fuel following orbit insertion, degradation and durability of solar panels, the actual space environment experienced compared to the assumed space environment for which the satellites were designed and tested, and the occurrence of any anomaly or series of anomalies or other in-orbit risks affecting the satellite. In addition, continued improvements in satellite technology may make obsolete our existing satellites or any other satellite we may own or acquire in the future prior to the end of its life.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5" w:name="page26"/>
    <w:bookmarkEnd w:id="25"/>
    <w:p>
      <w:pPr>
        <w:ind w:right="380"/>
        <w:spacing w:after="0" w:line="271" w:lineRule="auto"/>
        <w:rPr>
          <w:sz w:val="20"/>
          <w:szCs w:val="20"/>
          <w:color w:val="auto"/>
        </w:rPr>
      </w:pPr>
      <w:r>
        <w:rPr>
          <w:rFonts w:ascii="Arial" w:cs="Arial" w:eastAsia="Arial" w:hAnsi="Arial"/>
          <w:sz w:val="18"/>
          <w:szCs w:val="18"/>
          <w:b w:val="1"/>
          <w:bCs w:val="1"/>
          <w:color w:val="auto"/>
        </w:rPr>
        <w:t>New or Proposed Satellites Are Subject to Significant Risks Related to Construction and Launch that Could Limit Our Ability to Utilize these Satellites</w:t>
      </w:r>
    </w:p>
    <w:p>
      <w:pPr>
        <w:spacing w:after="0" w:line="41" w:lineRule="exact"/>
        <w:rPr>
          <w:sz w:val="20"/>
          <w:szCs w:val="20"/>
          <w:color w:val="auto"/>
        </w:rPr>
      </w:pPr>
    </w:p>
    <w:p>
      <w:pPr>
        <w:ind w:right="80" w:firstLine="510"/>
        <w:spacing w:after="0" w:line="235" w:lineRule="auto"/>
        <w:rPr>
          <w:sz w:val="20"/>
          <w:szCs w:val="20"/>
          <w:color w:val="auto"/>
        </w:rPr>
      </w:pPr>
      <w:r>
        <w:rPr>
          <w:rFonts w:ascii="Arial" w:cs="Arial" w:eastAsia="Arial" w:hAnsi="Arial"/>
          <w:sz w:val="18"/>
          <w:szCs w:val="18"/>
          <w:color w:val="auto"/>
        </w:rPr>
        <w:t>We have three ViaSat-3 class satellites under construction, two of which have entered the phase of full construction, and may construct and launch additional satellites in the future. The design and construction of satellites require significant investments of capital and management time. Satellite construction and launch are also subject to significant risks, including construction delays, manufacturer error, cost overruns, regulatory conditions or delays, unavailability of launch opportunities, launch failure, damage or destruction during launch and improper orbital placement, any of which could result in significant additional cost or materially impair the useful life, capacity, coverage or operational capabilities of the satellite. Unlike our ViaSat-1 and ViaSat-2 satellites, which were constructed in their entirety by the satellite manufacturer, we construct the payload for our ViaSat-3 class satellites ourselves at our own facilities, with Boeing then integrating the completed payload into the satellite bus at their facilities. Moreover, the technologies in our ViaSat-3 satellite design are very complex, and there can be no assurance that the technologies will work as we expect or that we will realize any or all of the anticipated benefits of our ViaSat-3 satellite design. Difficulties or delays in the construction or integration of the payload for our ViaSat-3 class satellites or the implementation of our ViaSat-3 satellite design could adversely affect our business plan for these satellites and result in significant additional cost. We have in the past identified construction-related issues in our satellites. For example, our ViaSat-2 satellite experienced an antenna deployment issue which reduced its output capabilities as compared to the anticipated, potential and configured capacity of the satellite. We have also experienced delays in satellite construction and launch, such as the delay that occurred in the launch of our ViaSat-2 satellite caused by civil unrest in French Guiana (the location of the satellite launch). If satellite construction schedules are not met or other events prevent satellite launch on schedule, a launch opportunity may not be available at the time the satellite is ready to be launched. In addition, delays in construction or launch could impact our ability to meet milestone conditions in our satellite authorizations and/or to maintain the rights we may enjoy under various ITU filings. A significant delay in the construction, delivery or launch of a satellite may have a material adverse effect on our operations or our business plan for the satellite.</w:t>
      </w:r>
    </w:p>
    <w:p>
      <w:pPr>
        <w:spacing w:after="0" w:line="159"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Satellites are also subject to certain risks related to failed launches. Launch failures result in significant delays in the deployment of satellites because of the need both to construct replacement satellites, which can take up to 36 months or longer, and to obtain other launch opportunities. Such significant delays could have a material adverse effect on our business, financial condition and results of operations. The overall historical loss rate in the satellite industry for all launches of commercial satellites in fixed orbits in the last five years is estimated by some industry participants to be approximately 3% but could at any time be higher. Launch vehicles may also under perform, in which case the satellite may still be able to be placed into service by using its onboard propulsion systems to reach the desired orbital location, but this would cause a reduction in its useful life. Moreover, even if launch is successful, following launch the satellite will need to reach its desired orbital location and undergo in-orbit testing and there can be no assurance that the satellite will successfully reach its geostationary orbital slot and pass in-orbit testing prior to transfer of control of the satellite to us. The failure to implement our satellite deployment plan on schedule could have a material adverse effect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Satellite Losses May Not Be Fully Covered By Insurance, or at All</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We currently hold pre-launch insurance for the payloads for our first two ViaSat-3 satellites and in-orbit insurance for our ViaSat-2, ViaSat-1, WildBlue-1 and Anik F2, satellites. We intend to seek pre-launch insurance for our third ViaSat-3 satellite and launch and in-orbit insurance for all of our ViaSat-3 satellites and any satellite we may construct or acquire in the future. However, we may not be able to obtain insurance, or renew existing insurance, for our satellites on reasonable economic terms or at all. If we are able to obtain or renew our insurance, it may contain customary exclusions and exclusions for past satellite anomalies. A failure to obtain or renew our satellite insurance may also result in a default under our debt instruments. In addition, the occurrence of any anomalies on other satellites, including other Ka-band satellites, or any failures of a satellite using similar components or failures of a similar launch vehicle to any launch vehicle we intend to use for any future satellite (including our ViaSat-3 class satellites), may materially adversely affect our ability to insure the satellites at commercially reasonable premiums or terms, if at all.</w:t>
      </w:r>
    </w:p>
    <w:p>
      <w:pPr>
        <w:spacing w:after="0" w:line="153"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The policies covering our insured satellites will not cover the full cost of constructing and launching or replacing a satellite nor fully cover our losses in the event of a satellite failure or significant degradation. Moreover, such policies do not cover, and we do not have protection against, lost profits, business interruptions, fixed operating expenses, loss of business or similar losses, including contractual payments that we may be required to make under our agreements with our customers for interruptions or degradations in service. Our insurance contains customary exclusions, material change and other conditions that could limit recovery under those policies. Further, any insurance proceeds may not be received on a timely basis in order to launch a spare satellite or construct and launch a replacement satellite or take other remedial measures. In addition, the policies are subject to limitations involving uninsured losses, large satellite performance deductibles and policy limits.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The COVID-19 Pandemic Could Have a Material Adverse Effect on Our Business, Financial Condition and Results of Operations</w:t>
      </w:r>
    </w:p>
    <w:p>
      <w:pPr>
        <w:spacing w:after="0" w:line="9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In March 2020, COVID-19 was declared a pandemic by the World Health Organization and a national emergency by the U.S. Government. The COVID-19 pandemic has created significant volatility, uncertainty and economic disruption, which may materially and adversely affect our business, financial condition, results of operations and cash flows. We are closely monitoring the impact of the COVID-19 pandemic on all aspects of our business and geographies, including how it impacts our employees, suppliers, customers and partners and the overall economy.</w:t>
      </w:r>
    </w:p>
    <w:p>
      <w:pPr>
        <w:spacing w:after="0" w:line="148" w:lineRule="exact"/>
        <w:rPr>
          <w:sz w:val="20"/>
          <w:szCs w:val="20"/>
          <w:color w:val="auto"/>
        </w:rPr>
      </w:pPr>
    </w:p>
    <w:p>
      <w:pPr>
        <w:ind w:right="20" w:firstLine="510"/>
        <w:spacing w:after="0" w:line="235" w:lineRule="auto"/>
        <w:rPr>
          <w:sz w:val="20"/>
          <w:szCs w:val="20"/>
          <w:color w:val="auto"/>
        </w:rPr>
      </w:pPr>
      <w:r>
        <w:rPr>
          <w:rFonts w:ascii="Arial" w:cs="Arial" w:eastAsia="Arial" w:hAnsi="Arial"/>
          <w:sz w:val="18"/>
          <w:szCs w:val="18"/>
          <w:color w:val="auto"/>
        </w:rPr>
        <w:t>Our management is focused on mitigating the effects of the COVID-19 pandemic, which has required and will continue to require a large investment of time and resources across our business. The extent to which the COVID-19 pandemic impacts us will depend on numerous evolving factors and future developments, which are highly uncertain and cannot be predicted with confidence, including: the duration, scope and severity of the pandemic; actions taken to contain or mitigate its impact and their effectiveness; impacts on our supply chain (including shortages of component parts or constrained manufacturing capacity); the impact of the pandemic on economic activity; the extent and duration of the pandemic’s effect on customer demand and buying patterns; the impact of the pandemic on demand for global air or cruise ship travel and the extent and duration of the grounding of aircraft; a reduction in government spending in response to the COVID-19 pandemic or a prioritization of healthcare and unemployment spending over defense expenditures; the health of and the effect on our workforce and our ability to meet staffing needs in our businesses and facilities (particularly if members of our workforce are quarantined as a result of exposure); any impairment in value of our tangible or intangible assets which could be recorded as a result of a weaker economic conditions; and the potential effects on our internal controls, including those over financial reporting, as a result of changes in working environments such as shelter-in-place and similar orders that are applicable to our employees and business partners, among others. In addition, if the pandemic continues to create disruptions or turmoil in the credit or financial markets, or impacts our credit ratings, it could adversely affect our ability to access capital on favorable terms and continue to meet our liquidity needs, all of which are highly uncertain and cannot be predicted. Additionally, currently many of our employees are working remotely. An extended period of remote work arrangements could strain our business continuity plans, introduce operational risk, including but not limited to cyber security risks, and impair productivity or our ability to manage our business. In addition, we cannot predict the impact that COVID-19 will have on our communities, suppliers, subcontractors, distributors, resellers or customers. For example, the conditions caused by the COVID-19 pandemic could adversely affect our customers’ ability or willingness to purchase our products or services or to make payments on existing contracts with us, delay prospective customers’ purchasing decisions, delay the provisioning of our offerings, lengthen payment terms or affect attrition rates, all of which could adversely affect our results of operations and overall financial performance. The impact of COVID-19 may also exacerbate other risks discussed under the heading “Risk Factors” and elsewhere in this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Markets in Which We Compete Are Highly Competitive and Our Competitors May Have Greater Resources than Us</w:t>
      </w:r>
    </w:p>
    <w:p>
      <w:pPr>
        <w:spacing w:after="0" w:line="85"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markets in which we compete are highly competitive and competition is increasing. In addition, because the markets in which we operate are constantly evolving and characterized by rapid technological change, it is difficult for us to predict whether, when and by whom new competing technologies, products or services may be introduced into our markets. Currently, we face substantial competition in each of our business segments. In our satellite services segment, we face competition for fixed broadband services both from existing competitors and emerging technologies. Our fixed broadband service offerings compete with broadband service offerings from wireline and wireless telecommunications companies, cable companies, satellite companies and internet service providers. Many of our competitors are larger than us, have substantial capital resources, have greater brand recognition, have access to spectrum or technologies not available to us, or are able to offer bundled service offerings that we are not able to duplicate, all of which may reduce demand for our broadband services. In addition, the broadband services market continues to see industry consolidation and vertical integration which may enable our competitors to provide competing services to broader customer segments. New entrants, some with significant financial resources, and new emerging technologies (including 5G, LEO and MEO constellations) may compete with our broadband service offerings. Additionally, wireless telecommunications carriers such as AT&amp;T, T-Mobile and Verizon are currently offering unlimited data plans that could attract our existing and future fixed broadband subscribers. Our IFC and W-IFE service offerings compete against air-to-ground mobile services and other satellite-based services, such as the services offered by Global Eagle Entertainment, Gogo, Inmarsat and Panasonic Avionics Corporation, and in the future may compete against companies pursuing LEO and MEO constellations. In our commercial networks segment, we compete with numerous other providers of satellite and terrestrial communications systems, products and equipment, including: Airbus, CPI Antenna Systems Division, Comtech, EchoStar (Hughes Network Systems), General Dynamics, Gilat, iDirect Technologies, L3Harris, Newtec, Panasonic, Safran Aerosystems, Space Systems/Loral (SS/L) (MAXAR) and Thales. In addition, some of our customers continuously evaluate whether to develop and manufacture their own products and could elect to compete with us at any time. Within our government systems segment, we generally compete with government communications services providers and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7" w:name="page28"/>
    <w:bookmarkEnd w:id="27"/>
    <w:p>
      <w:pPr>
        <w:spacing w:after="0" w:line="236" w:lineRule="auto"/>
        <w:rPr>
          <w:sz w:val="20"/>
          <w:szCs w:val="20"/>
          <w:color w:val="auto"/>
        </w:rPr>
      </w:pPr>
      <w:r>
        <w:rPr>
          <w:rFonts w:ascii="Arial" w:cs="Arial" w:eastAsia="Arial" w:hAnsi="Arial"/>
          <w:sz w:val="18"/>
          <w:szCs w:val="18"/>
          <w:color w:val="auto"/>
        </w:rPr>
        <w:t>manufacturers of defense electronics products, systems or subsystems, such as BAE Systems, Collins Aerospace, General Dynamics, Inmarsat, Intelsat, L3Harris and similar companies. We may also compete directly with the largest defense prime contractors, including Boeing, Lockheed Martin, Northrop Grumman and Raytheon Technologies Corporation. Many of our competitors in our commercial networks and government systems segments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 Our ability to compete in each of our segments may also be adversely affected by limits on our capital resources and our ability to invest in maintaining and expanding our market share.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Broadband Services Business Strategy May Not Succeed in the Long Term</w:t>
      </w:r>
    </w:p>
    <w:p>
      <w:pPr>
        <w:spacing w:after="0" w:line="85"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A major element of our broadband services business strategy is to utilize our proprietary high-capacity Ka-band satellite systems to continue to expand our provision of a diverse portfolio of high-speed broadband services around the globe. We may be unsuccessful in implementing our business plan for our broadband services business, or we may not be able to achieve the revenues that we expect from our broadband services business. Any failure to realize our anticipated benefits of our high-capacity Ka-band satellites, to attract a sufficient number of distributors or customers for our fixed broadband services and in-flight services, to expand our broadband services business internationally or to grow our subscriber base for fixed broadband services or the number of commercial airlines utilizing our IFC systems as quickly as we anticipate, may have a material adverse effect on our business, financial condition or results of operations.</w:t>
      </w:r>
    </w:p>
    <w:p>
      <w:pPr>
        <w:spacing w:after="0" w:line="149" w:lineRule="exact"/>
        <w:rPr>
          <w:sz w:val="20"/>
          <w:szCs w:val="20"/>
          <w:color w:val="auto"/>
        </w:rPr>
      </w:pPr>
    </w:p>
    <w:p>
      <w:pPr>
        <w:ind w:right="60" w:firstLine="510"/>
        <w:spacing w:after="0" w:line="235" w:lineRule="auto"/>
        <w:rPr>
          <w:sz w:val="20"/>
          <w:szCs w:val="20"/>
          <w:color w:val="auto"/>
        </w:rPr>
      </w:pPr>
      <w:r>
        <w:rPr>
          <w:rFonts w:ascii="Arial" w:cs="Arial" w:eastAsia="Arial" w:hAnsi="Arial"/>
          <w:sz w:val="18"/>
          <w:szCs w:val="18"/>
          <w:color w:val="auto"/>
        </w:rPr>
        <w:t>In connection with the development of any new generation satellite design, and the launch of any new satellite and the commencement of the related service, we expect to incur additional operating costs that negatively impact our financial results. For example, when ViaSat-2 was placed in service in the fourth quarter of fiscal year 2018, this resulted in additional operating costs in fiscal year 2019 in our satellite services segment.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service. We have also incurred significant IR&amp;D investments relating to our ViaSat-3 class satellites currently under construction, which negatively impacted our financial results in our commercial networks segment in fiscal year 2018 in particular (with total IR&amp;D expenses in fiscal year 2018 reaching $168.3 million). We expect to continue to invest in IR&amp;D at a significant level as we continue our focus on leadership and innovation in satellite and space technologies, although the level of investment in a given fiscal year will depend on a variety of factors, including the stage of development of our satellite projects, new market opportunities and our overall operating performance. If our business strategy for our satellite services segment does not succeed, we may be unable to recover our significant investments in our high-capacity Ka-band satellites, which could have a material adverse impact on our business, financial condition or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or Maintain Required Authorizations or Contractual Arrangements</w:t>
      </w:r>
    </w:p>
    <w:p>
      <w:pPr>
        <w:spacing w:after="0" w:line="99"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Various types of U.S. domestic and international authorizations and contractual arrangements are required in connection with the products and services that we provide. See “Regulatory Environment.” Compliance with certain laws, regulations, conditions and other requirements, including the payment of fees, may be required to maintain the rights provided by such authorizations, including the rights to operate satellite networks at certain orbital slots in certain radio frequencies. Failure to comply with such requirements, or comply in a timely manner, could lead to the loss of such authorizations and could have a material adverse impact on our business, financial condition and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8" w:name="page29"/>
    <w:bookmarkEnd w:id="28"/>
    <w:p>
      <w:pPr>
        <w:ind w:right="20" w:firstLine="510"/>
        <w:spacing w:after="0" w:line="251" w:lineRule="auto"/>
        <w:rPr>
          <w:sz w:val="20"/>
          <w:szCs w:val="20"/>
          <w:color w:val="auto"/>
        </w:rPr>
      </w:pPr>
      <w:r>
        <w:rPr>
          <w:rFonts w:ascii="Arial" w:cs="Arial" w:eastAsia="Arial" w:hAnsi="Arial"/>
          <w:sz w:val="17"/>
          <w:szCs w:val="17"/>
          <w:color w:val="auto"/>
        </w:rPr>
        <w:t>We currently hold authorizations to, among other things, operate various satellite earth stations (including but not limited to user terminals, facilities that interconnect with the internet backbone, and network hubs) and operate satellite space stations and/or use those space stations to provide service to certain jurisdictions. Such authorizations are conditioned upon meeting certain milestone conditions and/or due diligence requirements, which if not met could result in loss of the authorization. In addition, while we anticipate that these authorizations will be renewed in the ordinary course to the extent that they otherwise would expire, or replaced by authorizations covering more advanced facilities, we can provide no assurance that this will be the case. Our inability to timely obtain or maintain such authorizations could delay or preclude our operation of such satellites or our provision of products and services that rely upon such satellites. Further, changes to the laws and regulations under which we operate could adversely affect our ability to obtain or maintain authorizations. Any of these circumstances could have a material adverse impact on our business, financial condition and results of operations.</w:t>
      </w:r>
    </w:p>
    <w:p>
      <w:pPr>
        <w:spacing w:after="0" w:line="145"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spacecraft we use in our business are subject to the regulatory authority of, and conditions imposed by, foreign governments, as well as contractual arrangements with third parties and the regulations and procedures of the ITU governing access to orbital and spectrum rights and the international coordination of satellite networks.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Our ViaSat-2 satellite operates under the authority of the United Kingdom.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maintaining their respective governmental rights on which our operating rights are based. The use of these spacecraft in our business is subject to various conditions in the underlying authorizations held by us, ManSat Limited and Telesat Canada, as well as the requirements of the laws and regulations of those jurisdictions. Any failure to meet these types of requirements in a timely manner, maintain our contractual arrangements, obtain or maintain our authorizations, or manage potential conflicts with the orbital slot rights afforded to third parties, could lead to us losing our rights to operate from these orbital locations or may otherwise require us to modify or limit our operations from these locations, which could materially adversely affect our ability to operate a satellite at full capacity or at all, and could have a material adverse impact on our business, financial condition and results of operations.</w:t>
      </w:r>
    </w:p>
    <w:p>
      <w:pPr>
        <w:spacing w:after="0" w:line="205"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color w:val="auto"/>
        </w:rPr>
        <w:t>The Global Business Environment and Economic Conditions Could Negatively Affect Our Business, Financial Condition and Results of Operations</w:t>
      </w:r>
    </w:p>
    <w:p>
      <w:pPr>
        <w:spacing w:after="0" w:line="41" w:lineRule="exact"/>
        <w:rPr>
          <w:sz w:val="20"/>
          <w:szCs w:val="20"/>
          <w:color w:val="auto"/>
        </w:rPr>
      </w:pPr>
    </w:p>
    <w:p>
      <w:pPr>
        <w:ind w:right="40" w:firstLine="510"/>
        <w:spacing w:after="0" w:line="235" w:lineRule="auto"/>
        <w:rPr>
          <w:sz w:val="20"/>
          <w:szCs w:val="20"/>
          <w:color w:val="auto"/>
        </w:rPr>
      </w:pPr>
      <w:r>
        <w:rPr>
          <w:rFonts w:ascii="Arial" w:cs="Arial" w:eastAsia="Arial" w:hAnsi="Arial"/>
          <w:sz w:val="18"/>
          <w:szCs w:val="18"/>
          <w:color w:val="auto"/>
        </w:rPr>
        <w:t>Our business and operating results are affected by the global business environment and economic conditions, including changes in interest rates, consumer credit conditions, consumer debt levels, consumer confidence, rates of inflation, unemployment rates, energy costs, geopolitical issues and other macro-economic factors. For example, high unemployment levels or energy costs may impact our consumer customer base in our satellite services segment by reducing consumers’ discretionary income and affecting their ability to subscribe for our broadband services. Our commercial networks segment similarly depends on the economic health and willingness of our customers and potential customers to make and adhere to capital and financial commitments to purchase our products and services. During periods of slowing global economic growth or recession, our customers or key suppliers may experience deterioration of their businesses, cash flow shortages and difficulty obtaining financing or insolvency. Existing or potential customers may reduce or postpone spending in response to tighter credit, reduced consumer demand, negative financial news or declines in income or asset values, which could have a material negative effect on the demand for our products and services. For example, the business and financial condition of our commercial airline customers, which represented less than 10% of our total revenues for fiscal year 2020, may be materially impacted by disruptions to global air travel caused by the outbreak of COVID-19. In addition, natural disasters, political instability, civil unrest, terrorist activity, acts of war, and public health issues such as pandemics or epidemics could have the effect of disrupting supplies and raising prices globally which, in turn, may have adverse effects on the world and U.S. economies. Any of these factors could result in reduced demand for, and pricing pressure on, our products and services, which could lead to a reduction in our revenues and adversely affect our business, financial condition and results of operations.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29" w:name="page30"/>
    <w:bookmarkEnd w:id="29"/>
    <w:p>
      <w:pPr>
        <w:ind w:right="120" w:firstLine="510"/>
        <w:spacing w:after="0" w:line="238" w:lineRule="auto"/>
        <w:rPr>
          <w:sz w:val="20"/>
          <w:szCs w:val="20"/>
          <w:color w:val="auto"/>
        </w:rPr>
      </w:pPr>
      <w:r>
        <w:rPr>
          <w:rFonts w:ascii="Arial" w:cs="Arial" w:eastAsia="Arial" w:hAnsi="Arial"/>
          <w:sz w:val="18"/>
          <w:szCs w:val="18"/>
          <w:color w:val="auto"/>
        </w:rPr>
        <w:t>In addition, U.S. credit and capital markets have experienced significant dislocations and liquidity disruptions from time to time. Uncertainty or volatility in credit or capital markets may negatively impact our ability to access additional debt or equity financing or to refinance existing indebtedness in the future on favorable terms or at all. Any of these risks could impair our ability to fund our operations or limit our ability to expand our business, which could have a material adverse effect on our business, financial condition and results of operations.</w:t>
      </w:r>
    </w:p>
    <w:p>
      <w:pPr>
        <w:spacing w:after="0" w:line="148"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outbreak of COVID-19, a highly contagious coronavirus, has been declared a “Public Health Emergency of International Concern” by the World Health Organization and has resulted in a widespread health crisis that is adversely affecting the economies and financial markets of many countries, including the United States, and contributing to significant volatility in equity and debt markets, and may result in an economic downturn or recession. As COVID-19 continues to spread, the potential impacts, including a global, regional or other economic recession, are increasingly uncertain and difficult to assess. The extent of the impact of the COVID-19 pandemic on our business will depend on many factors, including the duration and scope of the public health emergency, the extent, duration and effectiveness of containment actions taken, the extent of its disruption to important global, regional and local supply chains and economic markets and the impact of the pandemic on overall supply and demand, consumer confidence, discretionary spending levels and levels of economic activity.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Joint Ventures and Other Strategic Alliances May Have an Adverse Effect on Our Business</w:t>
      </w:r>
    </w:p>
    <w:p>
      <w:pPr>
        <w:spacing w:after="0" w:line="99"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In order to position ourselves to take advantage of growth opportunities, from time to time we make strategic acquisitions and enter into joint ventures and other strategic alliances that involve significant risks and uncertainties. Risks and uncertainties relating to acquisitions, joint ventures and other strategic alliances include:</w:t>
      </w:r>
    </w:p>
    <w:p>
      <w:pPr>
        <w:spacing w:after="0" w:line="54" w:lineRule="exact"/>
        <w:rPr>
          <w:sz w:val="20"/>
          <w:szCs w:val="20"/>
          <w:color w:val="auto"/>
        </w:rPr>
      </w:pPr>
    </w:p>
    <w:p>
      <w:pPr>
        <w:ind w:left="1000" w:right="100" w:hanging="493"/>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difficulty in integrating and managing newly acquired businesses or any businesses of a joint venture or strategic alliance in an efficient and effective manner;</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such transactions;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of diverting our resources and the attention of our senior management from the operations of our business;</w:t>
      </w:r>
    </w:p>
    <w:p>
      <w:pPr>
        <w:spacing w:after="0" w:line="76" w:lineRule="exact"/>
        <w:rPr>
          <w:rFonts w:ascii="Arial" w:cs="Arial" w:eastAsia="Arial" w:hAnsi="Arial"/>
          <w:sz w:val="18"/>
          <w:szCs w:val="18"/>
          <w:color w:val="auto"/>
        </w:rPr>
      </w:pPr>
    </w:p>
    <w:p>
      <w:pPr>
        <w:ind w:left="1000" w:right="120" w:hanging="493"/>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demands on management related to the increase in the size and scope of our company following an acquisition or to the complexities of a joint venture or strategic alliance;</w:t>
      </w:r>
    </w:p>
    <w:p>
      <w:pPr>
        <w:spacing w:after="0" w:line="48" w:lineRule="exact"/>
        <w:rPr>
          <w:rFonts w:ascii="Arial" w:cs="Arial" w:eastAsia="Arial" w:hAnsi="Arial"/>
          <w:sz w:val="18"/>
          <w:szCs w:val="18"/>
          <w:color w:val="auto"/>
        </w:rPr>
      </w:pPr>
    </w:p>
    <w:p>
      <w:pPr>
        <w:ind w:left="1000" w:right="360" w:hanging="493"/>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that the targeted markets do not evolve as anticipated and the technologies acquired or the joint venture or strategic alliance entered into do not prove to be those needed to be successful in those markets;</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combining or managing different corporate cultures;</w:t>
      </w:r>
    </w:p>
    <w:p>
      <w:pPr>
        <w:spacing w:after="0" w:line="76" w:lineRule="exact"/>
        <w:rPr>
          <w:rFonts w:ascii="Arial" w:cs="Arial" w:eastAsia="Arial" w:hAnsi="Arial"/>
          <w:sz w:val="18"/>
          <w:szCs w:val="18"/>
          <w:color w:val="auto"/>
        </w:rPr>
      </w:pPr>
    </w:p>
    <w:p>
      <w:pPr>
        <w:ind w:left="1000" w:right="700" w:hanging="493"/>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key employees and in maintaining relationships with present and potential customers, distributors and suppliers of an acquired business;</w:t>
      </w:r>
    </w:p>
    <w:p>
      <w:pPr>
        <w:spacing w:after="0" w:line="48" w:lineRule="exact"/>
        <w:rPr>
          <w:rFonts w:ascii="Arial" w:cs="Arial" w:eastAsia="Arial" w:hAnsi="Arial"/>
          <w:sz w:val="18"/>
          <w:szCs w:val="18"/>
          <w:color w:val="auto"/>
        </w:rPr>
      </w:pPr>
    </w:p>
    <w:p>
      <w:pPr>
        <w:ind w:left="1000" w:right="380" w:hanging="493"/>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lack of unilateral control over a joint venture or strategic alliance and the risk that joint venture or strategic partners have business goals and interests that are not aligned with ours;</w:t>
      </w:r>
    </w:p>
    <w:p>
      <w:pPr>
        <w:spacing w:after="0" w:line="48" w:lineRule="exact"/>
        <w:rPr>
          <w:rFonts w:ascii="Arial" w:cs="Arial" w:eastAsia="Arial" w:hAnsi="Arial"/>
          <w:sz w:val="18"/>
          <w:szCs w:val="18"/>
          <w:color w:val="auto"/>
        </w:rPr>
      </w:pPr>
    </w:p>
    <w:p>
      <w:pPr>
        <w:ind w:left="1000" w:right="400" w:hanging="493"/>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of a joint venture or strategic partner to satisfy its obligations or the bankruptcy or malfeasance of such person or entity;</w:t>
      </w:r>
    </w:p>
    <w:p>
      <w:pPr>
        <w:spacing w:after="0" w:line="48" w:lineRule="exact"/>
        <w:rPr>
          <w:rFonts w:ascii="Arial" w:cs="Arial" w:eastAsia="Arial" w:hAnsi="Arial"/>
          <w:sz w:val="18"/>
          <w:szCs w:val="18"/>
          <w:color w:val="auto"/>
        </w:rPr>
      </w:pPr>
    </w:p>
    <w:p>
      <w:pPr>
        <w:ind w:left="1000" w:right="220" w:hanging="493"/>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 of an acquired business or with respect to any joint venture or strategic alliance;</w:t>
      </w:r>
    </w:p>
    <w:p>
      <w:pPr>
        <w:spacing w:after="0" w:line="48" w:lineRule="exact"/>
        <w:rPr>
          <w:rFonts w:ascii="Arial" w:cs="Arial" w:eastAsia="Arial" w:hAnsi="Arial"/>
          <w:sz w:val="18"/>
          <w:szCs w:val="18"/>
          <w:color w:val="auto"/>
        </w:rPr>
      </w:pPr>
    </w:p>
    <w:p>
      <w:pPr>
        <w:ind w:left="1000" w:right="36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difficulties or unexpected costs in the integration, assimilation, implementation or modification of platforms, systems, functions, technologies and infrastructure to support the combined business, joint venture or strategic alliance, as well as maintaining uniform standards, controls (including internal accounting controls), procedures and policies;</w:t>
      </w:r>
    </w:p>
    <w:p>
      <w:pPr>
        <w:spacing w:after="0" w:line="5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that we do not realize a satisfactory return on our investments;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that funding requirements may be significantly greater than anticipated;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risks of entering markets in which we have less experience;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risks of potential disputes concerning indemnities and other obligations that could result in substantial costs.</w:t>
      </w:r>
    </w:p>
    <w:p>
      <w:pPr>
        <w:spacing w:after="0" w:line="171" w:lineRule="exact"/>
        <w:rPr>
          <w:sz w:val="20"/>
          <w:szCs w:val="20"/>
          <w:color w:val="auto"/>
        </w:rPr>
      </w:pPr>
    </w:p>
    <w:p>
      <w:pPr>
        <w:ind w:right="80" w:firstLine="510"/>
        <w:spacing w:after="0"/>
        <w:rPr>
          <w:sz w:val="20"/>
          <w:szCs w:val="20"/>
          <w:color w:val="auto"/>
        </w:rPr>
      </w:pPr>
      <w:r>
        <w:rPr>
          <w:rFonts w:ascii="Arial" w:cs="Arial" w:eastAsia="Arial" w:hAnsi="Arial"/>
          <w:sz w:val="18"/>
          <w:szCs w:val="18"/>
          <w:color w:val="auto"/>
        </w:rPr>
        <w:t>In connection with acquisitions, joint ventures or strategic alliances, we may incur debt, issue equity securities, assume contingent liabilities or have amortization expenses and write-downs of acquired assets, which could cause our earnings per share to decline. Mergers, acquisitions, joint ventures and strategic alliances are inherently risky and subject</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30" w:name="page31"/>
    <w:bookmarkEnd w:id="30"/>
    <w:p>
      <w:pPr>
        <w:ind w:right="40"/>
        <w:spacing w:after="0" w:line="238" w:lineRule="auto"/>
        <w:rPr>
          <w:sz w:val="20"/>
          <w:szCs w:val="20"/>
          <w:color w:val="auto"/>
        </w:rPr>
      </w:pPr>
      <w:r>
        <w:rPr>
          <w:rFonts w:ascii="Arial" w:cs="Arial" w:eastAsia="Arial" w:hAnsi="Arial"/>
          <w:sz w:val="18"/>
          <w:szCs w:val="18"/>
          <w:color w:val="auto"/>
        </w:rPr>
        <w:t>to many factors outside of our control, and we cannot be certain that our previous or future acquisitions, joint ventures and strategic alliances will be successful and will not materially adversely affect our business, operating results or financial condition. We do not know whether we will be able to successfully integrate the businesses, products, technologies or personnel that we might acquire in the future or that any strategic investments we make will meet our financial or other investment objectives. Any failure to do so could seriously harm our business, financial condition and results of operations.</w:t>
      </w:r>
    </w:p>
    <w:p>
      <w:pPr>
        <w:spacing w:after="0" w:line="19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Our International Sales and Operations Are Subject to Applicable Laws Relating to Trade, Export Controls and Foreign Corrupt Practices, the Violation of Which Could Adversely Affect Our Operations</w:t>
      </w:r>
    </w:p>
    <w:p>
      <w:pPr>
        <w:spacing w:after="0" w:line="4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We must comply with all applicable export control laws and regulations of the United States and other countries. U.S. laws and regulations applicable to us include the Arms Export Control Act, the International Traffic in Arms Regulations (ITAR), the Export Administration Regulations (EAR) and the trade sanctions laws and regulations administered by the U.S. Department of the Treasury’s Office of Foreign Assets Control (OFAC). The export of certain satellite hardware, services and technical data relating to satellites is regulated by the U.S. Department of State under ITAR. Other items are controlled for export by the U.S. Department of Commerce under the EAR. We cannot provide services to certain countries subject to U.S. trade sanctions unless we first obtain the necessary authorizations from OFAC. In addition, we are subject to the Foreign Corrupt Practices Act, which generally bars bribes or unreasonable gifts to foreign governments or officials. Violations of these laws or regulations could result in significant additional sanctions including fines, more onerous compliance requirements, more extensive debarments from export privileges or loss of authorizations needed to conduct aspects of our international business. A violation of ITAR or the other regulations enumerated above could materially adversely affect our business, financial condition and results of operations.</w:t>
      </w:r>
    </w:p>
    <w:p>
      <w:pPr>
        <w:spacing w:after="0" w:line="19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Changes in the Regulatory Environment Could Have a Material Adverse Impact on Our Competitive Position, Growth and Financial Performance</w:t>
      </w:r>
    </w:p>
    <w:p>
      <w:pPr>
        <w:spacing w:after="0" w:line="27"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Our business is highly regulated. We are subject to the regulatory authority of the jurisdictions in which we operate, including the United States and other jurisdictions around the world. Those authorities regulate, among other things, the launch and operation of satellites, the use of radio spectrum, the ability to operate satellites at specific orbital locations in space, the licensing of earth stations and other radio transmitters, the provision of communications services, and the design, manufacture and marketing of communications systems and networking infrastructure. The space stations and ground network we use to provide our broadband services operate using some spectrum that is regulated for use on a primary basis for certain types of the satellite services we provide, some spectrum that is regulated for use on a shared basis with terrestrial wireless services, and some spectrum that is regulated primarily for terrestrial wireless and other uses but that we are authorized to use on a secondary or non-interference basis. Moreover, spectrum availability varies from country to country, and even within countries, within our service areas.</w:t>
      </w:r>
    </w:p>
    <w:p>
      <w:pPr>
        <w:spacing w:after="0" w:line="153"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Laws and regulations affecting our business are subject to change in response to industry developments, new technology, and political considerations, among other things. Legislators and regulatory authorities in various countries are considering, and may in the future adopt, new laws, policies and regulations, as well as changes to existing regulations. We cannot predict when or whether applicable laws or regulations may come into effect or change, or what the cost and time necessary to comply with such new or updated laws or regulations may be.</w:t>
      </w:r>
    </w:p>
    <w:p>
      <w:pPr>
        <w:spacing w:after="0" w:line="148"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Changes in laws or regulations, including changes in the way spectrum is regulated and/or in regulations governing our products and services, changes in the way spectrum is made available to us, or is allowed to be used by others, or competing uses of spectrum or orbital locations, could, directly or indirectly, affect our operations or the operations of our distribution partners, increase the cost of providing our products and services and make our products and services less competitive in our core markets. Some regulators are considering new or additional terrestrial services in the spectrum in which we operate, which may not be compatible with the way we use, or plan to use, that same spectrum. In certain instances, such changes could have a material adverse effect on our business, financial condition and results of operations.</w:t>
      </w:r>
    </w:p>
    <w:p>
      <w:pPr>
        <w:spacing w:after="0" w:line="149"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The Trump administration has called for substantial changes to regulatory policies. We cannot predict the impact, if any, of these changes to our business or the industries in which we operate. However, it is possible that these changes could adversely affect our business. It is likely that some policies adopted by the Trump administration will benefit us and others will negatively affect us. Until we know what changes are enacted, we will not know whether in total we benefit from, or are negatively affected by, the changes. At various times, President Trump has expressed antipathy towards or renegotiated existing trade agreements and has called for greater restrictions on free trade generally. Additionally, the Trump administration has imposed tariffs and other restrictions on goods imported into the United States. Changes in U.S. political, regulatory and economic conditions or in laws and policies governing foreign trade, manufacturing, development and investment in the countries where we do business or source goods and materials for our products, and any negative sentiments towards the United States as a result of such changes, could adversely affect our business.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1" w:name="page32"/>
    <w:bookmarkEnd w:id="31"/>
    <w:p>
      <w:pPr>
        <w:jc w:val="both"/>
        <w:ind w:right="140" w:firstLine="510"/>
        <w:spacing w:after="0" w:line="248" w:lineRule="auto"/>
        <w:rPr>
          <w:sz w:val="20"/>
          <w:szCs w:val="20"/>
          <w:color w:val="auto"/>
        </w:rPr>
      </w:pPr>
      <w:r>
        <w:rPr>
          <w:rFonts w:ascii="Arial" w:cs="Arial" w:eastAsia="Arial" w:hAnsi="Arial"/>
          <w:sz w:val="17"/>
          <w:szCs w:val="17"/>
          <w:color w:val="auto"/>
        </w:rPr>
        <w:t>Among other things, changes to laws and regulations could materially harm our business by (1) affecting our ability to obtain or retain required governmental authorizations, (2) restricting our ability to provide certain products or services, (3) restricting development efforts by us and our customers, (4) making our current products and services less attractive or obsolete, (5) increasing our operational costs, or</w:t>
      </w:r>
    </w:p>
    <w:p>
      <w:pPr>
        <w:spacing w:after="0" w:line="2" w:lineRule="exact"/>
        <w:rPr>
          <w:sz w:val="20"/>
          <w:szCs w:val="20"/>
          <w:color w:val="auto"/>
        </w:rPr>
      </w:pPr>
    </w:p>
    <w:p>
      <w:pPr>
        <w:ind w:right="120" w:firstLine="8"/>
        <w:spacing w:after="0"/>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it easier or less expensive for our competitors to compete with us. Failure to comply with applicable laws or regulations could result in the imposition of financial penalties against us, the adverse modification or cancellation of required authorizations, or other material adverse actions. Any such matters could materially harm our business and impair the value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Reliance on U.S. Government Contracts Exposes Us to Significant Risks</w:t>
      </w:r>
    </w:p>
    <w:p>
      <w:pPr>
        <w:spacing w:after="0" w:line="9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Our government systems segment revenues were approximately 49%, 46% and 48% of our total revenues in fiscal years 2020, 2019 and 2018, respectively, and were derived primarily from U.S. government applications. Therefore, any significant disruption or deterioration of our relationship with the U.S. government would significantly reduce our revenues. U.S. government business exposes us to various risks, including:</w:t>
      </w:r>
    </w:p>
    <w:p>
      <w:pPr>
        <w:spacing w:after="0" w:line="56" w:lineRule="exact"/>
        <w:rPr>
          <w:sz w:val="20"/>
          <w:szCs w:val="20"/>
          <w:color w:val="auto"/>
        </w:rPr>
      </w:pPr>
    </w:p>
    <w:p>
      <w:pPr>
        <w:ind w:left="1000" w:right="440" w:hanging="493"/>
        <w:spacing w:after="0" w:line="24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procurement legislation and regulations and other policies, which may reflect military and political developments;</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contract or project terminations or suspensions;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unpredictable order placements, reductions or cancellations;</w:t>
      </w:r>
    </w:p>
    <w:p>
      <w:pPr>
        <w:spacing w:after="0" w:line="76" w:lineRule="exact"/>
        <w:rPr>
          <w:rFonts w:ascii="Arial" w:cs="Arial" w:eastAsia="Arial" w:hAnsi="Arial"/>
          <w:sz w:val="18"/>
          <w:szCs w:val="18"/>
          <w:color w:val="auto"/>
        </w:rPr>
      </w:pPr>
    </w:p>
    <w:p>
      <w:pPr>
        <w:ind w:left="1000" w:right="260" w:hanging="493"/>
        <w:spacing w:after="0" w:line="24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reductions or delays in government funds available for our projects due to government policy changes, budget cuts or delays, changes in available funding, reductions in government defense expenditures and contract adjustments;</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competitors to protest contractual awards;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penalties arising from post-award contract audits;</w:t>
      </w:r>
    </w:p>
    <w:p>
      <w:pPr>
        <w:spacing w:after="0" w:line="76" w:lineRule="exact"/>
        <w:rPr>
          <w:rFonts w:ascii="Arial" w:cs="Arial" w:eastAsia="Arial" w:hAnsi="Arial"/>
          <w:sz w:val="18"/>
          <w:szCs w:val="18"/>
          <w:color w:val="auto"/>
        </w:rPr>
      </w:pPr>
    </w:p>
    <w:p>
      <w:pPr>
        <w:ind w:left="1000" w:right="480" w:hanging="493"/>
        <w:spacing w:after="0" w:line="24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reduction in the value of our contracts as a result of the routine audit and investigation of our costs by U.S. government agencies;</w:t>
      </w:r>
    </w:p>
    <w:p>
      <w:pPr>
        <w:spacing w:after="0" w:line="4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higher-than-expected final costs, particularly relating to software and hardware development, for work performed under contracts where we commit to specified deliveries for a fixed price;</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profitability from cost-reimbursement contracts under which the amount of profit is limited to a specified amount;</w:t>
      </w:r>
    </w:p>
    <w:p>
      <w:pPr>
        <w:spacing w:after="0" w:line="76" w:lineRule="exact"/>
        <w:rPr>
          <w:rFonts w:ascii="Arial" w:cs="Arial" w:eastAsia="Arial" w:hAnsi="Arial"/>
          <w:sz w:val="18"/>
          <w:szCs w:val="18"/>
          <w:color w:val="auto"/>
        </w:rPr>
      </w:pPr>
    </w:p>
    <w:p>
      <w:pPr>
        <w:ind w:left="1000" w:right="760" w:hanging="493"/>
        <w:spacing w:after="0" w:line="24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unpredictable cash collections of unbilled receivables that may be subject to acceptance of contract deliverables by the customer and contract close-out procedures, including government approval of final indirect rates;</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with programs managed by other government contractors for limited resources and for uncertain levels of funding;</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changes in contract scheduling or program structure, which generally result in delays or reductions in deliveries; and</w:t>
      </w:r>
    </w:p>
    <w:p>
      <w:pPr>
        <w:spacing w:after="0" w:line="76" w:lineRule="exact"/>
        <w:rPr>
          <w:rFonts w:ascii="Arial" w:cs="Arial" w:eastAsia="Arial" w:hAnsi="Arial"/>
          <w:sz w:val="18"/>
          <w:szCs w:val="18"/>
          <w:color w:val="auto"/>
        </w:rPr>
      </w:pPr>
    </w:p>
    <w:p>
      <w:pPr>
        <w:ind w:left="1000" w:right="520" w:hanging="493"/>
        <w:spacing w:after="0" w:line="24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intense competition for available U.S. government business necessitating increases in time and investment for design and development.</w:t>
      </w:r>
    </w:p>
    <w:p>
      <w:pPr>
        <w:spacing w:after="0" w:line="143"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including the establishment of compliance procedures. A violation of specific laws and regulations could result in the imposition of fines and penalties, the termination of our contracts or debarment from bidding on contracts. For example, in 2016, our 52% majority-owned subsidiary TrellisWare was investigated by the Civil Division of the U.S. Attorney’s Office for the Southern District of California for potential violations by TrellisWare of the False Claims Act regarding certain prior government contracts. In February 2017 we accrued a total loss contingency of $11.8 million in selling, general and administrative (SG&amp;A) expenses in our government systems segment, which consisted of $11.4 million in uncharacterized damages and $0.4 million in penalties. The impact of the loss contingency on net income attributable to Viasat, Inc. stockholders for fiscal year 2017, net of tax, was $4.0 million, with the related amount of $3.7 million recorded to net (loss) income attributable to noncontrolling interests, net of tax. The impact of the loss contingency on basic and diluted net income per share attributable to Viasat, Inc. common stockholders for fiscal year 2017 was $0.08 per share and $0.07 per share, respectively. In the fourth quarter of fiscal year 2018, the TrellisWare investigation was settled, resulting in a payment by TrellisWare of $11.4 million in uncharacterized damages and $0.4 million in penalties.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2" w:name="page33"/>
    <w:bookmarkEnd w:id="32"/>
    <w:p>
      <w:pPr>
        <w:ind w:right="40" w:firstLine="510"/>
        <w:spacing w:after="0" w:line="238" w:lineRule="auto"/>
        <w:rPr>
          <w:sz w:val="20"/>
          <w:szCs w:val="20"/>
          <w:color w:val="auto"/>
        </w:rPr>
      </w:pPr>
      <w:r>
        <w:rPr>
          <w:rFonts w:ascii="Arial" w:cs="Arial" w:eastAsia="Arial" w:hAnsi="Arial"/>
          <w:sz w:val="18"/>
          <w:szCs w:val="18"/>
          <w:color w:val="auto"/>
        </w:rPr>
        <w:t>Substantially all of our U.S. government backlog scheduled for delivery can be terminated at the convenience of the U.S. government because our contracts with the U.S. government typically provide that orders may be terminated with limited or no penalties. If we are unable to address any of the risks described above, or if we were to lose all or a substantial portion of our sales to the U.S. government, it could materially harm our business and impair the value of our common stock.</w:t>
      </w:r>
    </w:p>
    <w:p>
      <w:pPr>
        <w:spacing w:after="0" w:line="15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funding of U.S. government programs is subject to congressional appropriations. Congress generally appropriates funds on a fiscal year basis even though a program may extend over several fiscal years. Consequently, programs are often only partially funded initially and additional funds are committed only as Congress makes further appropriations. In the event that appropriations for one of our programs become unavailable, or are reduced or delayed, our contract or subcontract under such program may be terminated or adjusted by the government, which could have a negative impact on our future sales and results of operations. Budget cuts to defense spending, such as those that took effect in March 2013 under the Budget Control Act of 2011, can exacerbate these problems. From time to time, when a formal appropriation bill has not been signed into law before the end of the U.S. government’s fiscal year, Congress may pass a continuing resolution that authorizes agencies of the U.S. government to continue to operate, generally at the same funding levels from the prior year, but does not authorize new spending initiatives, during a certain period. During such period (or until the regular appropriation bills are passed), delays can occur in procurement of products and services due to lack of funding, and such delays can affect our results of operations during the period of delay.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Affected by a Negative Audit by the U.S. Government</w:t>
      </w:r>
    </w:p>
    <w:p>
      <w:pPr>
        <w:spacing w:after="0" w:line="99" w:lineRule="exact"/>
        <w:rPr>
          <w:sz w:val="20"/>
          <w:szCs w:val="20"/>
          <w:color w:val="auto"/>
        </w:rPr>
      </w:pPr>
    </w:p>
    <w:p>
      <w:pPr>
        <w:ind w:right="160" w:firstLine="510"/>
        <w:spacing w:after="0" w:line="236" w:lineRule="auto"/>
        <w:rPr>
          <w:sz w:val="20"/>
          <w:szCs w:val="20"/>
          <w:color w:val="auto"/>
        </w:rPr>
      </w:pPr>
      <w:r>
        <w:rPr>
          <w:rFonts w:ascii="Arial" w:cs="Arial" w:eastAsia="Arial" w:hAnsi="Arial"/>
          <w:sz w:val="18"/>
          <w:szCs w:val="18"/>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w:t>
      </w:r>
    </w:p>
    <w:p>
      <w:pPr>
        <w:spacing w:after="0" w:line="154"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and our competitive position in the bidding process. Any of these outcomes could have a material adverse effect on our business, financial condition and results of operations.</w:t>
      </w:r>
    </w:p>
    <w:p>
      <w:pPr>
        <w:spacing w:after="0" w:line="154"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Our incurred cost audits by the DCAA have not been concluded for fiscal years 2019 or 2020. As of March 31, 2020, the DCAA had completed its incurred cost audit for fiscal years 2004 and 2016 and approved our incurred costs for those fiscal years, as well as approved our incurred costs for fiscal years 2005 through 2015, 2017 and 2018 without further audit based on the determination of low risk. Although we have recorded contract revenues subsequent to fiscal year 2018 based upon an estimate of costs that we believe will be approved upon final audit or review, we do not know the outcome of any ongoing or future audits or reviews and adjustments, and if future adjustments exceed our estimates, our profitability would be adversely affected. There can be no assurance that audits or reviews of our incurred costs and cost accounting systems for other fiscal years will not be subject to further audit, review or scrutiny by the DCAA or other government agencies.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3" w:name="page34"/>
    <w:bookmarkEnd w:id="33"/>
    <w:p>
      <w:pPr>
        <w:ind w:right="280"/>
        <w:spacing w:after="0" w:line="271" w:lineRule="auto"/>
        <w:rPr>
          <w:sz w:val="20"/>
          <w:szCs w:val="20"/>
          <w:color w:val="auto"/>
        </w:rPr>
      </w:pPr>
      <w:r>
        <w:rPr>
          <w:rFonts w:ascii="Arial" w:cs="Arial" w:eastAsia="Arial" w:hAnsi="Arial"/>
          <w:sz w:val="18"/>
          <w:szCs w:val="18"/>
          <w:b w:val="1"/>
          <w:bCs w:val="1"/>
          <w:color w:val="auto"/>
        </w:rPr>
        <w:t>Our Success Depends on the Investment in and Development of New Broadband Technologies and Advanced Communications and Secure Networking Systems, Products and Services, as well as their Market Acceptance</w:t>
      </w:r>
    </w:p>
    <w:p>
      <w:pPr>
        <w:spacing w:after="0" w:line="41"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Broadband, advanced communications and secure networking markets are subject to rapid technological change, frequent new and enhanced product and service introductions, product obsolescence and changes in user requirements. Our ability to compete successfully in these markets depends on our success in applying our expertise and technology to existing and emerging broadband, advanced communications and secure networking markets, as well as our ability to successfully develop, introduce and sell new products and services on a timely and cost-effective basis that respond to ever-changing customer requirements, which depends on several factors, including:</w:t>
      </w:r>
    </w:p>
    <w:p>
      <w:pPr>
        <w:spacing w:after="0" w:line="54" w:lineRule="exact"/>
        <w:rPr>
          <w:sz w:val="20"/>
          <w:szCs w:val="20"/>
          <w:color w:val="auto"/>
        </w:rPr>
      </w:pPr>
    </w:p>
    <w:p>
      <w:pPr>
        <w:ind w:left="1000" w:right="280" w:hanging="493"/>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continue to develop leading satellite technologies, including the design of market-leading high-capacity Ka-band satellites and associated ground networks;</w:t>
      </w:r>
    </w:p>
    <w:p>
      <w:pPr>
        <w:spacing w:after="0" w:line="48" w:lineRule="exact"/>
        <w:rPr>
          <w:rFonts w:ascii="Arial" w:cs="Arial" w:eastAsia="Arial" w:hAnsi="Arial"/>
          <w:sz w:val="18"/>
          <w:szCs w:val="18"/>
          <w:color w:val="auto"/>
        </w:rPr>
      </w:pPr>
    </w:p>
    <w:p>
      <w:pPr>
        <w:ind w:left="1000" w:right="160" w:hanging="493"/>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enhance our product and service offerings by continuing to increase satellite capacity, bandwidth cost-efficiencies and service quality and adding innovative features that differentiate our offerings from those of our competitors;</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integration of various elements of our complex technologies and system architectures;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timely completion and introduction of new system and product designs;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achievement of acceptable product and service costs;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timely and efficient implementation of our manufacturing and assembly processes and cost reduction efforts;</w:t>
      </w:r>
    </w:p>
    <w:p>
      <w:pPr>
        <w:spacing w:after="0" w:line="76" w:lineRule="exact"/>
        <w:rPr>
          <w:rFonts w:ascii="Arial" w:cs="Arial" w:eastAsia="Arial" w:hAnsi="Arial"/>
          <w:sz w:val="18"/>
          <w:szCs w:val="18"/>
          <w:color w:val="auto"/>
        </w:rPr>
      </w:pPr>
    </w:p>
    <w:p>
      <w:pPr>
        <w:ind w:left="1000" w:right="500" w:hanging="493"/>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establishment of close working relationships with major customers for the design of their new communications and secure networking systems incorporating our products and services;</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 of competitive products, services and technologies by existing and new competitors;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marketing and pricing strategies of our competitors with respect to competitive products and services;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acceptance of our new products and services.</w:t>
      </w:r>
    </w:p>
    <w:p>
      <w:pPr>
        <w:spacing w:after="0" w:line="17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We cannot assure you that our new technology, product or service offerings will be successful or that any of the new technologies, products or services we offer will achieve sufficient market acceptance. The period of time from conception through satellite launch for a new satellite design may be three or four years or longer, thereby delaying our ability to realize the benefits of our investments in new satellite designs and technologies. We may experience difficulties that could delay or prevent us from successfully selecting, developing, manufacturing or marketing new technologies, products or services, and these efforts could divert our attention and resources from other projects. We cannot be sure that such efforts and expenditures will ultimately lead to the timely development of new offerings and technologies. Any delays could result in increased costs of development or divert resources from other projects. In addition, defects may be found in our products after we begin deliveries that could result in degradation of service quality, and the delay or loss of market acceptance. If we are unable to design, manufacture, integrate and market profitable new products and services for existing or emerging markets, it could materially harm our business, financial condition and results of operations, and impair the value of our common stock.</w:t>
      </w:r>
    </w:p>
    <w:p>
      <w:pPr>
        <w:spacing w:after="0" w:line="152"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In addition, we believe that significant investments in next-generation broadband satellites and associated infrastructure will continue to be required as demand for broadband services and satellite systems with higher capacity and higher speed continues to grow. We are constantly evaluating the opportunities and investments related to the development of these next-generation broadband systems. The development of these capital-intensive next-generation systems may require us to undertake debt financing and/or the issuance of additional equity, which could expose us to increased risks and impair the value of our common stock. In addition, if we are unable to effectively or profitably design, manufacture, integrate and market such next-generation technologies, it could materially harm our business, financial condition and results of operations, and impair the value of our common stock.</w:t>
      </w:r>
    </w:p>
    <w:p>
      <w:pPr>
        <w:spacing w:after="0" w:line="194"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color w:val="auto"/>
        </w:rPr>
        <w:t>Because Our Products Are Complex and Are Deployed in Complex Environments, Our Products May Have Defects that We Discover Only After Full Deployment, which Could Seriously Harm Our Business</w:t>
      </w:r>
    </w:p>
    <w:p>
      <w:pPr>
        <w:spacing w:after="0" w:line="27"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We produce highly complex products that incorporate leading-edge technology, including both hardware and software. Software typically contains defects or programming flaws that can unexpectedly interfere with expected operations. In addition, our products are complex and are designed to be deployed across complex networks, which in some cases may include over a million users. Because of the nature of these products, there is no assurance that our pre-shipment testing programs will be adequate to detect all defects. As a result, our customers may discover errors or defects in our hardware or software, or our products may not operate as expected after they have been fully deployed. If we are unable to cure a product defect, we could experience damage to our reputation, reduced customer satisfaction, loss of existing customers and failure to attract new customers, failure to achieve market acceptance, cancellation of</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6" w:right="399" w:bottom="1440" w:gutter="0" w:footer="0" w:header="0"/>
        </w:sectPr>
      </w:pPr>
    </w:p>
    <w:bookmarkStart w:id="34" w:name="page35"/>
    <w:bookmarkEnd w:id="34"/>
    <w:p>
      <w:pPr>
        <w:ind w:right="80"/>
        <w:spacing w:after="0" w:line="237" w:lineRule="auto"/>
        <w:rPr>
          <w:sz w:val="20"/>
          <w:szCs w:val="20"/>
          <w:color w:val="auto"/>
        </w:rPr>
      </w:pPr>
      <w:r>
        <w:rPr>
          <w:rFonts w:ascii="Arial" w:cs="Arial" w:eastAsia="Arial" w:hAnsi="Arial"/>
          <w:sz w:val="18"/>
          <w:szCs w:val="18"/>
          <w:color w:val="auto"/>
        </w:rPr>
        <w:t>orders, loss of revenues, reduction in backlog and market share, increased service and warranty costs, diversion of development resources, legal actions by our customers, product returns or recalls, issuance of credit to customers and increased insurance costs. Further, due to the high volume nature of our fixed broadband business, defects of products in this business could significantly increase these risks. Defects, integration issues or other performance problems in our products could also result in financial or other damages to our customers. Our customers could seek damages for related losses from us, which could seriously harm our business, financial condition and results of operations. A product liability claim brought against us, even if unsuccessful, would likely be time consuming and costly. The occurrence of any of these problems would seriously harm our business, financial condition and results of operations.</w:t>
      </w:r>
    </w:p>
    <w:p>
      <w:pPr>
        <w:spacing w:after="0" w:line="208"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color w:val="auto"/>
        </w:rPr>
        <w:t>Our Reputation and Business Could Be Materially Harmed as a Result of Data Breaches, Data Theft, Unauthorized Access or Hacking</w:t>
      </w:r>
    </w:p>
    <w:p>
      <w:pPr>
        <w:spacing w:after="0" w:line="27"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Our success depends, in part, on the secure and uninterrupted performance of our information technology systems. An increasing number of companies have disclosed breaches of their security, some of which have involved sophisticated and highly targeted attacks on their computer networks.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unauthorized parties gain access to our information technology systems, they may be able to misappropriate assets or sensitive information (such as personally identifiable information of our customers, business partners and employees), cause interruption in our operations, corruption of data or computers, or otherwise damage our reputation and business. In such circumstances, we could be held liable to our customers or other parties, or be subject to regulatory or other actions for breaching privacy rules. Any compromise of our security could result in a loss of confidence in our security measures, and subject us to litigation, civil or criminal penalties, and negative publicity that could adversely affect our financial condition and results of operations. Further, if we are unable to comply with the security standards established by banks and the payment card industry, we may be subject to fines, restrictions, and expulsion from card acceptance programs, which could adversely affect our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Revenues Is Derived from a Few of Our Contracts</w:t>
      </w:r>
    </w:p>
    <w:p>
      <w:pPr>
        <w:spacing w:after="0" w:line="99" w:lineRule="exact"/>
        <w:rPr>
          <w:sz w:val="20"/>
          <w:szCs w:val="20"/>
          <w:color w:val="auto"/>
        </w:rPr>
      </w:pPr>
    </w:p>
    <w:p>
      <w:pPr>
        <w:ind w:right="320" w:firstLine="510"/>
        <w:spacing w:after="0" w:line="237" w:lineRule="auto"/>
        <w:rPr>
          <w:sz w:val="20"/>
          <w:szCs w:val="20"/>
          <w:color w:val="auto"/>
        </w:rPr>
      </w:pPr>
      <w:r>
        <w:rPr>
          <w:rFonts w:ascii="Arial" w:cs="Arial" w:eastAsia="Arial" w:hAnsi="Arial"/>
          <w:sz w:val="18"/>
          <w:szCs w:val="18"/>
          <w:color w:val="auto"/>
        </w:rPr>
        <w:t>A small number of our contracts account for a significant percentage of our revenues. Our five largest contracts generated approximately 18%, 20% and 20% of our total revenues in fiscal years 2020, 2019 and 2018, respectively. Our largest revenue-producing contracts are related to our tactical data link products and fixed satellite networks. The failure of these customers or any of our key distributors to place additional orders or to maintain their contracts with us for any reason, including any downturn in their business or financial condition or our inability to renew our contracts with these customers or obtain new contracts when they expire, could materially harm our business and impair the value of our common stock.</w:t>
      </w:r>
    </w:p>
    <w:p>
      <w:pPr>
        <w:spacing w:after="0" w:line="151"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A number of our commercial customers have in the past, and may in the future, experience financial difficulties. Many of our commercial customers face risks that are similar to those we encounter, including risks associated with market growth, product defects, acceptance by the market of products and services, and the ability to obtain sufficient capital. Further, many of our customers and strategic partners that provide satellite-based services (including Xplornet and Eutelsat) could be materially affected by a satellite failure as well as by partial satellite failure, satellite performance degradation, satellite manufacturing errors and other failures resulting from operating satellites in the harsh environment of space. We cannot assure you that our customers will be successful in managing these risks. If our customers do not successfully manage these types of risks, it could impair our ability to generate revenues and collect amounts due from these customers and materially harm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Contracts May Be Difficult for Us to Comply with and May Expose Us to Third-Party Claims for Damages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We are often party to government and commercial contracts involving the development of new products. We derived approximately 24%, 19% and 19% of our total revenues for fiscal years 2020, 2019 and 2018, respectively, from these development contracts. These contracts typically contain strict performance obligations and project milestones. We cannot assure you we will comply with these performance obligations or meet these project milestones in the future. If we are unable to comply with these performance obligations or meet these milestones, our customers may terminate these contracts and, under some circumstances, recover damages or other penalties from us. We are not currently, nor have we always been, in compliance with all outstanding performance obligations and project milestones in our contracts. We cannot assure you that the other parties to any such contract will not terminate the contract or seek damages from us. If other parties elect to terminate their contracts or seek damages from us, it could materially harm our business and impair the value of our common stock.</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We May Experience Losses from Our Fixed-Price Contracts</w:t>
      </w:r>
    </w:p>
    <w:p>
      <w:pPr>
        <w:spacing w:after="0" w:line="9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Of our total government systems and commercial networks segments revenues, approximately 88%, 90% and 88% were derived from contracts with fixed prices in fiscal years 2020, 2019 and 2018, respectively. These contracts carry the risk of potential cost overruns because we assume all of the cost burden. We assume greater financial risk on fixed-price contracts than on other types of contracts because if we do not anticipate technical problems, estimate costs accurately or control costs during performance of a fixed-price contract, it may significantly reduce our net profit or cause a loss on the contract. In the past, we have experienced significant cost overruns and losses on fixed-price contracts. For example, 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Because many of these contracts involve new technologies and applications and can last for years, unforeseen events, such as technological difficulties, fluctuations in the price of raw materials,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penalties or liquidated damages or suffer major losses if the customer exercises its right to terminate. We believe a high percentage of our contracts in our government systems and commercial networks segments will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financial condition and results of operations, and impair the value of our common stock.</w:t>
      </w:r>
    </w:p>
    <w:p>
      <w:pPr>
        <w:spacing w:after="0" w:line="20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color w:val="auto"/>
        </w:rPr>
        <w:t>Our Reliance on a Limited Number of Third Parties to Manufacture and Supply Our Products and the Components Contained therein Exposes Us to Various Risks</w:t>
      </w:r>
    </w:p>
    <w:p>
      <w:pPr>
        <w:spacing w:after="0" w:line="27"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We expect our internal manufacturing capacity to be limited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capacity has been, and is expected to continue to be, very limited and we intend to continue to rely on contract manufacturers to produce the majority of our products. In addition, some components, subassemblies and services necessary for the manufacture of our products are obtained from a sole source supplier or a limited group of suppliers.</w:t>
      </w:r>
    </w:p>
    <w:p>
      <w:pPr>
        <w:spacing w:after="0" w:line="151" w:lineRule="exact"/>
        <w:rPr>
          <w:sz w:val="20"/>
          <w:szCs w:val="20"/>
          <w:color w:val="auto"/>
        </w:rPr>
      </w:pPr>
    </w:p>
    <w:p>
      <w:pPr>
        <w:ind w:right="20" w:firstLine="510"/>
        <w:spacing w:after="0" w:line="235" w:lineRule="auto"/>
        <w:rPr>
          <w:sz w:val="20"/>
          <w:szCs w:val="20"/>
          <w:color w:val="auto"/>
        </w:rPr>
      </w:pPr>
      <w:r>
        <w:rPr>
          <w:rFonts w:ascii="Arial" w:cs="Arial" w:eastAsia="Arial" w:hAnsi="Arial"/>
          <w:sz w:val="18"/>
          <w:szCs w:val="18"/>
          <w:color w:val="auto"/>
        </w:rPr>
        <w:t>Our reliance on contract manufacturers and on sole source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 experience delays in the delivery of and quality problems with products and components and subassemblies from vendors. Some of the suppliers we rely upon have relatively limited financial and other resources. Some of our vendors have manufacturing facilities in areas that may be prone to natural disasters and other natural occurrences that may affect their ability to perform and deliver under our contract. Moreover, an outbreak of a pandemic such as the COVID-19 pandemic and associated quarantines, closures and travel restrictions may cause temporary or long-term disruptions in our supply chain and distribution systems and/or delays in the delivery of inventory. If we are not able to obtain timely deliveries of components and subassemblies of acceptable quality or if we are otherwise required to seek alternative sources of supply or to substitute alternative technology, or to manufacture our finished products or components and subassemblies internally, our ability to satisfactorily and timely complete our customer obligations could be negatively impacted which could result in reduced sales, termination of contracts and damage to our reputation and relationships with our customers. This failure could also result in a customer terminating our contract for default. A default termination could expose us to liability and have a material adverse effect on our ability to compete for future contracts and orders. In addition, a delay in our ability to obtain components and equipment parts from our suppliers may affect our ability to meet our customers’ needs and may have an adverse effect upon our profitability.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36" w:name="page37"/>
    <w:bookmarkEnd w:id="36"/>
    <w:p>
      <w:pPr>
        <w:spacing w:after="0" w:line="301" w:lineRule="auto"/>
        <w:rPr>
          <w:sz w:val="20"/>
          <w:szCs w:val="20"/>
          <w:color w:val="auto"/>
        </w:rPr>
      </w:pPr>
      <w:r>
        <w:rPr>
          <w:rFonts w:ascii="Arial" w:cs="Arial" w:eastAsia="Arial" w:hAnsi="Arial"/>
          <w:sz w:val="17"/>
          <w:szCs w:val="17"/>
          <w:b w:val="1"/>
          <w:bCs w:val="1"/>
          <w:color w:val="auto"/>
        </w:rPr>
        <w:t>Our Level of Indebtedness May Adversely Affect Our Ability to Operate Our Business, Remain in Compliance with Debt Covenants, React to Changes in Our Business or the Industry in which We Operate, or Prevent Us from Making Payments on Our Indebtedness</w:t>
      </w:r>
    </w:p>
    <w:p>
      <w:pPr>
        <w:spacing w:after="0" w:line="18"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We have a significant amount of indebtedness. As of March 31, 2020, the aggregate principal amount of our total outstanding indebtedness was $1.9 billion, which was comprised of $700.0 million in principal amount of 5.625% Senior Notes due 2025 (the 2025 Notes), $600.0 million in principal amount of 5.625% Senior Secured Notes due 2027 (the 2027 Notes), $390.0 million in principal amount of outstanding borrowings under our revolving credit facility (the Revolving Credit Facility and, together with the Ex-Im Credit Facility, the Credit Facilities), $ 117.9 million in principal amount of outstanding borrowings under the Ex-Im Credit Facility and $65.0 million of finance lease obligations. As of March 31, 2020, we had undrawn availability of $292.7 million under our Revolving Credit Facility and no remaining availability under our Ex-Im Credit Facility.</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high level of indebtedness could have important consequences. For example, it could:</w:t>
      </w:r>
    </w:p>
    <w:p>
      <w:pPr>
        <w:spacing w:after="0" w:line="63"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it more difficult for us to satisfy our debt obligations;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76" w:lineRule="exact"/>
        <w:rPr>
          <w:rFonts w:ascii="Arial" w:cs="Arial" w:eastAsia="Arial" w:hAnsi="Arial"/>
          <w:sz w:val="18"/>
          <w:szCs w:val="18"/>
          <w:color w:val="auto"/>
        </w:rPr>
      </w:pPr>
    </w:p>
    <w:p>
      <w:pPr>
        <w:ind w:left="1000" w:right="540" w:hanging="493"/>
        <w:spacing w:after="0" w:line="246"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 our ability to obtain additional debt or equity financing in the future for working capital, capital expenditures, product development, satellite construction, acquisitions or general corporate or other purposes;</w:t>
      </w:r>
    </w:p>
    <w:p>
      <w:pPr>
        <w:spacing w:after="0" w:line="48" w:lineRule="exact"/>
        <w:rPr>
          <w:rFonts w:ascii="Arial" w:cs="Arial" w:eastAsia="Arial" w:hAnsi="Arial"/>
          <w:sz w:val="18"/>
          <w:szCs w:val="18"/>
          <w:color w:val="auto"/>
        </w:rPr>
      </w:pPr>
    </w:p>
    <w:p>
      <w:pPr>
        <w:ind w:left="1000" w:right="34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dedicate a material portion of our cash flows from operations to the payment of principal and interest on our indebtedness, thereby reducing the availability of our cash flows to fund working capital needs, capital expenditures, product development, satellite construction, acquisitions and other general corporate purposes;</w:t>
      </w:r>
    </w:p>
    <w:p>
      <w:pPr>
        <w:spacing w:after="0" w:line="54" w:lineRule="exact"/>
        <w:rPr>
          <w:rFonts w:ascii="Arial" w:cs="Arial" w:eastAsia="Arial" w:hAnsi="Arial"/>
          <w:sz w:val="18"/>
          <w:szCs w:val="18"/>
          <w:color w:val="auto"/>
        </w:rPr>
      </w:pPr>
    </w:p>
    <w:p>
      <w:pPr>
        <w:ind w:left="1000" w:right="360" w:hanging="493"/>
        <w:spacing w:after="0" w:line="246"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to the extent we make borrowings under our Revolving Credit Facility, which bear interest at a variable rate;</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less indebtedness;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adjust to changing market conditions.</w:t>
      </w:r>
    </w:p>
    <w:p>
      <w:pPr>
        <w:spacing w:after="0" w:line="171"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Any of these risks could materially impact our ability to fund our operations or limit our ability to expand our business,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 which Could Further Increase the Risks Associated with Our Leverage</w:t>
      </w:r>
    </w:p>
    <w:p>
      <w:pPr>
        <w:spacing w:after="0" w:line="85"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We may incur significant additional indebtedness in the future, which may include financing relating to future satellites, potential acquisitions, joint ventures and strategic alliances, working capital, capital expenditures or general corporate purposes. For example, we may incur additional indebtedness to fund our investments in our ViaSat-3 class satellites. As of March 31, 2020, we had undrawn availability of $292.7 million under our Revolving Credit Facility. In addition, the Credit Facilities and the indentures governing the 2025 Notes and the 2027 Notes (collectively, the Indentures) permit us, subject to specified limitations, to incur additional indebtedness, including secured indebtedness.</w:t>
      </w:r>
    </w:p>
    <w:p>
      <w:pPr>
        <w:spacing w:after="0" w:line="151"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In February 2019,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and agents at amounts, prices, interest rates and other terms to be determined at the time of the offering. If our level of indebtedness increases significantly, the related risks that we now face would intensify.</w:t>
      </w:r>
    </w:p>
    <w:p>
      <w:pPr>
        <w:spacing w:after="0" w:line="207"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b w:val="1"/>
          <w:bCs w:val="1"/>
          <w:color w:val="auto"/>
        </w:rPr>
        <w:t>We May Not Be Able to Generate Sufficient Cash to Service All of Our Indebtedness and Fund Our Working Capital and Capital Expenditures, and May Be Forced to Take Other Actions to Satisfy Our Obligations under Our Indebtedness, which May Not Be Successful</w:t>
      </w:r>
    </w:p>
    <w:p>
      <w:pPr>
        <w:spacing w:after="0" w:line="42"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Our ability to make scheduled payments on or to refinance our indebtedness will depend upon our future operating performance and on our ability to generate cash flow in the future, which is subject to general economic, financial, business, competitive, legislative, regulatory and other factors that are beyond our control. We cannot assure you that our business will generate sufficient cash flow from operations, or that future borrowings, including borrowings under our Credit Facilities, will be available to us in an amount sufficient to enable us to pay our indebtedness, or to fund our other liquidity needs.</w:t>
      </w:r>
    </w:p>
    <w:p>
      <w:pPr>
        <w:spacing w:after="0" w:line="148" w:lineRule="exact"/>
        <w:rPr>
          <w:sz w:val="20"/>
          <w:szCs w:val="20"/>
          <w:color w:val="auto"/>
        </w:rPr>
      </w:pPr>
    </w:p>
    <w:p>
      <w:pPr>
        <w:ind w:right="40" w:firstLine="510"/>
        <w:spacing w:after="0" w:line="246" w:lineRule="auto"/>
        <w:rPr>
          <w:sz w:val="20"/>
          <w:szCs w:val="20"/>
          <w:color w:val="auto"/>
        </w:rPr>
      </w:pPr>
      <w:r>
        <w:rPr>
          <w:rFonts w:ascii="Arial" w:cs="Arial" w:eastAsia="Arial" w:hAnsi="Arial"/>
          <w:sz w:val="18"/>
          <w:szCs w:val="18"/>
          <w:color w:val="auto"/>
        </w:rPr>
        <w:t>If our cash flows and capital resources are insufficient to fund our debt service obligations, we could face substantial liquidity problems and could be forced to reduce or delay investment and capital expenditures or to dispose of material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37" w:name="page38"/>
    <w:bookmarkEnd w:id="37"/>
    <w:p>
      <w:pPr>
        <w:ind w:right="60"/>
        <w:spacing w:after="0" w:line="257" w:lineRule="auto"/>
        <w:rPr>
          <w:sz w:val="20"/>
          <w:szCs w:val="20"/>
          <w:color w:val="auto"/>
        </w:rPr>
      </w:pPr>
      <w:r>
        <w:rPr>
          <w:rFonts w:ascii="Arial" w:cs="Arial" w:eastAsia="Arial" w:hAnsi="Arial"/>
          <w:sz w:val="17"/>
          <w:szCs w:val="17"/>
          <w:color w:val="auto"/>
        </w:rPr>
        <w:t>assets or operations, seek additional debt or equity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Our Credit Facilities and the Indentures restrict our ability to dispose of assets and use the proceeds from the disposition, and may also restrict our ability to raise debt or equity capital to repay or service our indebtedness.</w:t>
      </w:r>
    </w:p>
    <w:p>
      <w:pPr>
        <w:spacing w:after="0" w:line="135"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If we cannot make scheduled payments on our debt, we will be in default and, as a result, the lenders under our Credit Facilities and the holders of the 2025 Notes and the 2027 Notes could declare all outstanding principal and interest to be due and payable, the lenders under our Credit Facilities could terminate their commitments to loan money and foreclose against the assets securing the borrowings under our Credit Facilities, and we could be forced into bankruptcy or liquidation, which could result in you losing your investment in our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Refinance Our Indebtedness</w:t>
      </w:r>
    </w:p>
    <w:p>
      <w:pPr>
        <w:spacing w:after="0" w:line="99" w:lineRule="exact"/>
        <w:rPr>
          <w:sz w:val="20"/>
          <w:szCs w:val="20"/>
          <w:color w:val="auto"/>
        </w:rPr>
      </w:pPr>
    </w:p>
    <w:p>
      <w:pPr>
        <w:ind w:right="280" w:firstLine="510"/>
        <w:spacing w:after="0"/>
        <w:rPr>
          <w:sz w:val="20"/>
          <w:szCs w:val="20"/>
          <w:color w:val="auto"/>
        </w:rPr>
      </w:pPr>
      <w:r>
        <w:rPr>
          <w:rFonts w:ascii="Arial" w:cs="Arial" w:eastAsia="Arial" w:hAnsi="Arial"/>
          <w:sz w:val="18"/>
          <w:szCs w:val="18"/>
          <w:color w:val="auto"/>
        </w:rPr>
        <w:t>We may need to refinance all or a portion of our indebtedness before maturity, including the 2025 Notes, the 2027 Notes and any indebtedness under our Credit Facilities. There can be no assurance that we will be able to obtain sufficient funds to enable us to repay or refinance our debt obligations on commercially reasonable terms, or at all.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Debt Agreements Restrict Our Business and Could Limit Our Ability to Implement Our Business Plan</w:t>
      </w:r>
    </w:p>
    <w:p>
      <w:pPr>
        <w:spacing w:after="0" w:line="85"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The Credit Facilities and the Indentures contain covenants that may restrict our ability to implement our business plan, finance future operations, respond to changing business and economic conditions, secure additional financing, and engage in opportunistic transactions, such as strategic acquisitions. In addition, if we fail to satisfy the covenants contained in our Credit Facilities, our ability to borrow under our Credit Facilities may be restricted. The Credit Facilities and the Indentures include covenants restricting, among other things, our ability to do the following:</w:t>
      </w:r>
    </w:p>
    <w:p>
      <w:pPr>
        <w:spacing w:after="0" w:line="67"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assume or guarantee additional indebtedness;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redeemable stock and preferred stock;</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grant or incur liens;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make distributions, or redeem or repurchase capital stock;</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our satellite insurance;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58"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In addition, our Credit Facilities require us to comply with certain financial covenants, including a maximum total leverage ratio and minimum interest coverage ratio. Our Revolving Credit Facility and the 2027 Notes are equally and ratably secured by first-priority liens on substantially all of the assets of our company, including the stock of our significant subsidiaries, and the assets of the subsidiary guarantors under our Revolving Credit Facility and the indenture governing the 2027 Notes. Our Ex-Im Credit Facility is guaranteed by Viasat and is secured by first-priority liens on the ViaSat-2 satellite and related assets, as well as the stock of our foreign subsidiary that owns the ViaSat-2 satellite.</w:t>
      </w:r>
    </w:p>
    <w:p>
      <w:pPr>
        <w:spacing w:after="0" w:line="15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If we default under our Credit Facilities or the Indentures because of a covenant breach or otherwise, all outstanding amounts thereunder could become immediately due and payable. In the past we have violated covenants in our former revolving credit facilities and received waivers for these violations. We cannot assure you that we will be able to comply with our financial or other covenants under our Credit Facilities or the Indentures or that any covenant violations will be waived in the future. Any violation that is not waived could result in an event of default, permitting our lenders to declare outstanding indebtedness and interest thereon due and payable, and permitting the lenders under our Credit Facilities to suspend commitments to make any advance or, with respect to the Revolving Credit Facility,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our Credit Facilities or the Indentures, we may need additional financing in order to service or extinguish our indebtedness. We may not be able to obtain financing or refinancing on terms acceptable to us, if at all. We cannot assure you that we would have sufficient funds to repay all the outstanding amounts under our Credit Facilities or the Indentures, and any acceleration of amounts due would have a material adverse effect on our liquidity and financial condition.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We Depend on a Limited Number of Key Employees Who Would Be Difficult to Replace</w:t>
      </w:r>
    </w:p>
    <w:p>
      <w:pPr>
        <w:spacing w:after="0" w:line="99"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We depend on a limited number of key technical, marketing and management personnel to manage and operate our business. In particular, we believe our success depends to a significant degree on our ability to attract and retain highly skilled personnel, including our Chairman of the Board and Chief Executive Officer, Mark Dankberg,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To the extent that the demand for qualified personnel exceeds supply, we could experience higher labor, recruiting or training costs in order to attract and retain such employees, or could experience difficulties in performing under our contracts if our needs for such employees were unmet.</w:t>
      </w:r>
    </w:p>
    <w:p>
      <w:pPr>
        <w:spacing w:after="0" w:line="194"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Because We Conduct Business Internationally, We Face Additional Risks Related to Global Political and Economic Conditions, Changes in Regulation and Currency Fluctuations</w:t>
      </w:r>
    </w:p>
    <w:p>
      <w:pPr>
        <w:spacing w:after="0" w:line="27"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Approximately 11%, 11% and 12% of our total revenues in fiscal years 2020, 2019 and 2018, respectively, were derived from international sales. Many of our international sales may be denominated in foreign currencies. Because we do not currently engage in, nor do we anticipate engaging in, material foreign currency hedging transactions related to international sales, a decrease in the value of foreign currencies relative to the U.S. dollar could result in losses from transactions denominated in foreign currencies. This decrease in value could also make our products less price-competitive.</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additional risks in conducting business internationally, including:</w:t>
      </w:r>
    </w:p>
    <w:p>
      <w:pPr>
        <w:spacing w:after="0" w:line="77" w:lineRule="exact"/>
        <w:rPr>
          <w:sz w:val="20"/>
          <w:szCs w:val="20"/>
          <w:color w:val="auto"/>
        </w:rPr>
      </w:pPr>
    </w:p>
    <w:p>
      <w:pPr>
        <w:ind w:left="1000" w:right="460" w:hanging="493"/>
        <w:spacing w:after="0" w:line="24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changes in laws, policies and regulatory requirements, including but not limited to regulations related to import-export control;</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cost of localizing systems in foreign countries;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sales and marketing and R&amp;D expenses;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of suitable export financing;</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timing and availability of export licenses;</w:t>
      </w:r>
    </w:p>
    <w:p>
      <w:pPr>
        <w:spacing w:after="0" w:line="76" w:lineRule="exact"/>
        <w:rPr>
          <w:rFonts w:ascii="Arial" w:cs="Arial" w:eastAsia="Arial" w:hAnsi="Arial"/>
          <w:sz w:val="18"/>
          <w:szCs w:val="18"/>
          <w:color w:val="auto"/>
        </w:rPr>
      </w:pPr>
    </w:p>
    <w:p>
      <w:pPr>
        <w:ind w:left="1000" w:right="700" w:hanging="493"/>
        <w:spacing w:after="0" w:line="24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taxes, tariffs, embargoes and other trade barriers, including tariffs suggested or implemented by the Trump administration;</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economic instability or issues related to the political relationship between the United States and other countries;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currency exchange rates, foreign exchange controls and restrictions on cash repatriation;</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a variety of international laws and U.S. laws affecting the activities of U.S. companies abroad;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in staffing and managing foreign operations;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managing distributors;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for additional liquidity to fund our international operations;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ineffective legal protection of our intellectual property rights in certain countries;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difficulty in making adequate payment arrangements;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difficulty in collecting accounts receivable;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global public health crises, such as the COVID-19 pandemic.</w:t>
      </w:r>
    </w:p>
    <w:p>
      <w:pPr>
        <w:spacing w:after="0" w:line="158" w:lineRule="exact"/>
        <w:rPr>
          <w:sz w:val="20"/>
          <w:szCs w:val="20"/>
          <w:color w:val="auto"/>
        </w:rPr>
      </w:pPr>
    </w:p>
    <w:p>
      <w:pPr>
        <w:ind w:right="260" w:firstLine="510"/>
        <w:spacing w:after="0"/>
        <w:rPr>
          <w:sz w:val="20"/>
          <w:szCs w:val="20"/>
          <w:color w:val="auto"/>
        </w:rPr>
      </w:pPr>
      <w:r>
        <w:rPr>
          <w:rFonts w:ascii="Arial" w:cs="Arial" w:eastAsia="Arial" w:hAnsi="Arial"/>
          <w:sz w:val="18"/>
          <w:szCs w:val="18"/>
          <w:color w:val="auto"/>
        </w:rPr>
        <w:t>In addition, some of our customer purchase agreements are governed by foreign laws, which may differ significantly from U.S. laws. We may be limited in our ability to enforce our rights under these agreements and to collect damages, if awarded. If we are unable to address any of the risks described above, it could materially harm our business and impair the value of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Proprietary Technology Is Limited</w:t>
      </w:r>
    </w:p>
    <w:p>
      <w:pPr>
        <w:spacing w:after="0" w:line="85" w:lineRule="exact"/>
        <w:rPr>
          <w:sz w:val="20"/>
          <w:szCs w:val="20"/>
          <w:color w:val="auto"/>
        </w:rPr>
      </w:pPr>
    </w:p>
    <w:p>
      <w:pPr>
        <w:ind w:right="260" w:firstLine="510"/>
        <w:spacing w:after="0"/>
        <w:rPr>
          <w:sz w:val="20"/>
          <w:szCs w:val="20"/>
          <w:color w:val="auto"/>
        </w:rPr>
      </w:pPr>
      <w:r>
        <w:rPr>
          <w:rFonts w:ascii="Arial" w:cs="Arial" w:eastAsia="Arial" w:hAnsi="Arial"/>
          <w:sz w:val="18"/>
          <w:szCs w:val="18"/>
          <w:color w:val="auto"/>
        </w:rPr>
        <w:t>Our success depends significantly on our ability to protect our proprietary rights to the technologies we use in our products and services. We generally rely on a combination of patents, copyrights, trademarks and trade secret laws and contractual rights to protect our proprietary rights in our technology and products. We also enter into confidentiality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9" w:name="page40"/>
    <w:bookmarkEnd w:id="39"/>
    <w:p>
      <w:pPr>
        <w:ind w:right="60"/>
        <w:spacing w:after="0" w:line="235" w:lineRule="auto"/>
        <w:rPr>
          <w:sz w:val="20"/>
          <w:szCs w:val="20"/>
          <w:color w:val="auto"/>
        </w:rPr>
      </w:pPr>
      <w:r>
        <w:rPr>
          <w:rFonts w:ascii="Arial" w:cs="Arial" w:eastAsia="Arial" w:hAnsi="Arial"/>
          <w:sz w:val="18"/>
          <w:szCs w:val="18"/>
          <w:color w:val="auto"/>
        </w:rPr>
        <w:t>agreements with our employees, consultants and corporate partners, and control access to and distribution of our proprietary information. Despite our efforts to protect our proprietary rights, unauthorized parties may attempt to copy or otherwise obtain and use our products or technology. If we are unable to protect our proprietary rights adequately, our competitors could use the intellectual property we have developed to enhance their own products and services, which could materially harm our business and impair the value of our common stock. Monitoring and preventing unauthorized use of our technology is difficult. From time to time, we undertake actions to prevent unauthorized use of our technology, including sending cease and desist letters. In addition, we may be required to commence litigation to protect our intellectual property rights or to determine the validity and scope of the proprietary rights of others. For example, in February 2012 we successfully sued SS/L and its former parent company Loral Space &amp; Communications, Inc. (Loral) for patent infringement and breach of contract relating to the manufacture of ViaSat-1. If we are unsuccessful in any such litigation in the future, our rights to enforce such intellectual property may be impaired or we could lose some or all of our rights to such intellectual property. We do not know whether the steps we have taken will prevent unauthorized use of our technology, including in foreign countries where the laws may not protect our proprietary rights as extensively as in the United States. If we are unable to protect our proprietary rights, we may find ourselves at a competitive disadvantage to others who need not incur the substantial expense, time and effort required to create the innovative products. Also, we have delivered certain technical data and information to the U.S. government under procurement contracts, and the U.S. government may have unlimited rights to use that technical data and information. There can be no assurance that the U.S. government will not authorize others to use that data and information to compete with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Involvement in Litigation Relating to Intellectual Property Claims May Have a Material Adverse Effect on Our Business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We may be party to intellectual property infringement, invalidity, right to use or ownership claims by third parties or claims for indemnification resulting from infringement claims. Regardless of the merit of these claims, intellectual property litigation can be time consuming and costly and may result in the diversion of the attention of technical and management personnel. An adverse result in any litigation could have a material adverse effect on our business, financial condition and results of operations. Asserted claims or initiated litigation can include claims against us or our manufacturers, suppliers or customers alleging infringement of their proprietary rights with respect to our existing or future products, or components of those products. If our products are found to infringe or violate the intellectual property rights of third parties, we may be forced to (1) seek licenses or royalty arrangements from such third parties, (2) stop selling, incorporating or using products that included the challenged intellectual property, or (3) incur substantial costs to redesign those products that use the technology. We cannot assure you that we would be able to obtain any such licenses or royalty arrangements on reasonable terms or at all or to develop redesigned products or, if these redesigned products were developed, they would perform as required or be accepted in the applicable markets.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Availability of Third-Party Licenses</w:t>
      </w:r>
    </w:p>
    <w:p>
      <w:pPr>
        <w:spacing w:after="0" w:line="99"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or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Resolution of Litigation May Harm Our Operating Results or Financial Condition</w:t>
      </w:r>
    </w:p>
    <w:p>
      <w:pPr>
        <w:spacing w:after="0" w:line="85" w:lineRule="exact"/>
        <w:rPr>
          <w:sz w:val="20"/>
          <w:szCs w:val="20"/>
          <w:color w:val="auto"/>
        </w:rPr>
      </w:pPr>
    </w:p>
    <w:p>
      <w:pPr>
        <w:ind w:right="40" w:firstLine="510"/>
        <w:spacing w:after="0"/>
        <w:rPr>
          <w:sz w:val="20"/>
          <w:szCs w:val="20"/>
          <w:color w:val="auto"/>
        </w:rPr>
      </w:pPr>
      <w:r>
        <w:rPr>
          <w:rFonts w:ascii="Arial" w:cs="Arial" w:eastAsia="Arial" w:hAnsi="Arial"/>
          <w:sz w:val="18"/>
          <w:szCs w:val="18"/>
          <w:color w:val="auto"/>
        </w:rPr>
        <w:t>We are a party to various lawsuits and claims in the normal course of our business. Litigation can be expensive, lengthy and disruptive to normal business operations. Moreover, the results of complex legal proceedings are difficult to predict. An unfavorable resolution of a particular lawsuit could have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Lower Our Stock Price and Dilute Existing Stockholders</w:t>
      </w:r>
    </w:p>
    <w:p>
      <w:pPr>
        <w:spacing w:after="0" w:line="85"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In February 2019,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For example, during the third quarter of fiscal year 2017 we completed the sale of approximately 7.5 million shares of our common stock in an underwritten public offering.</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40" w:name="page41"/>
    <w:bookmarkEnd w:id="40"/>
    <w:p>
      <w:pPr>
        <w:ind w:right="40" w:firstLine="510"/>
        <w:spacing w:after="0" w:line="236" w:lineRule="auto"/>
        <w:rPr>
          <w:sz w:val="20"/>
          <w:szCs w:val="20"/>
          <w:color w:val="auto"/>
        </w:rPr>
      </w:pPr>
      <w:r>
        <w:rPr>
          <w:rFonts w:ascii="Arial" w:cs="Arial" w:eastAsia="Arial" w:hAnsi="Arial"/>
          <w:sz w:val="18"/>
          <w:szCs w:val="18"/>
          <w:color w:val="auto"/>
        </w:rPr>
        <w:t>We may also issue additional shares of common stock to finance future acquisitions through the use of equity. For example, during the third quarter of fiscal year 2010 we issued approximately 4.3 million shares of our common stock to former equity and debt holders of WildBlue Holding, Inc. (WildBlue) in connection with our acquisition of WildBlue. Additionally, a substantial number of shares of our common stock are available for future sale pursuant to stock options, warrants or issuance pursuant to our 1996 Equity Participation Plan of ViaSat, Inc. and the ViaSat, Inc. Employee Stock Purchase Plan. We cannot predict the size of future issuances of our common stock or the effect, if any, that future sales and issuances of shares of our common stock will have on the market price of our common stock. Sales of substantial amounts of our common stock (including shares issued upon the exercise of stock options and warrants or in connection with acquisition financing), or the perception that such sales could occur, may adversely affect prevailing market prices for our common stock. In addition, these sales may be dilutive to existing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Our Stock Price to Be Volatile, and You May Lose All or Some of Your Investment</w:t>
      </w:r>
    </w:p>
    <w:p>
      <w:pPr>
        <w:spacing w:after="0" w:line="99"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The market price of our common stock has been volatile in the past. For example, between April 1, 2019 and December 31, 2019, the market price of our common stock ranged from $97.31 to $66.02. During the fourth quarter of fiscal year 2020, the market price of our common stock fell as low as $25.10, with the COVID-19 pandemic driving significant volatility and dislocation in the stock market generally. Trading prices may continue to fluctuate in response to a number of events and factors, including the following:</w:t>
      </w:r>
    </w:p>
    <w:p>
      <w:pPr>
        <w:spacing w:after="0" w:line="56"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quarterly variations in operating results and announcements of innovations;</w:t>
      </w:r>
    </w:p>
    <w:p>
      <w:pPr>
        <w:spacing w:after="0" w:line="76" w:lineRule="exact"/>
        <w:rPr>
          <w:rFonts w:ascii="Arial" w:cs="Arial" w:eastAsia="Arial" w:hAnsi="Arial"/>
          <w:sz w:val="18"/>
          <w:szCs w:val="18"/>
          <w:color w:val="auto"/>
        </w:rPr>
      </w:pPr>
    </w:p>
    <w:p>
      <w:pPr>
        <w:ind w:left="1000" w:right="320" w:hanging="493"/>
        <w:spacing w:after="0" w:line="246"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relating to the acquisition, construction and launch of satellites or the uptake of our in-flight services and IFC systems by commercial airlines;</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products, services and strategic developments by us or our competitors;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 distributors, suppliers and joint venture partners;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revenues, expense levels or profitability;</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meet the expectations of securities analysts;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satellite and wireless communications and secure networking industries; and</w:t>
      </w:r>
    </w:p>
    <w:p>
      <w:pPr>
        <w:spacing w:after="0" w:line="76" w:lineRule="exact"/>
        <w:rPr>
          <w:rFonts w:ascii="Arial" w:cs="Arial" w:eastAsia="Arial" w:hAnsi="Arial"/>
          <w:sz w:val="18"/>
          <w:szCs w:val="18"/>
          <w:color w:val="auto"/>
        </w:rPr>
      </w:pPr>
    </w:p>
    <w:p>
      <w:pPr>
        <w:ind w:left="1000" w:right="320" w:hanging="493"/>
        <w:spacing w:after="0" w:line="246"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market conditions in our industry or the economy as a whole, such as the recent market turmoil resulting from the COVID-19 pandemic.</w:t>
      </w:r>
    </w:p>
    <w:p>
      <w:pPr>
        <w:spacing w:after="0" w:line="143"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Any of these events may cause the market price of our common stock to fall. In addition, the stock market in general and the market prices for technology companies in particular have experienced significant volatility that often has been unrelated to the operating performance of these companies. These broad market and industry fluctuations may adversely affect the market price of our common stock, regardless of our operating performance.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Utilize All of Our Deferred Tax Assets</w:t>
      </w:r>
    </w:p>
    <w:p>
      <w:pPr>
        <w:spacing w:after="0" w:line="85"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We currently believe that we are likely to have sufficient taxable income in the future to realize the benefit of all of our net deferred tax assets (consisting primarily of net operating loss and tax credit carryforwards, reserves and accruals that are not currently deductible for tax purposes). However, some or all of these deferred tax assets could expire unused if we are unable to generate sufficient taxable income in the future to take advantage of them or we enter into transactions that limit our right to use them. If it became more likely than not that deferred tax assets would expire unused, we would have to increase our valuation allowance against deferred tax assets to reflect this fact, which could materially increase our income tax expense, and therefore adversely affect our results of operations and tangible net worth in the period in which it is recorded.</w:t>
      </w:r>
    </w:p>
    <w:p>
      <w:pPr>
        <w:spacing w:after="0" w:line="14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Moreover, our ability to utilize our net operating loss and tax credit carryforwards to offset future taxable income and reduce future cash tax liabilities would be negatively impacted if we were to experience an “ownership change,” as defined in Section 382 of the Internal Revenue Code of 1986, as amended (the Code). In general terms, an “ownership change” can occur whenever the ownership of a company by one or more “5% shareholders” changes by more than 50 percentage points within a three-year period. The determination of whether an ownership change has occurred for purposes of Section 382 of the Code is complex and requires significant judgment. Moreover, the number of shares of our common stock outstanding at any particular time for purposes of Section 382 of the Code may differ from the number of shares that we report as outstanding in our filings with the SEC. In the event that an ownership change occurs, our ability to utilize our net operating loss and tax credit carryforwards would be negatively impacted, which could have a material adverse effect on our business, financial condition and results of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1" w:name="page42"/>
    <w:bookmarkEnd w:id="41"/>
    <w:p>
      <w:pPr>
        <w:ind w:right="20" w:firstLine="510"/>
        <w:spacing w:after="0" w:line="237" w:lineRule="auto"/>
        <w:rPr>
          <w:sz w:val="20"/>
          <w:szCs w:val="20"/>
          <w:color w:val="auto"/>
        </w:rPr>
      </w:pPr>
      <w:r>
        <w:rPr>
          <w:rFonts w:ascii="Arial" w:cs="Arial" w:eastAsia="Arial" w:hAnsi="Arial"/>
          <w:sz w:val="18"/>
          <w:szCs w:val="18"/>
          <w:color w:val="auto"/>
        </w:rPr>
        <w:t>Under U.S. federal tax legislation, although the treatment of net operating loss carryforwards arising in tax years beginning on or before December 31, 2017 has generally not changed, net operating loss carryforwards arising in tax years beginning after December 31, 2017 may be carried forward indefinitely, as opposed to the 20-year carryforward under prior law. In addition, net operating loss carryforwards arising in tax years beginning after December 31, 2017, and before January 1, 2021, may be carried back to the five preceding tax years. However, net operating losses arising in tax years beginning after December 31, 2017 may be used to offset only 80% of taxable income for tax years beginning on or after January 1, 2021.</w:t>
      </w:r>
    </w:p>
    <w:p>
      <w:pPr>
        <w:spacing w:after="0" w:line="19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Our Executive Officers and Directors Own a Significant Percentage of Our Common Stock and May Exert Significant Influence over Matters Requiring Stockholder Approval</w:t>
      </w:r>
    </w:p>
    <w:p>
      <w:pPr>
        <w:spacing w:after="0" w:line="41"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As of March 31, 2020, our executive officers and directors and their affiliates beneficially owned an aggregate of approximately 7% of our common stock. Accordingly, these stockholders may be able to significantly influence matters requiring approval by our stockholders, including the election of directors and the approval of mergers or other business combination transactions. Circumstances may arise in which the interests of these stockholders could conflict with the interests of our other stockholders. These stockholders could delay or prevent a change in control of Viasat even if such a transaction would be beneficial to our other stockholders.</w:t>
      </w:r>
    </w:p>
    <w:p>
      <w:pPr>
        <w:spacing w:after="0" w:line="19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Provisions in Our Certificate of Incorporation and Bylaws, under Delaware Law and in Our Credit Facilities May Discourage, Delay or Prevent a Change in Control or Prevent an Acquisition of Our Business at a Premium Price</w:t>
      </w:r>
    </w:p>
    <w:p>
      <w:pPr>
        <w:spacing w:after="0" w:line="27" w:lineRule="exact"/>
        <w:rPr>
          <w:sz w:val="20"/>
          <w:szCs w:val="20"/>
          <w:color w:val="auto"/>
        </w:rPr>
      </w:pPr>
    </w:p>
    <w:p>
      <w:pPr>
        <w:ind w:right="200" w:firstLine="510"/>
        <w:spacing w:after="0"/>
        <w:rPr>
          <w:sz w:val="20"/>
          <w:szCs w:val="20"/>
          <w:color w:val="auto"/>
        </w:rPr>
      </w:pPr>
      <w:r>
        <w:rPr>
          <w:rFonts w:ascii="Arial" w:cs="Arial" w:eastAsia="Arial" w:hAnsi="Arial"/>
          <w:sz w:val="18"/>
          <w:szCs w:val="18"/>
          <w:color w:val="auto"/>
        </w:rPr>
        <w:t>Some of the provisions of our certificate of incorporation, our bylaws and Delaware law could discourage, delay or prevent an acquisition of our business, even if a change in control of Viasat would be beneficial to the interests of our stockholders and was made at a premium price. These provisions:</w:t>
      </w:r>
    </w:p>
    <w:p>
      <w:pPr>
        <w:spacing w:after="0" w:line="68"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permit the board of directors to increase its own size and fill the resulting vacancies;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for a board comprised of three classes of directors with each class serving a staggered three-year term;</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in one or more series;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58"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We are also subject to Section 203 of the Delaware General Corporation Law, which imposes restrictions on mergers and other business combinations between us and any holder of 15% or more of our common stock. In addition, under the Indentures, if certain “change of control” events occur, each holder of 2025 Notes and the 2027 Notes may require us to repurchase all of such holder’s 2025 Notes or 2027 Notes, as applicable, at a purchase price equal to 101% of the principal amount of such notes. Additionally, our Credit Facilities provide for an event of default upon the occurrence of certain specified “change of control” events.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9"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Our worldwide headquarters are located at our Carlsbad, California campus, consisting of approximately 985,000 square feet under various leases. In addition to our Carlsbad campus, we have facilities or offices under various leases across the United States including San Diego (California), San Jose (California), Tempe (Arizona), Gilbert (Arizona), Englewood (Colorado), Washington, D.C., Melbourne (Florida), Tampa (Florida), Duluth (Georgia), Atlanta (Georgia), Marlborough (Massachusetts), Boston (Massachusetts), Germantown (Maryland), Linthicum (Maryland), Fort Bragg (North Carolina), Cleveland (Ohio), Austin (Texas), Rockwall (Texas), College Station (Texas) and Seattle (Washington). We also maintain offices or a sales presence around the globe including in Australia, Brazil, China, India, Ireland, Israel, Italy, Mexico, Netherlands, Switzerland and the United Kingdom. We operate earth station locations to support our satellite broadband services business across the United States, Canada and Brazil. Although we believe that our existing facilities are suitable and adequate for our present purposes, we anticipate operating additional regional sales offices in fiscal year 2021 and beyond. Each of our segments uses each of these facilities.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of this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6" w:right="39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5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EQUITY SECURITIES</w:t>
      </w:r>
    </w:p>
    <w:p>
      <w:pPr>
        <w:spacing w:after="0" w:line="27" w:lineRule="exact"/>
        <w:rPr>
          <w:sz w:val="20"/>
          <w:szCs w:val="20"/>
          <w:color w:val="auto"/>
        </w:rPr>
      </w:pPr>
    </w:p>
    <w:p>
      <w:pPr>
        <w:ind w:right="440" w:firstLine="510"/>
        <w:spacing w:after="0"/>
        <w:rPr>
          <w:sz w:val="20"/>
          <w:szCs w:val="20"/>
          <w:color w:val="auto"/>
        </w:rPr>
      </w:pPr>
      <w:r>
        <w:rPr>
          <w:rFonts w:ascii="Arial" w:cs="Arial" w:eastAsia="Arial" w:hAnsi="Arial"/>
          <w:sz w:val="18"/>
          <w:szCs w:val="18"/>
          <w:color w:val="auto"/>
        </w:rPr>
        <w:t>Our common stock is traded on the Nasdaq Global Select Market under the symbol “VSAT.” As of May 15, 2020, there were approximately 420 holders of record of our common stock. A substantially greater number of holders of Viasat common stock are “street name” or beneficial holders, whose shares are held of record by banks, brokers and other financial institutions.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85"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and will be dependent upon our financial condition, results of operations, capital requirements, general business condition and such other factors as the Board of Directors may deem relevant. In addition, as more fully described in “Management’s Discussion and Analysis of Financial Condition and Results of Operations” in Item 7, the existing terms of our Credit Facilities and the Indentures restrict our ability to declare or pay dividends on our common stock.</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our selected financial information for each of the fiscal years in the five-year period ended</w:t>
      </w:r>
    </w:p>
    <w:p>
      <w:pPr>
        <w:jc w:val="both"/>
        <w:ind w:right="280"/>
        <w:spacing w:after="0" w:line="238" w:lineRule="auto"/>
        <w:rPr>
          <w:sz w:val="20"/>
          <w:szCs w:val="20"/>
          <w:color w:val="auto"/>
        </w:rPr>
      </w:pPr>
      <w:r>
        <w:rPr>
          <w:rFonts w:ascii="Arial" w:cs="Arial" w:eastAsia="Arial" w:hAnsi="Arial"/>
          <w:sz w:val="18"/>
          <w:szCs w:val="18"/>
          <w:color w:val="auto"/>
        </w:rPr>
        <w:t>March 31, 2020. The data as of and for each of the fiscal years in the five-year period ended March 31, 2020 have been derived from our audited consolidated financial statements, except as otherwise noted. You should consider the financial statement data provided below in conjunction with “Management’s Discussion and Analysis of Financial Condition and Results of Operations” and the consolidated financial statements and notes which are included elsewhere in this Annual Report.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92"/>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5"/>
                <w:szCs w:val="15"/>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March 31, 2017</w:t>
            </w:r>
          </w:p>
        </w:tc>
        <w:tc>
          <w:tcPr>
            <w:tcW w:w="8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r>
      <w:tr>
        <w:trPr>
          <w:trHeight w:val="169"/>
        </w:trPr>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520" w:type="dxa"/>
            <w:vAlign w:val="bottom"/>
            <w:tcBorders>
              <w:top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Revenues: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 revenues</w:t>
            </w:r>
          </w:p>
        </w:tc>
        <w:tc>
          <w:tcPr>
            <w:tcW w:w="60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1,172,541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1,092,691</w:t>
            </w:r>
          </w:p>
        </w:tc>
        <w:tc>
          <w:tcPr>
            <w:tcW w:w="36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755,547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713,936</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664,821</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 revenues</w:t>
            </w:r>
          </w:p>
        </w:tc>
        <w:tc>
          <w:tcPr>
            <w:tcW w:w="4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1,136,697</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975,567</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839,078</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845,401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752,610</w:t>
            </w:r>
          </w:p>
        </w:tc>
        <w:tc>
          <w:tcPr>
            <w:tcW w:w="100" w:type="dxa"/>
            <w:vAlign w:val="bottom"/>
            <w:tcBorders>
              <w:bottom w:val="single" w:sz="8" w:color="CFF0FC"/>
            </w:tcBorders>
          </w:tcPr>
          <w:p>
            <w:pPr>
              <w:spacing w:after="0"/>
              <w:rPr>
                <w:sz w:val="18"/>
                <w:szCs w:val="18"/>
                <w:color w:val="auto"/>
              </w:rPr>
            </w:pPr>
          </w:p>
        </w:tc>
      </w:tr>
      <w:tr>
        <w:trPr>
          <w:trHeight w:val="21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2,309,238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2,068,258</w:t>
            </w:r>
          </w:p>
        </w:tc>
        <w:tc>
          <w:tcPr>
            <w:tcW w:w="22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1,594,625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1,559,337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1,417,431</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product revenues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845,757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834,472</w:t>
            </w:r>
          </w:p>
        </w:tc>
        <w:tc>
          <w:tcPr>
            <w:tcW w:w="22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553,677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524,026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489,246</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500"/>
              <w:spacing w:after="0"/>
              <w:rPr>
                <w:sz w:val="20"/>
                <w:szCs w:val="20"/>
                <w:color w:val="auto"/>
              </w:rPr>
            </w:pPr>
            <w:r>
              <w:rPr>
                <w:rFonts w:ascii="Arial" w:cs="Arial" w:eastAsia="Arial" w:hAnsi="Arial"/>
                <w:sz w:val="18"/>
                <w:szCs w:val="18"/>
                <w:color w:val="auto"/>
              </w:rPr>
              <w:t>Cost of service revenues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763,930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703,249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567,137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524,949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495,099</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523,085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458,458</w:t>
            </w:r>
          </w:p>
        </w:tc>
        <w:tc>
          <w:tcPr>
            <w:tcW w:w="22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385,420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333,468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298,345</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500"/>
              <w:spacing w:after="0"/>
              <w:rPr>
                <w:sz w:val="20"/>
                <w:szCs w:val="20"/>
                <w:color w:val="auto"/>
              </w:rPr>
            </w:pPr>
            <w:r>
              <w:rPr>
                <w:rFonts w:ascii="Arial" w:cs="Arial" w:eastAsia="Arial" w:hAnsi="Arial"/>
                <w:sz w:val="18"/>
                <w:szCs w:val="18"/>
                <w:color w:val="auto"/>
              </w:rPr>
              <w:t>Independent research and development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130,434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123,044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168,347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129,647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77,184</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acquired intangible assets</w:t>
            </w:r>
          </w:p>
        </w:tc>
        <w:tc>
          <w:tcPr>
            <w:tcW w:w="4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7,611</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9,655</w:t>
            </w:r>
          </w:p>
        </w:tc>
        <w:tc>
          <w:tcPr>
            <w:tcW w:w="220" w:type="dxa"/>
            <w:vAlign w:val="bottom"/>
            <w:tcBorders>
              <w:lef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12,231</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16,438</w:t>
            </w:r>
          </w:p>
        </w:tc>
        <w:tc>
          <w:tcPr>
            <w:tcW w:w="100" w:type="dxa"/>
            <w:vAlign w:val="bottom"/>
            <w:shd w:val="clear" w:color="auto" w:fill="CFF0FC"/>
          </w:tcPr>
          <w:p>
            <w:pPr>
              <w:spacing w:after="0"/>
              <w:rPr>
                <w:sz w:val="18"/>
                <w:szCs w:val="18"/>
                <w:color w:val="auto"/>
              </w:rPr>
            </w:pPr>
          </w:p>
        </w:tc>
      </w:tr>
      <w:tr>
        <w:trPr>
          <w:trHeight w:val="209"/>
        </w:trPr>
        <w:tc>
          <w:tcPr>
            <w:tcW w:w="4660" w:type="dxa"/>
            <w:vAlign w:val="bottom"/>
          </w:tcPr>
          <w:p>
            <w:pPr>
              <w:ind w:left="260"/>
              <w:spacing w:after="0"/>
              <w:rPr>
                <w:sz w:val="20"/>
                <w:szCs w:val="20"/>
                <w:color w:val="auto"/>
              </w:rPr>
            </w:pPr>
            <w:r>
              <w:rPr>
                <w:rFonts w:ascii="Arial" w:cs="Arial" w:eastAsia="Arial" w:hAnsi="Arial"/>
                <w:sz w:val="18"/>
                <w:szCs w:val="18"/>
                <w:color w:val="auto"/>
              </w:rPr>
              <w:t>Income (loss) from operations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(92,187)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41,119</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(36,993)</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(49,861)</w:t>
            </w:r>
          </w:p>
        </w:tc>
        <w:tc>
          <w:tcPr>
            <w:tcW w:w="22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(3,066)</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(11,075)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(23,522)</w:t>
            </w: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(10,217)</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66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(loss) before income taxes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(110,481)</w:t>
            </w:r>
          </w:p>
        </w:tc>
        <w:tc>
          <w:tcPr>
            <w:tcW w:w="22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(105,470)</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17,597</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Benefit from (provision for) income taxes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(3,617)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4,173</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 income of unconsolidated affiliate, net</w:t>
            </w:r>
          </w:p>
        </w:tc>
        <w:tc>
          <w:tcPr>
            <w:tcW w:w="4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4,470</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220" w:type="dxa"/>
            <w:vAlign w:val="bottom"/>
            <w:tcBorders>
              <w:lef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0"/>
        </w:trPr>
        <w:tc>
          <w:tcPr>
            <w:tcW w:w="466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(66,469)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(68,275)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21,770</w:t>
            </w:r>
          </w:p>
        </w:tc>
        <w:tc>
          <w:tcPr>
            <w:tcW w:w="100" w:type="dxa"/>
            <w:vAlign w:val="bottom"/>
          </w:tcPr>
          <w:p>
            <w:pPr>
              <w:spacing w:after="0"/>
              <w:rPr>
                <w:sz w:val="18"/>
                <w:szCs w:val="18"/>
                <w:color w:val="auto"/>
              </w:rPr>
            </w:pPr>
          </w:p>
        </w:tc>
      </w:tr>
      <w:tr>
        <w:trPr>
          <w:trHeight w:val="215"/>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net income (loss) attributable to</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6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noncontrolling interests, net of tax</w:t>
            </w: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14,025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1,154</w:t>
            </w:r>
          </w:p>
        </w:tc>
        <w:tc>
          <w:tcPr>
            <w:tcW w:w="220" w:type="dxa"/>
            <w:vAlign w:val="bottom"/>
            <w:tcBorders>
              <w:lef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(970)</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(2,000)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660" w:type="dxa"/>
            <w:vAlign w:val="bottom"/>
          </w:tcPr>
          <w:p>
            <w:pPr>
              <w:ind w:left="260"/>
              <w:spacing w:after="0"/>
              <w:rPr>
                <w:sz w:val="20"/>
                <w:szCs w:val="20"/>
                <w:color w:val="auto"/>
              </w:rPr>
            </w:pPr>
            <w:r>
              <w:rPr>
                <w:rFonts w:ascii="Arial" w:cs="Arial" w:eastAsia="Arial" w:hAnsi="Arial"/>
                <w:sz w:val="18"/>
                <w:szCs w:val="18"/>
                <w:color w:val="auto"/>
              </w:rPr>
              <w:t>Net (loss) income attributable to Viasat, Inc.</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(67,623)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(67,305)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23,767</w:t>
            </w:r>
          </w:p>
        </w:tc>
        <w:tc>
          <w:tcPr>
            <w:tcW w:w="140" w:type="dxa"/>
            <w:vAlign w:val="bottom"/>
          </w:tcPr>
          <w:p>
            <w:pPr>
              <w:spacing w:after="0"/>
              <w:rPr>
                <w:sz w:val="21"/>
                <w:szCs w:val="21"/>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21,741</w:t>
            </w:r>
          </w:p>
        </w:tc>
        <w:tc>
          <w:tcPr>
            <w:tcW w:w="100" w:type="dxa"/>
            <w:vAlign w:val="bottom"/>
          </w:tcPr>
          <w:p>
            <w:pPr>
              <w:spacing w:after="0"/>
              <w:rPr>
                <w:sz w:val="21"/>
                <w:szCs w:val="21"/>
                <w:color w:val="auto"/>
              </w:rPr>
            </w:pPr>
          </w:p>
        </w:tc>
      </w:tr>
      <w:tr>
        <w:trPr>
          <w:trHeight w:val="196"/>
        </w:trPr>
        <w:tc>
          <w:tcPr>
            <w:tcW w:w="4660" w:type="dxa"/>
            <w:vAlign w:val="bottom"/>
            <w:tcBorders>
              <w:top w:val="single" w:sz="8" w:color="CFF0FC"/>
            </w:tcBorders>
            <w:shd w:val="clear" w:color="auto" w:fill="CFF0FC"/>
          </w:tcPr>
          <w:p>
            <w:pPr>
              <w:ind w:left="260"/>
              <w:spacing w:after="0" w:line="195" w:lineRule="exact"/>
              <w:rPr>
                <w:sz w:val="20"/>
                <w:szCs w:val="20"/>
                <w:color w:val="auto"/>
              </w:rPr>
            </w:pPr>
            <w:r>
              <w:rPr>
                <w:rFonts w:ascii="Arial" w:cs="Arial" w:eastAsia="Arial" w:hAnsi="Arial"/>
                <w:sz w:val="18"/>
                <w:szCs w:val="18"/>
                <w:color w:val="auto"/>
              </w:rPr>
              <w:t>Basic net (loss) income per share attributable to</w:t>
            </w:r>
          </w:p>
        </w:tc>
        <w:tc>
          <w:tcPr>
            <w:tcW w:w="4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lef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6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Viasat, Inc. common stockholders</w:t>
            </w:r>
          </w:p>
        </w:tc>
        <w:tc>
          <w:tcPr>
            <w:tcW w:w="600" w:type="dxa"/>
            <w:vAlign w:val="bottom"/>
            <w:gridSpan w:val="2"/>
            <w:shd w:val="clear" w:color="auto" w:fill="CFF0FC"/>
          </w:tcPr>
          <w:p>
            <w:pPr>
              <w:ind w:left="4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(0.00)</w:t>
            </w:r>
          </w:p>
        </w:tc>
        <w:tc>
          <w:tcPr>
            <w:tcW w:w="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(1.13)</w:t>
            </w:r>
          </w:p>
        </w:tc>
        <w:tc>
          <w:tcPr>
            <w:tcW w:w="360" w:type="dxa"/>
            <w:vAlign w:val="bottom"/>
            <w:tcBorders>
              <w:left w:val="single" w:sz="8" w:color="CFF0FC"/>
            </w:tcBorders>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(1.15)</w:t>
            </w:r>
          </w:p>
        </w:tc>
        <w:tc>
          <w:tcPr>
            <w:tcW w:w="1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0.45</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8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0.45</w:t>
            </w:r>
          </w:p>
        </w:tc>
        <w:tc>
          <w:tcPr>
            <w:tcW w:w="100" w:type="dxa"/>
            <w:vAlign w:val="bottom"/>
            <w:shd w:val="clear" w:color="auto" w:fill="CFF0FC"/>
          </w:tcPr>
          <w:p>
            <w:pPr>
              <w:spacing w:after="0"/>
              <w:rPr>
                <w:sz w:val="17"/>
                <w:szCs w:val="17"/>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8"/>
                <w:szCs w:val="18"/>
                <w:color w:val="auto"/>
              </w:rPr>
              <w:t>Diluted net (loss) income per share attributable to</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660" w:type="dxa"/>
            <w:vAlign w:val="bottom"/>
          </w:tcPr>
          <w:p>
            <w:pPr>
              <w:ind w:left="400"/>
              <w:spacing w:after="0" w:line="203" w:lineRule="exact"/>
              <w:rPr>
                <w:sz w:val="20"/>
                <w:szCs w:val="20"/>
                <w:color w:val="auto"/>
              </w:rPr>
            </w:pPr>
            <w:r>
              <w:rPr>
                <w:rFonts w:ascii="Arial" w:cs="Arial" w:eastAsia="Arial" w:hAnsi="Arial"/>
                <w:sz w:val="18"/>
                <w:szCs w:val="18"/>
                <w:color w:val="auto"/>
              </w:rPr>
              <w:t>Viasat, Inc. common stockholders</w:t>
            </w:r>
          </w:p>
        </w:tc>
        <w:tc>
          <w:tcPr>
            <w:tcW w:w="600" w:type="dxa"/>
            <w:vAlign w:val="bottom"/>
            <w:gridSpan w:val="2"/>
          </w:tcPr>
          <w:p>
            <w:pPr>
              <w:ind w:left="4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(0.00)</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(1.13)</w:t>
            </w:r>
          </w:p>
        </w:tc>
        <w:tc>
          <w:tcPr>
            <w:tcW w:w="3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(1.15)</w:t>
            </w:r>
          </w:p>
        </w:tc>
        <w:tc>
          <w:tcPr>
            <w:tcW w:w="1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0.45</w:t>
            </w:r>
          </w:p>
        </w:tc>
        <w:tc>
          <w:tcPr>
            <w:tcW w:w="140" w:type="dxa"/>
            <w:vAlign w:val="bottom"/>
          </w:tcPr>
          <w:p>
            <w:pPr>
              <w:spacing w:after="0"/>
              <w:rPr>
                <w:sz w:val="17"/>
                <w:szCs w:val="17"/>
                <w:color w:val="auto"/>
              </w:rPr>
            </w:pPr>
          </w:p>
        </w:tc>
        <w:tc>
          <w:tcPr>
            <w:tcW w:w="24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0.44</w:t>
            </w:r>
          </w:p>
        </w:tc>
        <w:tc>
          <w:tcPr>
            <w:tcW w:w="100" w:type="dxa"/>
            <w:vAlign w:val="bottom"/>
          </w:tcPr>
          <w:p>
            <w:pPr>
              <w:spacing w:after="0"/>
              <w:rPr>
                <w:sz w:val="17"/>
                <w:szCs w:val="17"/>
                <w:color w:val="auto"/>
              </w:rPr>
            </w:pPr>
          </w:p>
        </w:tc>
      </w:tr>
      <w:tr>
        <w:trPr>
          <w:trHeight w:val="215"/>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used in computing basic net (loss) income</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6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per share</w:t>
            </w: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61,632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59,942</w:t>
            </w:r>
          </w:p>
        </w:tc>
        <w:tc>
          <w:tcPr>
            <w:tcW w:w="220" w:type="dxa"/>
            <w:vAlign w:val="bottom"/>
            <w:tcBorders>
              <w:lef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58,438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52,318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48,464</w:t>
            </w:r>
          </w:p>
        </w:tc>
        <w:tc>
          <w:tcPr>
            <w:tcW w:w="100" w:type="dxa"/>
            <w:vAlign w:val="bottom"/>
            <w:shd w:val="clear" w:color="auto" w:fill="CFF0FC"/>
          </w:tcPr>
          <w:p>
            <w:pPr>
              <w:spacing w:after="0"/>
              <w:rPr>
                <w:sz w:val="17"/>
                <w:szCs w:val="17"/>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8"/>
                <w:szCs w:val="18"/>
                <w:color w:val="auto"/>
              </w:rPr>
              <w:t>Shares used in computing diluted net (loss)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660" w:type="dxa"/>
            <w:vAlign w:val="bottom"/>
          </w:tcPr>
          <w:p>
            <w:pPr>
              <w:ind w:left="400"/>
              <w:spacing w:after="0" w:line="203" w:lineRule="exact"/>
              <w:rPr>
                <w:sz w:val="20"/>
                <w:szCs w:val="20"/>
                <w:color w:val="auto"/>
              </w:rPr>
            </w:pPr>
            <w:r>
              <w:rPr>
                <w:rFonts w:ascii="Arial" w:cs="Arial" w:eastAsia="Arial" w:hAnsi="Arial"/>
                <w:sz w:val="18"/>
                <w:szCs w:val="18"/>
                <w:color w:val="auto"/>
              </w:rPr>
              <w:t>income per share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61,632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59,942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58,438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53,396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49,445</w:t>
            </w:r>
          </w:p>
        </w:tc>
        <w:tc>
          <w:tcPr>
            <w:tcW w:w="100" w:type="dxa"/>
            <w:vAlign w:val="bottom"/>
          </w:tcPr>
          <w:p>
            <w:pPr>
              <w:spacing w:after="0"/>
              <w:rPr>
                <w:sz w:val="17"/>
                <w:szCs w:val="17"/>
                <w:color w:val="auto"/>
              </w:rPr>
            </w:pPr>
          </w:p>
        </w:tc>
      </w:tr>
      <w:tr>
        <w:trPr>
          <w:trHeight w:val="216"/>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304,309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261,701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71,446</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130,098</w:t>
            </w:r>
          </w:p>
        </w:tc>
        <w:tc>
          <w:tcPr>
            <w:tcW w:w="1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42,088</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Working capital (1) (2)</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441,125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401,692</w:t>
            </w:r>
          </w:p>
        </w:tc>
        <w:tc>
          <w:tcPr>
            <w:tcW w:w="22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146,096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289,339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241,567</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Total assets (2) (4)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4,883,868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3,915,287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3,414,109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2,954,653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2,397,312</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notes (2)</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1,285,497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1,282,898</w:t>
            </w:r>
          </w:p>
        </w:tc>
        <w:tc>
          <w:tcPr>
            <w:tcW w:w="22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690,886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575,380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575,304</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Other long-term debt (2) (3)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536,166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287,519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273,103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370,224</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120,934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120,826</w:t>
            </w:r>
          </w:p>
        </w:tc>
        <w:tc>
          <w:tcPr>
            <w:tcW w:w="22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121,240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37,371</w:t>
            </w:r>
          </w:p>
        </w:tc>
        <w:tc>
          <w:tcPr>
            <w:tcW w:w="100" w:type="dxa"/>
            <w:vAlign w:val="bottom"/>
            <w:shd w:val="clear" w:color="auto" w:fill="CFF0FC"/>
          </w:tcPr>
          <w:p>
            <w:pPr>
              <w:spacing w:after="0"/>
              <w:rPr>
                <w:sz w:val="18"/>
                <w:szCs w:val="18"/>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Total Viasat, Inc. stockholders’ equity</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2,027,787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1,907,748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1,837,166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1,734,618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1,129,103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769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330" w:lineRule="exact"/>
        <w:rPr>
          <w:sz w:val="20"/>
          <w:szCs w:val="20"/>
          <w:color w:val="auto"/>
        </w:rPr>
      </w:pPr>
    </w:p>
    <w:p>
      <w:pPr>
        <w:ind w:left="500" w:right="60" w:hanging="492"/>
        <w:spacing w:after="0" w:line="238"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November 2015, the Financial Accounting Standards Board issued Accounting Standards Update (ASU) 2015-17, Income Taxes (Accounting Standards Codification 740): Balance Sheet Classification of Deferred Taxes, which simplifies the presentation of deferred income taxes by requiring deferred tax assets and liabilities be classified as non-current on the balance sheet. We early adopted this standard retrospectively during the fourth quarter of fiscal year 2016 and reclassified all of our current deferred tax assets to non-current deferred tax assets on our consolidated balance sheets for all periods presented.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5" w:name="page46"/>
    <w:bookmarkEnd w:id="45"/>
    <w:p>
      <w:pPr>
        <w:ind w:left="500" w:right="200" w:hanging="492"/>
        <w:spacing w:after="0" w:line="23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first quarter of fiscal year 2017, we adopted ASU 2015-03. The retrospective adoption of this guidance resulted in the reclassification of unamortized debt issuance costs as a direct deduction from the carrying amounts of our former 6.875% Notes due 2020 (the 2020 Notes) and the Ex-Im Credit Facility, consistent with unamortized discount, for all periods presented.</w:t>
      </w:r>
    </w:p>
    <w:p>
      <w:pPr>
        <w:spacing w:after="0" w:line="1" w:lineRule="exact"/>
        <w:rPr>
          <w:rFonts w:ascii="Arial" w:cs="Arial" w:eastAsia="Arial" w:hAnsi="Arial"/>
          <w:sz w:val="18"/>
          <w:szCs w:val="18"/>
          <w:color w:val="auto"/>
        </w:rPr>
      </w:pPr>
    </w:p>
    <w:p>
      <w:pPr>
        <w:ind w:left="500" w:right="20" w:hanging="492"/>
        <w:spacing w:after="0" w:line="23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only the long-term portion of other long-term debt. The current portion of other long-term debt totaled $29.8 million, $19.9 million and $45.3 million as of March 31, 2020, March 31, 2019 and March 31, 2018, respectively. There was no current portion related to other long-term debt in any other period presented.</w:t>
      </w:r>
    </w:p>
    <w:p>
      <w:pPr>
        <w:spacing w:after="0" w:line="2" w:lineRule="exact"/>
        <w:rPr>
          <w:rFonts w:ascii="Arial" w:cs="Arial" w:eastAsia="Arial" w:hAnsi="Arial"/>
          <w:sz w:val="18"/>
          <w:szCs w:val="18"/>
          <w:color w:val="auto"/>
        </w:rPr>
      </w:pPr>
    </w:p>
    <w:p>
      <w:pPr>
        <w:ind w:left="500" w:right="20" w:hanging="492"/>
        <w:spacing w:after="0" w:line="246"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first quarter of fiscal year 2020, we adopted ASU 2016-02, Leases, commonly referred to as ASC 842, which resulted in the addition of operating lease right-of-use assets to our total assets.</w:t>
      </w:r>
    </w:p>
    <w:p>
      <w:pPr>
        <w:spacing w:after="0" w:line="143"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Our fiscal year 2016 information presented reflects the amounts realized under our settlement agreement with SS/L and Loral (the Settlement Agreement) of $27.5 million, of which $25.3 million was recognized as product revenues in our satellite services segment, and $2.2 million was recognized as interest income in the consolidated financial statements. Our fiscal year 2017 information presented reflects amounts realized under the Settlement Agreement of $ 27.5 million, of which $26.8 million was recognized as product revenues in our satellite services segment, and an insignificant amount was recognized as interest income in the consolidated financial statements. As of March 31, 2017 all payments pursuant to the Settlement Agreement had been made. Our fiscal year 2017 information presented also reflects the amounts accrued for uncharacterized damages and penalties of $11.4 million and $ 0.4 million, respectively, in connection with the False Claims Act civil investigation related to our 52% majority-owned subsidiary TrellisWare, recognized in SG&amp;A expenses in our government systems segment. The impact of the loss contingency on net income attributable to Viasat, Inc. stockholders for fiscal year 2017, net of tax, was $4.0 million, with the related amount of $3.7 million recorded to net (loss) income attributable to noncontrolling interests, net of tax. The impact of the loss contingency on basic and diluted net income per share attributable to Viasat, Inc. common stockholders for fiscal year 2017 was $ 0.08 per share and $0.07 per share, respectively. In the fourth quarter of fiscal year 2018, the TrellisWare investigation was settled and the accrued amount of loss contingency was paid out in full. Our fiscal year 2018 information presented reflects the repurchase and redemption of our former 2020 Notes and the associated $10.2 million loss on extinguishment of debt. Refer to Note 6 – Senior Notes and Other Long-Term Debt to our consolidated financial statements for discussion of the repurchase and redemption of all of the 2020 Notes and loss on extinguishment of debt. Our fiscal year 2019 information presented reflects a $7.5 million gain related to ViaSat-2 insurance claims in SG&amp;A expenses in our satellite services segment. Refer to Note 1 – The Company and a Summary of Its Significant Accounting Policies – Property, equipment and satellites to our consolidated financial statements for further discussion of the ViaSat-2 insurance claims.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6" w:name="page47"/>
    <w:bookmarkEnd w:id="46"/>
    <w:p>
      <w:pPr>
        <w:ind w:right="1260"/>
        <w:spacing w:after="0" w:line="333"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Company Overview</w:t>
      </w:r>
    </w:p>
    <w:p>
      <w:pPr>
        <w:ind w:right="20" w:firstLine="510"/>
        <w:spacing w:after="0" w:line="236" w:lineRule="auto"/>
        <w:rPr>
          <w:sz w:val="20"/>
          <w:szCs w:val="20"/>
          <w:color w:val="auto"/>
        </w:rPr>
      </w:pPr>
      <w:r>
        <w:rPr>
          <w:rFonts w:ascii="Arial" w:cs="Arial" w:eastAsia="Arial" w:hAnsi="Arial"/>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vertical integration strategy and ability to effectively cross-deploy technologies between government and commercial segments and across different geographic markets, provides us with a strong foundation to sustain and enhance our leadership in advanced communications and networking technologies.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w:t>
      </w:r>
    </w:p>
    <w:p>
      <w:pPr>
        <w:spacing w:after="0" w:line="85" w:lineRule="exact"/>
        <w:rPr>
          <w:sz w:val="20"/>
          <w:szCs w:val="20"/>
          <w:color w:val="auto"/>
        </w:rPr>
      </w:pPr>
    </w:p>
    <w:p>
      <w:pPr>
        <w:ind w:right="180" w:firstLine="510"/>
        <w:spacing w:after="0" w:line="236" w:lineRule="auto"/>
        <w:rPr>
          <w:sz w:val="20"/>
          <w:szCs w:val="20"/>
          <w:color w:val="auto"/>
        </w:rPr>
      </w:pPr>
      <w:r>
        <w:rPr>
          <w:rFonts w:ascii="Arial" w:cs="Arial" w:eastAsia="Arial" w:hAnsi="Arial"/>
          <w:sz w:val="18"/>
          <w:szCs w:val="18"/>
          <w:color w:val="auto"/>
        </w:rPr>
        <w:t>In March 2020, the global outbreak of COVID-19 was declared a pandemic by the World Health Organization and a national emergency by the U.S. Government. The COVID-19 pandemic and attempts to contain it, such as mandatory closures, “shelter-in-place” orders and travel restrictions, have caused significant disruptions and adverse effects on U.S. and global economies, including impacts to supply chains, customer demand and financial markets. We have taken measures to protect the health and safety of our employees and to work with our customers, employees, suppliers, subcontractors, distributors, resellers and communities to address the disruptions from the pandemic. At the end of the fourth quarter of fiscal year 2020, we began to see the impacts of the evolving COVID-19 pandemic. However, financial impacts related to COVID-19, including our actions and costs in response to the pandemic, were not material to our financial position, results of operations or cash flows in the fourth quarter of fiscal year 2020. We expect our diversified businesses to provide resiliency as we enter fiscal year 2021.</w:t>
      </w:r>
    </w:p>
    <w:p>
      <w:pPr>
        <w:spacing w:after="0" w:line="153"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Our government systems segment, which represented 49% of our total revenues during fiscal year 2020, continued to perform in line with our expectations, with the U.S. Government identifying the Defense Industrial Base as a critical infrastructure sector. Demand for products and services in our government systems segment remained strong despite the evolving COVID-19 pandemic, although our government business has experienced some administrative delays on certain contractual vehicles as government customers adjust to the challenges inherent in the remote work environment resulting from the COVID-19 pandemic.</w:t>
      </w:r>
    </w:p>
    <w:p>
      <w:pPr>
        <w:spacing w:after="0" w:line="148"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Since mid-March 2020, we have experienced an uptick in demand for our fixed broadband services as a result of the COVID-19 pandemic, and we are currently participating in certain federal and state programs to ensure our residential and small business customers in the United States have access to connectivity during the pandemic. However, our in-flight services and mobile broadband satellite communications system businesses began to be negatively impacted by the COVID-19 pandemic in the fourth quarter of fiscal year 2020 and we expect this negative impact to continue in fiscal year 2021 and potentially beyond due to the severe decline in global air traffic and resulting downturn in the commercial aviation market. In fiscal year 2020, less than 10% of our total revenues were generated by services and products provided to commercial airlines reported in our satellite services and commercial networks segments.</w:t>
      </w:r>
    </w:p>
    <w:p>
      <w:pPr>
        <w:spacing w:after="0" w:line="14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extent of the impact of the COVID-19 pandemic on our business in fiscal year 2021 and beyond will depend on many factors, including the duration and scope of the public health emergency, the extent, duration and effectiveness of containment actions taken, the extent of its disruption to important global, regional and local supply chains and economic markets and the impact of the pandemic on overall supply and demand, consumer confidence, discretionary spending levels and levels of economic activity.</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85" w:lineRule="exact"/>
        <w:rPr>
          <w:sz w:val="20"/>
          <w:szCs w:val="20"/>
          <w:color w:val="auto"/>
        </w:rPr>
      </w:pPr>
    </w:p>
    <w:p>
      <w:pPr>
        <w:ind w:right="400" w:firstLine="510"/>
        <w:spacing w:after="0"/>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around the globe for use in commercial applications. Our proprietary Ka-band satellites are at the core of our technology platform. The primary services offered by our satellite services segment are comprised of:</w:t>
      </w:r>
    </w:p>
    <w:p>
      <w:pPr>
        <w:spacing w:after="0" w:line="54" w:lineRule="exact"/>
        <w:rPr>
          <w:sz w:val="20"/>
          <w:szCs w:val="20"/>
          <w:color w:val="auto"/>
        </w:rPr>
      </w:pPr>
    </w:p>
    <w:p>
      <w:pPr>
        <w:ind w:left="1000" w:right="200" w:hanging="493"/>
        <w:spacing w:after="0" w:line="238"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Fixed broadband services, which provide consumers and businesses with high-speed, high-quality broadband internet access and VoIP services. As of March 31, 2020, we provided fixed broadband services to approximately 590,000 U.S. subscribers (excluding subscribers whose service would have ordinarily been terminated in the absence of the federal FCC Pledge and similar state programs we are currently participating</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7" w:name="page48"/>
    <w:bookmarkEnd w:id="47"/>
    <w:p>
      <w:pPr>
        <w:ind w:left="1000" w:right="60"/>
        <w:spacing w:after="0" w:line="245" w:lineRule="auto"/>
        <w:rPr>
          <w:sz w:val="20"/>
          <w:szCs w:val="20"/>
          <w:color w:val="auto"/>
        </w:rPr>
      </w:pPr>
      <w:r>
        <w:rPr>
          <w:rFonts w:ascii="Arial" w:cs="Arial" w:eastAsia="Arial" w:hAnsi="Arial"/>
          <w:sz w:val="18"/>
          <w:szCs w:val="18"/>
          <w:color w:val="auto"/>
        </w:rPr>
        <w:t>in to ensure our customers have access to connectivity during the COVID-19 pandemic). For the three months ended March 31, 2020, ARPU was $93.06.</w:t>
      </w:r>
    </w:p>
    <w:p>
      <w:pPr>
        <w:spacing w:after="0" w:line="49" w:lineRule="exact"/>
        <w:rPr>
          <w:sz w:val="20"/>
          <w:szCs w:val="20"/>
          <w:color w:val="auto"/>
        </w:rPr>
      </w:pPr>
    </w:p>
    <w:p>
      <w:pPr>
        <w:ind w:left="1000" w:hanging="493"/>
        <w:spacing w:after="0" w:line="23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In-flight services, which provide industry-leading IFC, W-IFE and aviation software services. As of March 31, 2020, we provided IFC services to 1,390 commercial aircraft in service, with IFC services anticipated to be activated on approximately 750 additional commercial aircraft under our existing customer agreements with commercial airlines. The number of commercial aircraft in service may be negatively impacted in future quarters due to the grounding of installed aircraft as a result of the impact of the COVID-19 pandemic on global air traffic and the airline industry. The timing of installation and entry into service for additional aircraft under existing customer agreements may also be delayed due to COVID-19 impacts. There can be no assurance that anticipated IFC services will be activated on all such additional commercial aircraft.</w:t>
      </w:r>
    </w:p>
    <w:p>
      <w:pPr>
        <w:spacing w:after="0" w:line="54" w:lineRule="exact"/>
        <w:rPr>
          <w:rFonts w:ascii="Arial" w:cs="Arial" w:eastAsia="Arial" w:hAnsi="Arial"/>
          <w:sz w:val="18"/>
          <w:szCs w:val="18"/>
          <w:color w:val="auto"/>
        </w:rPr>
      </w:pPr>
    </w:p>
    <w:p>
      <w:pPr>
        <w:ind w:left="1000" w:hanging="493"/>
        <w:spacing w:after="0" w:line="238"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Community Internet services, which offer innovative, affordable, satellite-based connectivity in communities with poor or no other means of internet access. The services help foster digital inclusion by enabling millions of people to connect to affordable high-quality internet services via a centralized community hotspot connected to the internet via satellite. Our Community Internet services are currently offered primarily in Mexico, and we expect to expand these services to other countries in the future.</w:t>
      </w:r>
    </w:p>
    <w:p>
      <w:pPr>
        <w:spacing w:after="0" w:line="56" w:lineRule="exact"/>
        <w:rPr>
          <w:rFonts w:ascii="Arial" w:cs="Arial" w:eastAsia="Arial" w:hAnsi="Arial"/>
          <w:sz w:val="18"/>
          <w:szCs w:val="18"/>
          <w:color w:val="auto"/>
        </w:rPr>
      </w:pPr>
    </w:p>
    <w:p>
      <w:pPr>
        <w:ind w:left="1000" w:right="220" w:hanging="493"/>
        <w:spacing w:after="0" w:line="238"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mobile broadband services, which include high-speed, satellite-based internet services to seagoing vessels (such as energy offshore vessels, cruise ships, consumer ferries and yachts), as well as L-band managed services enabling real-time machine-to-machine (M2M) position tracking, management of remote assets and operations, and visibility into critical areas of the supply chain.</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9" w:lineRule="exact"/>
        <w:rPr>
          <w:sz w:val="20"/>
          <w:szCs w:val="20"/>
          <w:color w:val="auto"/>
        </w:rPr>
      </w:pPr>
    </w:p>
    <w:p>
      <w:pPr>
        <w:ind w:right="80" w:firstLine="510"/>
        <w:spacing w:after="0"/>
        <w:rPr>
          <w:sz w:val="20"/>
          <w:szCs w:val="20"/>
          <w:color w:val="auto"/>
        </w:rPr>
      </w:pPr>
      <w:r>
        <w:rPr>
          <w:rFonts w:ascii="Arial" w:cs="Arial" w:eastAsia="Arial" w:hAnsi="Arial"/>
          <w:sz w:val="18"/>
          <w:szCs w:val="18"/>
          <w:color w:val="auto"/>
        </w:rPr>
        <w:t>Our commercial networks segment develops and sells a wide array of advanced satellite and wireless products, antenna systems and terminal solutions that support or enable the provision of high-speed fixed and mobile broadband services. The primary products, systems, solutions and services offered by our commercial networks segment are comprised of:</w:t>
      </w:r>
    </w:p>
    <w:p>
      <w:pPr>
        <w:spacing w:after="0" w:line="54"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76" w:lineRule="exact"/>
        <w:rPr>
          <w:rFonts w:ascii="Arial" w:cs="Arial" w:eastAsia="Arial" w:hAnsi="Arial"/>
          <w:sz w:val="18"/>
          <w:szCs w:val="18"/>
          <w:color w:val="auto"/>
        </w:rPr>
      </w:pPr>
    </w:p>
    <w:p>
      <w:pPr>
        <w:ind w:left="1000" w:right="720" w:hanging="493"/>
        <w:spacing w:after="0" w:line="246"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Fixed broadband satellite communication systems, including next-generation satellite network infrastructure and ground terminals.</w:t>
      </w:r>
    </w:p>
    <w:p>
      <w:pPr>
        <w:spacing w:after="0" w:line="48" w:lineRule="exact"/>
        <w:rPr>
          <w:rFonts w:ascii="Arial" w:cs="Arial" w:eastAsia="Arial" w:hAnsi="Arial"/>
          <w:sz w:val="18"/>
          <w:szCs w:val="18"/>
          <w:color w:val="auto"/>
        </w:rPr>
      </w:pPr>
    </w:p>
    <w:p>
      <w:pPr>
        <w:ind w:left="1000" w:right="1140" w:hanging="493"/>
        <w:spacing w:after="0" w:line="246"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Antenna systems, including ground terminals and antennas for terrestrial and satellite applications, mobile satellite communication, Ka-band earth stations and other multi-band antennas.</w:t>
      </w:r>
    </w:p>
    <w:p>
      <w:pPr>
        <w:spacing w:after="0" w:line="48" w:lineRule="exact"/>
        <w:rPr>
          <w:rFonts w:ascii="Arial" w:cs="Arial" w:eastAsia="Arial" w:hAnsi="Arial"/>
          <w:sz w:val="18"/>
          <w:szCs w:val="18"/>
          <w:color w:val="auto"/>
        </w:rPr>
      </w:pPr>
    </w:p>
    <w:p>
      <w:pPr>
        <w:ind w:left="1000" w:right="780" w:hanging="493"/>
        <w:spacing w:after="0" w:line="246"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w:t>
      </w:r>
    </w:p>
    <w:p>
      <w:pPr>
        <w:spacing w:after="0" w:line="48" w:lineRule="exact"/>
        <w:rPr>
          <w:rFonts w:ascii="Arial" w:cs="Arial" w:eastAsia="Arial" w:hAnsi="Arial"/>
          <w:sz w:val="18"/>
          <w:szCs w:val="18"/>
          <w:color w:val="auto"/>
        </w:rPr>
      </w:pPr>
    </w:p>
    <w:p>
      <w:pPr>
        <w:ind w:left="1000" w:right="80" w:hanging="493"/>
        <w:spacing w:after="0" w:line="246"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Space systems, including the design and development of high-capacity Ka-band satellites and associated payload technologies for our own satellite fleet as well as for third parties.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85" w:lineRule="exact"/>
        <w:rPr>
          <w:sz w:val="20"/>
          <w:szCs w:val="20"/>
          <w:color w:val="auto"/>
        </w:rPr>
      </w:pPr>
    </w:p>
    <w:p>
      <w:pPr>
        <w:jc w:val="both"/>
        <w:ind w:right="20" w:firstLine="510"/>
        <w:spacing w:after="0"/>
        <w:rPr>
          <w:sz w:val="20"/>
          <w:szCs w:val="20"/>
          <w:color w:val="auto"/>
        </w:rPr>
      </w:pPr>
      <w:r>
        <w:rPr>
          <w:rFonts w:ascii="Arial" w:cs="Arial" w:eastAsia="Arial" w:hAnsi="Arial"/>
          <w:sz w:val="18"/>
          <w:szCs w:val="18"/>
          <w:color w:val="auto"/>
        </w:rPr>
        <w:t>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The primary products and services of our government systems segment include:</w:t>
      </w:r>
    </w:p>
    <w:p>
      <w:pPr>
        <w:spacing w:after="0" w:line="68" w:lineRule="exact"/>
        <w:rPr>
          <w:sz w:val="20"/>
          <w:szCs w:val="20"/>
          <w:color w:val="auto"/>
        </w:rPr>
      </w:pPr>
    </w:p>
    <w:p>
      <w:pPr>
        <w:ind w:left="1000" w:right="12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ISR missions.</w:t>
      </w:r>
    </w:p>
    <w:p>
      <w:pPr>
        <w:spacing w:after="0" w:line="54" w:lineRule="exact"/>
        <w:rPr>
          <w:rFonts w:ascii="Arial" w:cs="Arial" w:eastAsia="Arial" w:hAnsi="Arial"/>
          <w:sz w:val="18"/>
          <w:szCs w:val="18"/>
          <w:color w:val="auto"/>
        </w:rPr>
      </w:pPr>
    </w:p>
    <w:p>
      <w:pPr>
        <w:ind w:left="1000" w:right="8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Government satellite communication systems, which offer an array of portable, mobile and fixed broadband modems, terminals, network access control systems and antenna systems, and include products designed for manpacks, aircraft, UAVs, seagoing vessels, ground-mobile vehicles and fixed applications.</w:t>
      </w:r>
    </w:p>
    <w:p>
      <w:pPr>
        <w:spacing w:after="0" w:line="54" w:lineRule="exact"/>
        <w:rPr>
          <w:rFonts w:ascii="Arial" w:cs="Arial" w:eastAsia="Arial" w:hAnsi="Arial"/>
          <w:sz w:val="18"/>
          <w:szCs w:val="18"/>
          <w:color w:val="auto"/>
        </w:rPr>
      </w:pPr>
    </w:p>
    <w:p>
      <w:pPr>
        <w:ind w:left="1000" w:right="3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Secure networking, cybersecurity and information assurance products and services, which provide advanced, high-speed IP-based “Type 1” and HAIPE-compliant encryption solutions that enable military and government users to communicate information securely over networks, and that protect the integrity of data stored on computers and storage devices.</w:t>
      </w:r>
    </w:p>
    <w:p>
      <w:pPr>
        <w:spacing w:after="0" w:line="54" w:lineRule="exact"/>
        <w:rPr>
          <w:rFonts w:ascii="Arial" w:cs="Arial" w:eastAsia="Arial" w:hAnsi="Arial"/>
          <w:sz w:val="18"/>
          <w:szCs w:val="18"/>
          <w:color w:val="auto"/>
        </w:rPr>
      </w:pPr>
    </w:p>
    <w:p>
      <w:pPr>
        <w:ind w:left="1000" w:right="680" w:hanging="493"/>
        <w:spacing w:after="0" w:line="274"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Tactical data links, including our BATS-D handheld Link 16 radios, our STT 2-channel radios for manned and unmanned applications, “disposable” defense data links, and our MIDS and MIDS-JTRS terminals for military fighter jets.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Sources of Revenues</w:t>
      </w:r>
    </w:p>
    <w:p>
      <w:pPr>
        <w:spacing w:after="0" w:line="99" w:lineRule="exact"/>
        <w:rPr>
          <w:sz w:val="20"/>
          <w:szCs w:val="20"/>
          <w:color w:val="auto"/>
        </w:rPr>
      </w:pPr>
    </w:p>
    <w:p>
      <w:pPr>
        <w:ind w:right="220" w:firstLine="510"/>
        <w:spacing w:after="0" w:line="246" w:lineRule="auto"/>
        <w:rPr>
          <w:sz w:val="20"/>
          <w:szCs w:val="20"/>
          <w:color w:val="auto"/>
        </w:rPr>
      </w:pPr>
      <w:r>
        <w:rPr>
          <w:rFonts w:ascii="Arial" w:cs="Arial" w:eastAsia="Arial" w:hAnsi="Arial"/>
          <w:sz w:val="18"/>
          <w:szCs w:val="18"/>
          <w:color w:val="auto"/>
        </w:rPr>
        <w:t>Our satellite services segment revenues are primarily derived from our fixed broadband services, in-flight services, and worldwide L-band managed services.</w:t>
      </w:r>
    </w:p>
    <w:p>
      <w:pPr>
        <w:spacing w:after="0" w:line="143"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cost-reimbursement and time-and-materials contracts. Fixed-price contracts (which require us to provide products and services under a contract at a specified price) comprised approximately 88%, 90% and 88% of our total revenues for these segments for fiscal years 2020, 2019 and 2018,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54" w:lineRule="exact"/>
        <w:rPr>
          <w:sz w:val="20"/>
          <w:szCs w:val="20"/>
          <w:color w:val="auto"/>
        </w:rPr>
      </w:pPr>
    </w:p>
    <w:p>
      <w:pPr>
        <w:ind w:right="180" w:firstLine="510"/>
        <w:spacing w:after="0" w:line="238"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51" w:lineRule="exact"/>
        <w:rPr>
          <w:sz w:val="20"/>
          <w:szCs w:val="20"/>
          <w:color w:val="auto"/>
        </w:rPr>
      </w:pPr>
    </w:p>
    <w:p>
      <w:pPr>
        <w:ind w:right="260" w:firstLine="510"/>
        <w:spacing w:after="0" w:line="238"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24%, 19% and 19% of our total revenues during fiscal years 2020, 2019 and 2018, respectively.</w:t>
      </w:r>
    </w:p>
    <w:p>
      <w:pPr>
        <w:spacing w:after="0" w:line="148"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We also incur IR&amp;D expenses, which are not directly funded by a third party. IR&amp;D expenses consist primarily of salaries and other personnel-related expenses, supplies, prototype materials, testing and certification related to R&amp;D projects. IR&amp;D expenses were approximately 6%, 6% and 11% of total revenues in fiscal years 2020, 2019 and 2018, respectively. As a government contractor, we are able to recover a portion of our IR&amp;D expenses pursuant to our government contracts.</w:t>
      </w:r>
    </w:p>
    <w:p>
      <w:pPr>
        <w:spacing w:after="0" w:line="151"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Approximately 11%, 11% and 12% of our total revenues in fiscal years 2020, 2019 and 2018, respectively, were derived from international sales. Doing business internationally creates additional risks related to global political and economic conditions and other factors identified under the heading “Risk Factors” in Part I, Item 1A and elsewhere in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5"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160" w:firstLine="510"/>
        <w:spacing w:after="0" w:line="237"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Accounting Standards Codification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9" w:name="page50"/>
    <w:bookmarkEnd w:id="49"/>
    <w:p>
      <w:pPr>
        <w:ind w:right="40" w:firstLine="510"/>
        <w:spacing w:after="0" w:line="236"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ASC 842. As discussed in Note 1 – The Company and a Summary of Its Significant Accounting Policies – Leases to our consolidated financial statements, for broadband equipment leased to fixed broadband customers in conjunction with the delivery of connectivity services, we account for the lease and non-lease components of connectivity services arrangement as a single performance obligation as the connectivity services represent the predominant component.</w:t>
      </w:r>
    </w:p>
    <w:p>
      <w:pPr>
        <w:spacing w:after="0" w:line="152"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8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99" w:lineRule="exact"/>
        <w:rPr>
          <w:sz w:val="20"/>
          <w:szCs w:val="20"/>
          <w:color w:val="auto"/>
        </w:rPr>
      </w:pPr>
    </w:p>
    <w:p>
      <w:pPr>
        <w:ind w:right="40" w:firstLine="510"/>
        <w:spacing w:after="0" w:line="251" w:lineRule="auto"/>
        <w:rPr>
          <w:sz w:val="20"/>
          <w:szCs w:val="20"/>
          <w:color w:val="auto"/>
        </w:rPr>
      </w:pPr>
      <w:r>
        <w:rPr>
          <w:rFonts w:ascii="Arial" w:cs="Arial" w:eastAsia="Arial" w:hAnsi="Arial"/>
          <w:sz w:val="17"/>
          <w:szCs w:val="17"/>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March 31, 2020 would change our income before income taxes by an insignificant amount.</w:t>
      </w:r>
    </w:p>
    <w:p>
      <w:pPr>
        <w:spacing w:after="0" w:line="179" w:lineRule="exact"/>
        <w:rPr>
          <w:sz w:val="20"/>
          <w:szCs w:val="20"/>
          <w:color w:val="auto"/>
        </w:rPr>
      </w:pPr>
    </w:p>
    <w:p>
      <w:pPr>
        <w:ind w:right="200" w:firstLine="510"/>
        <w:spacing w:after="0"/>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0" w:name="page51"/>
    <w:bookmarkEnd w:id="50"/>
    <w:p>
      <w:pPr>
        <w:ind w:right="40"/>
        <w:spacing w:after="0" w:line="236" w:lineRule="auto"/>
        <w:rPr>
          <w:sz w:val="20"/>
          <w:szCs w:val="20"/>
          <w:color w:val="auto"/>
        </w:rPr>
      </w:pPr>
      <w:r>
        <w:rPr>
          <w:rFonts w:ascii="Arial" w:cs="Arial" w:eastAsia="Arial" w:hAnsi="Arial"/>
          <w:sz w:val="18"/>
          <w:szCs w:val="18"/>
          <w:color w:val="auto"/>
        </w:rPr>
        <w:t>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88"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costs to obtain or fulfill contract</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Under ASC 340-40, Other Assets and Deferred Costs – Contracts with Customers, we recognize an asset from the incremental costs of obtaining a contract with a customer, if we expect to recover those costs. The incremental costs of obtaining a contract are those costs that we incur to obtain a contract with a customer that we would not have incurred if the contract had not been obtained. ASC 340-40 also requires the recognition of an asset from the costs incurred to fulfill a contract when (1) the costs relate directly to a contract or to an anticipated contract that we can specifically identify, (2) the costs generate or enhance our resources that will be used in satisfying (or in continuing to satisfy) performance obligations in the future, and (3) the costs are expected to be recovered. We recognize an asset related to commission costs incurred primarily in our satellite services segment and recognize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we expense incremental costs immediately.</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85"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ind w:right="40"/>
        <w:spacing w:after="0" w:line="246" w:lineRule="auto"/>
        <w:rPr>
          <w:sz w:val="20"/>
          <w:szCs w:val="20"/>
          <w:color w:val="auto"/>
        </w:rPr>
      </w:pPr>
      <w:r>
        <w:rPr>
          <w:rFonts w:ascii="Arial" w:cs="Arial" w:eastAsia="Arial" w:hAnsi="Arial"/>
          <w:sz w:val="18"/>
          <w:szCs w:val="18"/>
          <w:color w:val="auto"/>
        </w:rPr>
        <w:t>satellite operating trends. We periodically review the remaining estimated useful life of our satellites to determine if revisions to the estimated useful lives are necessary.</w:t>
      </w:r>
    </w:p>
    <w:p>
      <w:pPr>
        <w:spacing w:after="0" w:line="143"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We own three satellites in service (ViaSat-2, ViaSat-1 and WildBlue-1) and have lifetime leases of Ka-band capacity on two satellites. We also have a global constellation of three third-generation ViaSat-3 class satellites under construction. In addition, we own related earth stations and networking equipment for all of our satellites. Property, equipment and satellites, net also includes the customer premise equipment (CPE) units leased to subscribers under a retail leasing program as part of our satellite services segment.</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85" w:lineRule="exact"/>
        <w:rPr>
          <w:sz w:val="20"/>
          <w:szCs w:val="20"/>
          <w:color w:val="auto"/>
        </w:rPr>
      </w:pPr>
    </w:p>
    <w:p>
      <w:pPr>
        <w:ind w:right="180" w:firstLine="510"/>
        <w:spacing w:after="0" w:line="234" w:lineRule="auto"/>
        <w:rPr>
          <w:sz w:val="20"/>
          <w:szCs w:val="20"/>
          <w:color w:val="auto"/>
        </w:rPr>
      </w:pPr>
      <w:r>
        <w:rPr>
          <w:rFonts w:ascii="Arial" w:cs="Arial" w:eastAsia="Arial" w:hAnsi="Arial"/>
          <w:sz w:val="18"/>
          <w:szCs w:val="18"/>
          <w:color w:val="auto"/>
        </w:rPr>
        <w:t>For contracts entered into on or after April 1, 2019, we assess at contract inception whether the contract is, or contains, a lease. Generally, we determine that a lease exists when (i) the contract involves the use of a distinct identified asset, (ii) we obtain the right to substantially all economic benefits from use of the asset, and (iii) we have the right to direct the use of the asset. A lease is classified as a finance lease when one or more of the following criteria are met: (i) the lease transfers ownership of the asset by the end of the lease term,</w:t>
      </w:r>
    </w:p>
    <w:p>
      <w:pPr>
        <w:spacing w:after="0" w:line="3" w:lineRule="exact"/>
        <w:rPr>
          <w:sz w:val="20"/>
          <w:szCs w:val="20"/>
          <w:color w:val="auto"/>
        </w:rPr>
      </w:pPr>
    </w:p>
    <w:p>
      <w:pPr>
        <w:ind w:firstLine="8"/>
        <w:spacing w:after="0" w:line="238" w:lineRule="auto"/>
        <w:tabs>
          <w:tab w:leader="none" w:pos="2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such a specialized nature that it is expected to have no alternative use to the lessor at the end of the lease term. A lease is classified as an operating lease if it does not meet any of these criteria.</w:t>
      </w:r>
    </w:p>
    <w:p>
      <w:pPr>
        <w:spacing w:after="0" w:line="151"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Starting at April 1, 2019, 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(i) fixed lease payments for the noncancelable lease term,</w:t>
      </w:r>
    </w:p>
    <w:p>
      <w:pPr>
        <w:ind w:right="100" w:firstLine="8"/>
        <w:spacing w:after="0" w:line="238" w:lineRule="auto"/>
        <w:tabs>
          <w:tab w:leader="none" w:pos="2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(iii) variable 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51" w:lineRule="exact"/>
        <w:rPr>
          <w:sz w:val="20"/>
          <w:szCs w:val="20"/>
          <w:color w:val="auto"/>
        </w:rPr>
      </w:pPr>
    </w:p>
    <w:p>
      <w:pPr>
        <w:jc w:val="both"/>
        <w:ind w:right="100" w:firstLine="510"/>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51"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9"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fiscal years 2020, 2019 and 2018.</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06" w:right="359" w:bottom="1440" w:gutter="0" w:footer="0" w:header="0"/>
        </w:sectPr>
      </w:pPr>
    </w:p>
    <w:bookmarkStart w:id="52" w:name="page53"/>
    <w:bookmarkEnd w:id="52"/>
    <w:p>
      <w:pPr>
        <w:ind w:firstLine="510"/>
        <w:spacing w:after="0" w:line="236"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2017-04, Simplifying the Test for Goodwill Impairment, which we early adopted in the third quarter of fiscal year 2020. ASU 2017-04 simplifies how we test goodwill for impairment by removing Step 2 from the goodwill impairment test.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52"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51"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Furthermore, in addition to qualitative analysis, we believe it is appropriate to conduct a quantitative analysis periodically as a prudent review of our reporting unit goodwill fair values. We performed this analysis as of December 31, 2019, our annual impairment test date. Our quantitative analysis estimates the fair values of the reporting units using discounted cash flows and other indicators of fair value. The forecast of future cash flow is based on our best estimate of each reporting unit’s future revenue and operating costs, based primarily on existing firm orders, expected future orders, contracts with suppliers, labor resources, general market conditions, and other relevant factors. Based on a quantitative analysis for fiscal year 2020, we concluded that estimated fair values of our reporting units significantly exceed their respective carrying values.</w:t>
      </w:r>
    </w:p>
    <w:p>
      <w:pPr>
        <w:spacing w:after="0" w:line="149"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Based on our qualitative and quantitative assessment performed during the fourth quarter of fiscal year 2020 and the additional qualitative and quantitative considerations as of March 31, 2020 in light of the significant decline in our market capitalization following the COVID-19 outbreak, we concluded that it was more likely than not that the estimated fair value of our reporting units exceeded their carrying value as of March 31, 2020.</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$33.5 million at March 31, 2019 to $42.6 million at March 31, 2020. The valuation allowance relates to state and foreign net operating loss carryforwards, state R&amp;D tax credit carryforwards and foreign tax credit carryforwards.</w:t>
      </w:r>
    </w:p>
    <w:p>
      <w:pPr>
        <w:spacing w:after="0" w:line="154"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48"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3" w:name="page54"/>
    <w:bookmarkEnd w:id="53"/>
    <w:p>
      <w:pPr>
        <w:ind w:right="60" w:firstLine="510"/>
        <w:spacing w:after="0" w:line="237"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Fiscal Years Ended</w:t>
            </w:r>
          </w:p>
        </w:tc>
        <w:tc>
          <w:tcPr>
            <w:tcW w:w="10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4980" w:type="dxa"/>
            <w:vAlign w:val="bottom"/>
          </w:tcPr>
          <w:p>
            <w:pPr>
              <w:spacing w:after="0"/>
              <w:rPr>
                <w:sz w:val="13"/>
                <w:szCs w:val="13"/>
                <w:color w:val="auto"/>
              </w:rPr>
            </w:pPr>
          </w:p>
        </w:tc>
        <w:tc>
          <w:tcPr>
            <w:tcW w:w="1240" w:type="dxa"/>
            <w:vAlign w:val="bottom"/>
            <w:gridSpan w:val="2"/>
          </w:tcPr>
          <w:p>
            <w:pPr>
              <w:jc w:val="right"/>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38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March 31,</w:t>
            </w:r>
          </w:p>
        </w:tc>
        <w:tc>
          <w:tcPr>
            <w:tcW w:w="1240" w:type="dxa"/>
            <w:vAlign w:val="bottom"/>
            <w:gridSpan w:val="2"/>
          </w:tcPr>
          <w:p>
            <w:pPr>
              <w:jc w:val="right"/>
              <w:ind w:right="40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498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5"/>
                <w:szCs w:val="15"/>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15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Product revenues</w:t>
            </w: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revenues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8"/>
                <w:szCs w:val="18"/>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Cost of service revenues</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8"/>
                <w:szCs w:val="18"/>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Independent research and development</w:t>
            </w: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r>
      <w:tr>
        <w:trPr>
          <w:trHeight w:val="209"/>
        </w:trPr>
        <w:tc>
          <w:tcPr>
            <w:tcW w:w="49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5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(2)</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0"/>
        </w:trPr>
        <w:tc>
          <w:tcPr>
            <w:tcW w:w="49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Benefit from income taxes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8"/>
                <w:szCs w:val="18"/>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c>
          <w:tcPr>
            <w:tcW w:w="15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(3)</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Net loss attributable to Viasat, Inc.</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 Compared to Fiscal Year 2019</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920" w:type="dxa"/>
            <w:vAlign w:val="bottom"/>
          </w:tcPr>
          <w:p>
            <w:pPr>
              <w:jc w:val="center"/>
              <w:ind w:right="5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1,172.5</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51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Service revenues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1,136.7</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975.6</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17%</w:t>
            </w:r>
          </w:p>
        </w:tc>
      </w:tr>
      <w:tr>
        <w:trPr>
          <w:trHeight w:val="210"/>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2,309.2</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02"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Our total revenues grew by $241.0 million as a result of a $161.1 million increase in service revenues and a $79.9 million increase in product revenues. The service revenue increase was due to an increase of $142.4 million in our satellite services segment, $9.7 million in our commercial networks segment and $9.0 million in our government systems segment. The product revenue increase was driven primarily by an increase of $173.4 million in our government systems segment, partially offset by a decrease in product revenues of $93.6 million in our commercial networks segment.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4" w:name="page55"/>
    <w:bookmarkEnd w:id="54"/>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12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920" w:type="dxa"/>
            <w:vAlign w:val="bottom"/>
          </w:tcPr>
          <w:p>
            <w:pPr>
              <w:jc w:val="center"/>
              <w:ind w:right="59"/>
              <w:spacing w:after="0" w:line="156"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4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51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service revenues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763.9</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40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9%</w:t>
            </w:r>
          </w:p>
        </w:tc>
      </w:tr>
      <w:tr>
        <w:trPr>
          <w:trHeight w:val="210"/>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14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Cost of revenues increased by $72.0 million due to increases of $60.7 million in cost of service revenues and $11.3 million in cost of product revenues. The cost of service revenue increase was primarily due to increased revenues, mainly from our satellite services segment, causing a $116.2 million increase in cost of service revenues on a constant margin basis. The increase in cost of service revenues was partially offset by improved margins, primarily driven by our fixed broadband services and IFC services in our satellite services segment. The cost of product revenue increase mainly related to increased revenues, causing a $61.0 million increase in cost of product revenues on a constant margin basis mainly from revenue increases in our government systems segment, partially offset by decreased revenues in our commercial networks segment. The increase in cost of product revenues was partially offset by improved margins, primarily driven by our tactical satcom radio products and government satellite communication systems products in our government systems segment and our satellite networking development program products in our commercial networks segment.</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84"/>
              <w:spacing w:after="0" w:line="156"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523.1</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$64.6 million increase in SG&amp;A expenses reflected an increase in support costs of $68.6 million, which was reflected in all three segments, with the highest increase in the satellite services segment. This increase also reflects a gain of approximately $7.5 million recorded in the prior year period as a reduction to SG&amp;A expenses in our satellite services segment related to our ViaSat-2 satellite insurance claims. These increases in SG&amp;A expenses were partially offset by a decrease in selling costs of $5.3 million driven by our satellite services segment. SG&amp;A expenses consisted primarily of personnel costs and expenses for business development, marketing and sales, bid and proposal, facilities, finance, contract administration and general management.</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84"/>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ind w:right="220" w:firstLine="510"/>
        <w:spacing w:after="0" w:line="238" w:lineRule="auto"/>
        <w:rPr>
          <w:sz w:val="20"/>
          <w:szCs w:val="20"/>
          <w:color w:val="auto"/>
        </w:rPr>
      </w:pPr>
      <w:r>
        <w:rPr>
          <w:rFonts w:ascii="Arial" w:cs="Arial" w:eastAsia="Arial" w:hAnsi="Arial"/>
          <w:sz w:val="18"/>
          <w:szCs w:val="18"/>
          <w:color w:val="auto"/>
        </w:rPr>
        <w:t>The $7.4 million increase in IR&amp;D expenses was primarily the result of an increase of $12.1 million in IR&amp;D efforts in our commercial networks segment (primarily related to mobile broadband satellite communication systems and next-generation satellite payload technologies), partially offset by a decrease of $4.3 million in IR&amp;D efforts in our government systems segment (primarily related to development of next-generation dual band mobility solutions).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99" w:lineRule="exact"/>
        <w:rPr>
          <w:sz w:val="20"/>
          <w:szCs w:val="20"/>
          <w:color w:val="auto"/>
        </w:rPr>
      </w:pPr>
    </w:p>
    <w:p>
      <w:pPr>
        <w:ind w:right="40" w:firstLine="510"/>
        <w:spacing w:after="0"/>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$ 2.0 million decrease in amortization of acquired intangible assets in fiscal year 2020 compared to fiscal year 2019 was primarily the result of certain acquired intangibles in our satellite services segment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5" w:name="page56"/>
    <w:bookmarkEnd w:id="55"/>
    <w:p>
      <w:pPr>
        <w:ind w:right="120"/>
        <w:spacing w:after="0" w:line="246" w:lineRule="auto"/>
        <w:rPr>
          <w:sz w:val="20"/>
          <w:szCs w:val="20"/>
          <w:color w:val="auto"/>
        </w:rPr>
      </w:pPr>
      <w:r>
        <w:rPr>
          <w:rFonts w:ascii="Arial" w:cs="Arial" w:eastAsia="Arial" w:hAnsi="Arial"/>
          <w:sz w:val="18"/>
          <w:szCs w:val="18"/>
          <w:color w:val="auto"/>
        </w:rPr>
        <w:t>becoming fully amortized during the prior fiscal year. Current and expected amortization expense for acquired intangible assets for each of the following periods is as follows:</w:t>
      </w:r>
    </w:p>
    <w:p>
      <w:pPr>
        <w:spacing w:after="0" w:line="211" w:lineRule="exact"/>
        <w:rPr>
          <w:sz w:val="20"/>
          <w:szCs w:val="20"/>
          <w:color w:val="auto"/>
        </w:rPr>
      </w:pPr>
    </w:p>
    <w:tbl>
      <w:tblPr>
        <w:tblLayout w:type="fixed"/>
        <w:tblInd w:w="226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69"/>
        </w:trPr>
        <w:tc>
          <w:tcPr>
            <w:tcW w:w="3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2021</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5,120</w:t>
            </w:r>
          </w:p>
        </w:tc>
        <w:tc>
          <w:tcPr>
            <w:tcW w:w="6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3,297</w:t>
            </w:r>
          </w:p>
        </w:tc>
        <w:tc>
          <w:tcPr>
            <w:tcW w:w="6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w:t>
            </w:r>
          </w:p>
        </w:tc>
        <w:tc>
          <w:tcPr>
            <w:tcW w:w="6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for fiscal year 2024</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2,472</w:t>
            </w:r>
          </w:p>
        </w:tc>
        <w:tc>
          <w:tcPr>
            <w:tcW w:w="6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2025</w:t>
            </w: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60" w:type="dxa"/>
            <w:vAlign w:val="bottom"/>
            <w:shd w:val="clear" w:color="auto" w:fill="CFF0FC"/>
          </w:tcPr>
          <w:p>
            <w:pPr>
              <w:spacing w:after="0"/>
              <w:rPr>
                <w:sz w:val="18"/>
                <w:szCs w:val="18"/>
                <w:color w:val="auto"/>
              </w:rPr>
            </w:pPr>
          </w:p>
        </w:tc>
      </w:tr>
      <w:tr>
        <w:trPr>
          <w:trHeight w:val="216"/>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8"/>
                <w:szCs w:val="18"/>
                <w:color w:val="auto"/>
              </w:rPr>
            </w:pPr>
          </w:p>
        </w:tc>
      </w:tr>
      <w:tr>
        <w:trPr>
          <w:trHeight w:val="210"/>
        </w:trPr>
        <w:tc>
          <w:tcPr>
            <w:tcW w:w="39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14,439</w:t>
            </w:r>
          </w:p>
        </w:tc>
        <w:tc>
          <w:tcPr>
            <w:tcW w:w="60" w:type="dxa"/>
            <w:vAlign w:val="bottom"/>
            <w:shd w:val="clear" w:color="auto" w:fill="CFF0FC"/>
          </w:tcPr>
          <w:p>
            <w:pPr>
              <w:spacing w:after="0"/>
              <w:rPr>
                <w:sz w:val="18"/>
                <w:szCs w:val="18"/>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85" w:lineRule="exact"/>
        <w:rPr>
          <w:sz w:val="20"/>
          <w:szCs w:val="20"/>
          <w:color w:val="auto"/>
        </w:rPr>
      </w:pPr>
    </w:p>
    <w:p>
      <w:pPr>
        <w:ind w:right="580" w:firstLine="510"/>
        <w:spacing w:after="0" w:line="246" w:lineRule="auto"/>
        <w:rPr>
          <w:sz w:val="20"/>
          <w:szCs w:val="20"/>
          <w:color w:val="auto"/>
        </w:rPr>
      </w:pPr>
      <w:r>
        <w:rPr>
          <w:rFonts w:ascii="Arial" w:cs="Arial" w:eastAsia="Arial" w:hAnsi="Arial"/>
          <w:sz w:val="18"/>
          <w:szCs w:val="18"/>
          <w:color w:val="auto"/>
        </w:rPr>
        <w:t>The $1.5 million increase in interest income for fiscal year 2020 compared to fiscal year 2019 was primarily the result of higher average invested cash balances during fiscal year 2020 compared to fiscal year 2019.</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$11.4 million decrease in interest expense in fiscal year 2020 compared to fiscal year 2019 was primarily due to a decrease in interest expense attributable to the Ex-Im Credit Facility, as the insurance recovery proceeds related to the ViaSat-2 satellite were used to pay down outstanding borrowings under the Ex-Im Credit Facility in the prior year period, coupled with an increase in the amount of interest capitalized. This decrease was partially offset by an increase in interest expense attributable to the 2027 Notes, which were issued in March 2019. Capitalized interest during fiscal year 2020 related to construction of our ViaSat-3 class satellites, gateway and networking equipment and other assets.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jc w:val="both"/>
        <w:ind w:right="40" w:firstLine="510"/>
        <w:spacing w:after="0"/>
        <w:rPr>
          <w:sz w:val="20"/>
          <w:szCs w:val="20"/>
          <w:color w:val="auto"/>
        </w:rPr>
      </w:pPr>
      <w:r>
        <w:rPr>
          <w:rFonts w:ascii="Arial" w:cs="Arial" w:eastAsia="Arial" w:hAnsi="Arial"/>
          <w:sz w:val="18"/>
          <w:szCs w:val="18"/>
          <w:color w:val="auto"/>
        </w:rPr>
        <w:t>The income tax benefit in fiscal year 2020 reflected benefit from federal and state R&amp;D tax credits, partially offset by the tax expense from our income before income taxes. The income tax benefit in fiscal year 2019 reflected the tax benefit from our loss before income taxes and the benefit from federal and state R&amp;D tax credits.</w:t>
      </w: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06"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Segment Results for Fiscal Year 2020 Compared to Fiscal Year 2019</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900" w:type="dxa"/>
            <w:vAlign w:val="bottom"/>
          </w:tcPr>
          <w:p>
            <w:pPr>
              <w:jc w:val="right"/>
              <w:ind w:right="117"/>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21%</w:t>
            </w: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ind w:right="40" w:firstLine="510"/>
        <w:spacing w:after="0" w:line="248" w:lineRule="auto"/>
        <w:rPr>
          <w:sz w:val="20"/>
          <w:szCs w:val="20"/>
          <w:color w:val="auto"/>
        </w:rPr>
      </w:pPr>
      <w:r>
        <w:rPr>
          <w:rFonts w:ascii="Arial" w:cs="Arial" w:eastAsia="Arial" w:hAnsi="Arial"/>
          <w:sz w:val="17"/>
          <w:szCs w:val="17"/>
          <w:color w:val="auto"/>
        </w:rPr>
        <w:t>Our satellite services segment revenues increased by $142.4 million as a result of a $142.4 million increase in service revenues. The increase in service revenues was primarily driven by the expansion of our fixed broadband services and IFC services. The fixed broadband service revenue increase was driven by higher average revenue per fixed broadband subscriber in the United States when compared to the same period last fiscal year, reflecting a higher mix of new and existing subscribers choosing Viasat’s premium highest speed plans. Since mid-March 2020, we have experienced an uptick in demand for our fixed broadband services as a result of the COVID-19 pandemic, and we are currently participating in certain federal and state programs to ensure our residential and small business customers have access to connectivity during the pandemic. Total subscribers at March 31, 2020 were approximately 590,000 (excluding subscribers whose service would have ordinarily been terminated in the absence of the federal FCC Pledge and similar state programs we are currently participating in related to the COVID-19 pandemic) compared to 586,000 subscribers at March 31, 2019. The IFC service revenue increase was driven primarily by the increase in the number of commercial aircraft receiving our in-flight services through our IFC systems, with 1,390 commercial aircraft in service utilizing our IFC systems as of March 31, 2020, compared to 1,312 commercial aircraft in service as of March 31,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2019. However, our in-flight services business began to be negatively impacted by the COVID-19 pandemic in the fourth quarter of fiscal year 2020 and we expect this negative impact to continue in fiscal year 2021 and potentially beyond due to the severe decline in global air traffic and the associated grounding of installed aircraft.</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 (loss)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202"/>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Fiscal Years Ended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8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18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operating profit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(64.3)</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8" w:lineRule="exact"/>
        <w:rPr>
          <w:sz w:val="20"/>
          <w:szCs w:val="20"/>
          <w:color w:val="auto"/>
        </w:rPr>
      </w:pPr>
    </w:p>
    <w:p>
      <w:pPr>
        <w:ind w:right="60" w:firstLine="510"/>
        <w:spacing w:after="0"/>
        <w:rPr>
          <w:sz w:val="20"/>
          <w:szCs w:val="20"/>
          <w:color w:val="auto"/>
        </w:rPr>
      </w:pPr>
      <w:r>
        <w:rPr>
          <w:rFonts w:ascii="Arial" w:cs="Arial" w:eastAsia="Arial" w:hAnsi="Arial"/>
          <w:sz w:val="18"/>
          <w:szCs w:val="18"/>
          <w:color w:val="auto"/>
        </w:rPr>
        <w:t>The change in our satellite services segment operating loss to an operating profit was driven primarily by higher earnings contributions of $99.4 million, mainly due to increased revenues of our fixed broadband services and IFC services, partially offset by higher support costs and our investments in global broadband businesses.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7" w:name="page58"/>
    <w:bookmarkEnd w:id="57"/>
    <w:p>
      <w:pPr>
        <w:ind w:left="26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9"/>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Segment service revenues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22%</w:t>
            </w: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Our commercial networks segment revenues decreased by $83.8 million, primarily due to a $93.6 million decrease in product revenues, partially offset by a $9.7 million increase in service revenues. The decrease in product revenues was primarily due to a decrease of $125.4 million in mobile broadband satellite communication systems products due to accelerated IFC terminal deliveries in the prior year period, partially offset by increases of $13.5 million in satellite networking development programs products and $12.9 million in antenna systems products. The service revenue increase was mainly due to a $11.4 million increase in mobile broadband satellite communication systems services.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loss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Fiscal Years Ended</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50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4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(186.9)</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(166.6)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(20.3)</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8"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The $20.3 million increase in our commercial networks segment operating loss was driven primarily by a $12.9 million increase in SG&amp;A expenses and an increase of $12.1 million in IR&amp;D expenses (primarily related to mobile broadband satellite communication systems and next-generation satellite payload technologies). The increase in operating loss was partially offset by higher earnings contributions of $4.7 million, driven by increased revenues and improved margins from our satellite networking development programs products.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900" w:type="dxa"/>
            <w:vAlign w:val="bottom"/>
          </w:tcPr>
          <w:p>
            <w:pPr>
              <w:jc w:val="right"/>
              <w:ind w:right="117"/>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4%</w:t>
            </w: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r>
    </w:tbl>
    <w:p>
      <w:pPr>
        <w:spacing w:after="0" w:line="202"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Our government systems segment revenues increased by $182.4 million due to increases of $173.4 million in product revenues and $9.0 million in service revenues. The product revenue increase was due to a $65.5 million increase in tactical satcom radio products, a $58.4 million increase in tactical data link products, a $42.6 million increase in government satellite communication systems products and a $23.1 million increase in government mobile broadband products, partially offset by a $15.5 million decrease in cybersecurity and information assurance products. The service revenue increase was primarily due to a $5.5 million increase in government mobile broadband services and a $3.7 million increase in tactical data link services.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6" w:right="399" w:bottom="1440" w:gutter="0" w:footer="0" w:header="0"/>
        </w:sectPr>
      </w:pPr>
    </w:p>
    <w:bookmarkStart w:id="58" w:name="page59"/>
    <w:bookmarkEnd w:id="58"/>
    <w:p>
      <w:pPr>
        <w:ind w:left="260"/>
        <w:spacing w:after="0"/>
        <w:rPr>
          <w:sz w:val="20"/>
          <w:szCs w:val="20"/>
          <w:color w:val="auto"/>
        </w:rPr>
      </w:pPr>
      <w:r>
        <w:rPr>
          <w:rFonts w:ascii="Arial" w:cs="Arial" w:eastAsia="Arial" w:hAnsi="Arial"/>
          <w:sz w:val="18"/>
          <w:szCs w:val="18"/>
          <w:i w:val="1"/>
          <w:iCs w:val="1"/>
          <w:color w:val="auto"/>
        </w:rPr>
        <w:t>Segment operating profit</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20"/>
              <w:spacing w:after="0" w:line="156"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20"/>
              <w:spacing w:after="0" w:line="156"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w:t>
            </w:r>
          </w:p>
        </w:tc>
        <w:tc>
          <w:tcPr>
            <w:tcW w:w="2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The $45.9 million increase in our government systems segment operating profit was primarily due to higher earnings contributions of $66.9 million, primarily due to an increase in revenues and improved margins from our tactical satcom radio products and government satellite communication systems products and increased revenues from tactical data link products. This increase was partially offset by higher SG&amp;A costs of $25.3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 Compared to Fiscal Year 2018</w:t>
      </w:r>
    </w:p>
    <w:p>
      <w:pPr>
        <w:spacing w:after="0" w:line="99" w:lineRule="exact"/>
        <w:rPr>
          <w:sz w:val="20"/>
          <w:szCs w:val="20"/>
          <w:color w:val="auto"/>
        </w:rPr>
      </w:pPr>
    </w:p>
    <w:p>
      <w:pPr>
        <w:ind w:right="20" w:firstLine="510"/>
        <w:spacing w:after="0"/>
        <w:rPr>
          <w:sz w:val="20"/>
          <w:szCs w:val="20"/>
          <w:color w:val="auto"/>
        </w:rPr>
      </w:pPr>
      <w:r>
        <w:rPr>
          <w:rFonts w:ascii="Arial" w:cs="Arial" w:eastAsia="Arial" w:hAnsi="Arial"/>
          <w:sz w:val="18"/>
          <w:szCs w:val="18"/>
          <w:color w:val="auto"/>
        </w:rPr>
        <w:t>For a discussion of our results of operations for fiscal year 2019 as compared to fiscal year 2018, see “Management’s Discussion and Analysis of Financial Condition and Results of Operations” in Part II, Item 7 of our Annual Report on Form 10-K for the fiscal year ended March 31,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85" w:lineRule="exact"/>
        <w:rPr>
          <w:sz w:val="20"/>
          <w:szCs w:val="20"/>
          <w:color w:val="auto"/>
        </w:rPr>
      </w:pPr>
    </w:p>
    <w:p>
      <w:pPr>
        <w:ind w:right="120" w:firstLine="510"/>
        <w:spacing w:after="0" w:line="246" w:lineRule="auto"/>
        <w:rPr>
          <w:sz w:val="20"/>
          <w:szCs w:val="20"/>
          <w:color w:val="auto"/>
        </w:rPr>
      </w:pPr>
      <w:r>
        <w:rPr>
          <w:rFonts w:ascii="Arial" w:cs="Arial" w:eastAsia="Arial" w:hAnsi="Arial"/>
          <w:sz w:val="18"/>
          <w:szCs w:val="18"/>
          <w:color w:val="auto"/>
        </w:rPr>
        <w:t>As reflected in the table below, our overall firm and funded backlog increased during fiscal year 2020. The increases in both firm and funded backlog were attributable to increases in our satellite services and commercial networks segments.</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March 31, 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5"/>
          </w:tcPr>
          <w:p>
            <w:pPr>
              <w:ind w:left="9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611.3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Government systems segment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931.2</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1,870.7</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858.7</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firm backlog does not include contract options. Of the $1.9 billion in firm backlog, a little over half is expected to be delivered during the next twelve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March 31, 2020, we provided IFC services to 1,390 commercial aircraft, with IFC services anticipated to be activated on approximately 750 additional commercial aircraft under our existing customer agreements with commercial airlines. The number of commercial aircraft in service may be negatively impacted in future quarters due to the grounding of installed aircraft as a result of the impact of the COVID-19 pandemic on global air traffic and the airline industry. The timing of installation and entry into service of IFC systems on additional aircraft under existing customer agreements may also be delayed as a result of the impact of the COVID-19 pandemic on the global airline industry. Accordingly, there can be no assurance that all anticipated purchase orders and requests will be placed or that anticipated IFC services will be activated.</w:t>
      </w:r>
    </w:p>
    <w:p>
      <w:pPr>
        <w:spacing w:after="0" w:line="151" w:lineRule="exact"/>
        <w:rPr>
          <w:sz w:val="20"/>
          <w:szCs w:val="20"/>
          <w:color w:val="auto"/>
        </w:rPr>
      </w:pPr>
    </w:p>
    <w:p>
      <w:pPr>
        <w:ind w:right="380" w:firstLine="510"/>
        <w:spacing w:after="0" w:line="246" w:lineRule="auto"/>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 $2.3 billion, $2.4 billion and $1.7 billion for fiscal years 2020, 2019 and 2018, respectively.</w:t>
      </w:r>
    </w:p>
    <w:p>
      <w:pPr>
        <w:spacing w:after="0" w:line="143"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50" w:right="439" w:bottom="1440" w:gutter="0" w:footer="0" w:header="0"/>
        </w:sectPr>
      </w:pPr>
    </w:p>
    <w:bookmarkStart w:id="59" w:name="page60"/>
    <w:bookmarkEnd w:id="59"/>
    <w:p>
      <w:pPr>
        <w:ind w:right="20" w:firstLine="510"/>
        <w:spacing w:after="0" w:line="237"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March 31, 2020, we had $304.3 million in cash and cash equivalents, $441.1 million in working capital, and $390.0 million in principal amount of outstanding borrowings and borrowing availability of $292.7 million under our Revolving Credit Facility. At March 31, 2019, we had $261.7 million in cash and cash equivalents, $401.7 million in working capital, and no outstanding borrowings and borrowing availability of $680.4 million under the Revolving Credit Facility. We invest our cash in excess of current operating requirements in short-term, highly liquid bank money market accounts.</w:t>
      </w:r>
    </w:p>
    <w:p>
      <w:pPr>
        <w:spacing w:after="0" w:line="151" w:lineRule="exact"/>
        <w:rPr>
          <w:sz w:val="20"/>
          <w:szCs w:val="20"/>
          <w:color w:val="auto"/>
        </w:rPr>
      </w:pPr>
    </w:p>
    <w:p>
      <w:pPr>
        <w:ind w:right="320" w:firstLine="510"/>
        <w:spacing w:after="0" w:line="238"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R&amp;D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51"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50" w:lineRule="exact"/>
        <w:rPr>
          <w:sz w:val="20"/>
          <w:szCs w:val="20"/>
          <w:color w:val="auto"/>
        </w:rPr>
      </w:pPr>
    </w:p>
    <w:p>
      <w:pPr>
        <w:ind w:firstLine="510"/>
        <w:spacing w:after="0" w:line="253" w:lineRule="auto"/>
        <w:rPr>
          <w:sz w:val="20"/>
          <w:szCs w:val="20"/>
          <w:color w:val="auto"/>
        </w:rPr>
      </w:pPr>
      <w:r>
        <w:rPr>
          <w:rFonts w:ascii="Arial" w:cs="Arial" w:eastAsia="Arial" w:hAnsi="Arial"/>
          <w:sz w:val="17"/>
          <w:szCs w:val="17"/>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2019,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4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To date, COVID-19 has not had a significant impact on our liquidity, cash flows or capital resources. However, we have taken measures to mitigate the impact of COVID-19 on our business and financial position, including deferring certain capital expenditures, reducing discretionary expenditures and undertaking cost-reduction actions. We also drew $ 280.0 million, net, under our Revolving Credit Facility during the fourth quarter of fiscal year 2020 as a precautionary measure to preserve financial flexibility as we manage the impact of COVID-19. Given our current cash position, outlook for funds generated from operations, remaining borrowing availability under our Revolving Credit Facility of $292.7 million, cash needs and debt structure, we have not experienced to date, and do not expect to experience, any material issues with liquidity. Although we can give no assurances concerning our future liquidity,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0" w:name="page61"/>
    <w:bookmarkEnd w:id="60"/>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99"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Cash provided by operating activities for fiscal year 2020 was $436.9 million compared to $327.6 million for fiscal year 2019. This $109.4 million increase was primarily driven by our operating results (net income adjusted for depreciation, amortization and other non-cash changes) which resulted in $136.6 million of higher cash provided by operating activities year-over-year, partially offset by a $27.3 million year-over-year increase in cash used to fund net operating assets. The increase in cash used to fund net operating assets during fiscal year 2020 when compared to fiscal year 2019 was primarily due to an increase in cash used for inventory in our commercial networks segment reflecting the accelerated install schedule in mobile broadband satellite communications systems products in the prior year period and timing of payments related to our accrued liabilities.</w:t>
      </w:r>
    </w:p>
    <w:p>
      <w:pPr>
        <w:spacing w:after="0" w:line="149" w:lineRule="exact"/>
        <w:rPr>
          <w:sz w:val="20"/>
          <w:szCs w:val="20"/>
          <w:color w:val="auto"/>
        </w:rPr>
      </w:pPr>
    </w:p>
    <w:p>
      <w:pPr>
        <w:ind w:right="100" w:firstLine="510"/>
        <w:spacing w:after="0" w:line="261" w:lineRule="auto"/>
        <w:rPr>
          <w:sz w:val="20"/>
          <w:szCs w:val="20"/>
          <w:color w:val="auto"/>
        </w:rPr>
      </w:pPr>
      <w:r>
        <w:rPr>
          <w:rFonts w:ascii="Arial" w:cs="Arial" w:eastAsia="Arial" w:hAnsi="Arial"/>
          <w:sz w:val="17"/>
          <w:szCs w:val="17"/>
          <w:color w:val="auto"/>
        </w:rPr>
        <w:t>Cash used in investing activities for fiscal year 2020 was $758.8 million compared to $489.4 million for fiscal year 2019. This $269.4 million increase in cash used in investing activities year-over year reflects an increase of $87.3 million in cash used for satellite construction, as well as the receipt in fiscal year 2019 of $183.4 million in insurance proceeds from insurance claims relating to the ViaSat-2 satellite.</w:t>
      </w:r>
    </w:p>
    <w:p>
      <w:pPr>
        <w:spacing w:after="0" w:line="132"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Cash provided by financing activities for fiscal year 2020 was $365.2 million compared to $354.6 million for fiscal year 2019. Cash provided by financing activities year-over-year included a decrease in payments on borrowings under our Revolving Credit Facility of $480.0 million, a decrease in payments on borrowings under the Ex-Im Credit Facility of $201.2 million and a decrease of $7.3 million in payments of debt issuance costs, offset by lower proceeds from borrowings under our Revolving Credit Facility of $90.0 million and the receipt in the prior year period of $600.0 million of gross proceeds from our 2027 Notes. Cash provided by financing activities for both periods included cash received from stock option exercises and employee stock purchase plan purchases which were $12.1 million higher year-over-year. Both periods also included the repurchase of common stock related to net share settlement of certain employee tax liabilities in connection with the vesting of restricted stock unit awards.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In connection with the development of any new generation satellite design, and the launch of any new satellite and the commencement of the related service, we expect to incur additional operating costs that negatively impact our financial results. For example, when ViaSat-2 was placed in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service. However, as the services we provide using the new satellite continue to scale, we expect to expand the revenue base for our broadband services and gain operating cost efficiencies, which together we expect will yield incremental segment earnings contributions, partially offset by investments associated with our global business and emerging markets growth. However, there can be no assurance that we will be successful in significantly increasing revenues or achieving operating profit in our satellite services segment. We anticipate that we will incur a similar cycle of increased operating costs as we prepare for and launch commercial services on future satellites, including our ViaSat-3 constellation, followed by increases in revenue base and in scale.</w:t>
      </w:r>
    </w:p>
    <w:p>
      <w:pPr>
        <w:spacing w:after="0" w:line="14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Our first two ViaSat-3 class satellites, which are expected to cover the Americas and the EMEA region, respectively, entered the phase of full construction during the second half of fiscal year 2018. In July 2019, we entered into an agreement with Boeing for the construction and purchase of a third ViaSat-3 class satellite and the integration of our payload technologies into the satellite. This satellite is expected to cover the APAC region. We expect our ViaSat-3 constellation, once in service, to provide a substantial amount of capacity and to enable us to deliver affordable connectivity across most of the world. The projected aggregate total project cost for the first two ViaSat-3 class satellites, including the satellites, launches, insurance and related earth station infrastructure, through satellite launch is estimated to be between $1.4 billion and $1.5 billion, and will depend on the timing of the earth station infrastructure roll-out of each satellite and the method we use to procure fiber access. We believe we have adequate sources of funding for the ViaSat-3 class satellites, which include, but are not limited to, our cash on hand, borrowing capacity and the cash we expect to generate from operations over the next few years. Our total cash funding may be reduced through various third-party agreements, including potential joint service offerings and other strategic partnering arrangements.</w:t>
      </w:r>
    </w:p>
    <w:p>
      <w:pPr>
        <w:spacing w:after="0" w:line="151" w:lineRule="exact"/>
        <w:rPr>
          <w:sz w:val="20"/>
          <w:szCs w:val="20"/>
          <w:color w:val="auto"/>
        </w:rPr>
      </w:pPr>
    </w:p>
    <w:p>
      <w:pPr>
        <w:ind w:right="220" w:firstLine="510"/>
        <w:spacing w:after="0" w:line="238" w:lineRule="auto"/>
        <w:rPr>
          <w:sz w:val="20"/>
          <w:szCs w:val="20"/>
          <w:color w:val="auto"/>
        </w:rPr>
      </w:pPr>
      <w:r>
        <w:rPr>
          <w:rFonts w:ascii="Arial" w:cs="Arial" w:eastAsia="Arial" w:hAnsi="Arial"/>
          <w:sz w:val="18"/>
          <w:szCs w:val="18"/>
          <w:color w:val="auto"/>
        </w:rPr>
        <w:t>Our IR&amp;D investments are expected to continue through fiscal year 2021 and beyond relating to ViaSat-3 ground infrastructure and support of our government and commercial air mobility businesses. We expect to continue to invest in IR&amp;D at a significant level as we continue our focus on leadership and innovation in satellite and space technologies. However, the level of investment in a given fiscal year will depend on a variety of factors, including the stage of development of our satellite projects, new market opportunities and our overall operating performance. In fiscal year 2021,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61" w:name="page62"/>
    <w:bookmarkEnd w:id="61"/>
    <w:p>
      <w:pPr>
        <w:ind w:right="820"/>
        <w:spacing w:after="0" w:line="246" w:lineRule="auto"/>
        <w:rPr>
          <w:sz w:val="20"/>
          <w:szCs w:val="20"/>
          <w:color w:val="auto"/>
        </w:rPr>
      </w:pPr>
      <w:r>
        <w:rPr>
          <w:rFonts w:ascii="Arial" w:cs="Arial" w:eastAsia="Arial" w:hAnsi="Arial"/>
          <w:sz w:val="18"/>
          <w:szCs w:val="18"/>
          <w:color w:val="auto"/>
        </w:rPr>
        <w:t>capital expenditures are expected to increase when compared to fiscal year 2020, as we have a third ViaSat-3 class satellite under construction, as well as increased ground network investments related to international expansion.</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9" w:lineRule="exact"/>
        <w:rPr>
          <w:sz w:val="20"/>
          <w:szCs w:val="20"/>
          <w:color w:val="auto"/>
        </w:rPr>
      </w:pPr>
    </w:p>
    <w:p>
      <w:pPr>
        <w:ind w:right="200" w:firstLine="510"/>
        <w:spacing w:after="0" w:line="238" w:lineRule="auto"/>
        <w:rPr>
          <w:sz w:val="20"/>
          <w:szCs w:val="20"/>
          <w:color w:val="auto"/>
        </w:rPr>
      </w:pPr>
      <w:r>
        <w:rPr>
          <w:rFonts w:ascii="Arial" w:cs="Arial" w:eastAsia="Arial" w:hAnsi="Arial"/>
          <w:sz w:val="18"/>
          <w:szCs w:val="18"/>
          <w:color w:val="auto"/>
        </w:rPr>
        <w:t>As of March 31, 2020, the Revolving Credit Facility provided a $700.0 million revolving line of credit (including up to $150.0 million of letters of credit), with a maturity date of January 18, 2024. As of March 31, 2020, we had $390.0 million in principal amount of outstanding borrowings under the Revolving Credit Facility and $17.3 million outstanding under standby letters of credit, leaving borrowing availability under the Revolving Credit Facility as of March 31, 2020 of $292.7 million.</w:t>
      </w:r>
    </w:p>
    <w:p>
      <w:pPr>
        <w:spacing w:after="0" w:line="151"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As of March 31, 2020, the weighted average effective interest rate on our outstanding borrowings under the Revolving Credit Facility was 2.70%. The Revolving Credit Facility is required to be guaranteed by certain significant domestic subsidiaries of Viasat (as defined in the Revolving Credit Facility) and secured by substantially all of our assets. As of March 31, 2020, none of our subsidiaries guaranteed the Revolving Credit Facility.</w:t>
      </w:r>
    </w:p>
    <w:p>
      <w:pPr>
        <w:spacing w:after="0" w:line="151" w:lineRule="exact"/>
        <w:rPr>
          <w:sz w:val="20"/>
          <w:szCs w:val="20"/>
          <w:color w:val="auto"/>
        </w:rPr>
      </w:pPr>
    </w:p>
    <w:p>
      <w:pPr>
        <w:ind w:right="80" w:firstLine="510"/>
        <w:spacing w:after="0"/>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w:t>
      </w:r>
    </w:p>
    <w:p>
      <w:pPr>
        <w:spacing w:after="0" w:line="234" w:lineRule="auto"/>
        <w:rPr>
          <w:sz w:val="20"/>
          <w:szCs w:val="20"/>
          <w:color w:val="auto"/>
        </w:rPr>
      </w:pPr>
      <w:r>
        <w:rPr>
          <w:rFonts w:ascii="Arial" w:cs="Arial" w:eastAsia="Arial" w:hAnsi="Arial"/>
          <w:sz w:val="18"/>
          <w:szCs w:val="18"/>
          <w:color w:val="auto"/>
        </w:rPr>
        <w:t>million in principal amount of borrowings made under the Ex-Im Credit Facility, $321.2 million was used to finance up to 85% of the costs of</w:t>
      </w:r>
    </w:p>
    <w:p>
      <w:pPr>
        <w:spacing w:after="0" w:line="235" w:lineRule="auto"/>
        <w:rPr>
          <w:sz w:val="20"/>
          <w:szCs w:val="20"/>
          <w:color w:val="auto"/>
        </w:rPr>
      </w:pPr>
      <w:r>
        <w:rPr>
          <w:rFonts w:ascii="Arial" w:cs="Arial" w:eastAsia="Arial" w:hAnsi="Arial"/>
          <w:sz w:val="18"/>
          <w:szCs w:val="18"/>
          <w:color w:val="auto"/>
        </w:rPr>
        <w:t>construction, launch and insurance of the ViaSat-2 satellite and related goods and services (including costs incurred on or after</w:t>
      </w:r>
    </w:p>
    <w:p>
      <w:pPr>
        <w:spacing w:after="0" w:line="235" w:lineRule="auto"/>
        <w:rPr>
          <w:sz w:val="20"/>
          <w:szCs w:val="20"/>
          <w:color w:val="auto"/>
        </w:rPr>
      </w:pPr>
      <w:r>
        <w:rPr>
          <w:rFonts w:ascii="Arial" w:cs="Arial" w:eastAsia="Arial" w:hAnsi="Arial"/>
          <w:sz w:val="18"/>
          <w:szCs w:val="18"/>
          <w:color w:val="auto"/>
        </w:rPr>
        <w:t>September 18, 2012), with the remaining $41.2 million used to finance the total exposure fees incurred under the Ex-Im Credit Facility (which</w:t>
      </w:r>
    </w:p>
    <w:p>
      <w:pPr>
        <w:spacing w:after="0" w:line="235" w:lineRule="auto"/>
        <w:rPr>
          <w:sz w:val="20"/>
          <w:szCs w:val="20"/>
          <w:color w:val="auto"/>
        </w:rPr>
      </w:pPr>
      <w:r>
        <w:rPr>
          <w:rFonts w:ascii="Arial" w:cs="Arial" w:eastAsia="Arial" w:hAnsi="Arial"/>
          <w:sz w:val="18"/>
          <w:szCs w:val="18"/>
          <w:color w:val="auto"/>
        </w:rPr>
        <w:t>included all previously accrued completion exposure fees). As of March 31, 2020, we had $117.9 million in principal amount of outstanding</w:t>
      </w:r>
    </w:p>
    <w:p>
      <w:pPr>
        <w:spacing w:after="0"/>
        <w:rPr>
          <w:sz w:val="20"/>
          <w:szCs w:val="20"/>
          <w:color w:val="auto"/>
        </w:rPr>
      </w:pPr>
      <w:r>
        <w:rPr>
          <w:rFonts w:ascii="Arial" w:cs="Arial" w:eastAsia="Arial" w:hAnsi="Arial"/>
          <w:sz w:val="18"/>
          <w:szCs w:val="18"/>
          <w:color w:val="auto"/>
        </w:rPr>
        <w:t>borrowings under the Ex-Im Credit Facility.</w:t>
      </w:r>
    </w:p>
    <w:p>
      <w:pPr>
        <w:spacing w:after="0" w:line="158"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our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During the first three months of fiscal year 2020, we received the remaining insurance proceeds of $2.3 million, which were in addition to the $185.7 million of insurance proceeds received during fiscal year 2019 related to the ViaSat-2 satellite, all of which were used to pay down outstanding borrowings under the Ex-Im Credit Facility upon receipt. The Ex-Im Credit Facility is guaranteed by Viasat and is secured by first-priority liens on the ViaSat-2 satellite and related assets as well as a pledge of the capital stock of the borrower under the facility.</w:t>
      </w:r>
    </w:p>
    <w:p>
      <w:pPr>
        <w:spacing w:after="0" w:line="152" w:lineRule="exact"/>
        <w:rPr>
          <w:sz w:val="20"/>
          <w:szCs w:val="20"/>
          <w:color w:val="auto"/>
        </w:rPr>
      </w:pPr>
    </w:p>
    <w:p>
      <w:pPr>
        <w:ind w:right="20" w:firstLine="510"/>
        <w:spacing w:after="0"/>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4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borrowings under the Ex-Im Credit Facility are recorded as current portion of long-term debt and as other long-term debt, net of unamortized discount and debt issuance costs, in our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62" w:name="page63"/>
    <w:bookmarkEnd w:id="62"/>
    <w:p>
      <w:pPr>
        <w:ind w:left="260"/>
        <w:spacing w:after="0"/>
        <w:rPr>
          <w:sz w:val="20"/>
          <w:szCs w:val="20"/>
          <w:color w:val="auto"/>
        </w:rPr>
      </w:pPr>
      <w:r>
        <w:rPr>
          <w:rFonts w:ascii="Arial" w:cs="Arial" w:eastAsia="Arial" w:hAnsi="Arial"/>
          <w:sz w:val="18"/>
          <w:szCs w:val="18"/>
          <w:b w:val="1"/>
          <w:bCs w:val="1"/>
          <w:i w:val="1"/>
          <w:iCs w:val="1"/>
          <w:color w:val="auto"/>
        </w:rPr>
        <w:t>Senior Notes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81"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In March 2019, we issued $600.0 million in principal amount of 2027 Notes in a private placement to institutional buyers. The 2027 Notes were issued at face value and are recorded as long-term debt, net of debt issuance costs, in our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48" w:lineRule="exact"/>
        <w:rPr>
          <w:sz w:val="20"/>
          <w:szCs w:val="20"/>
          <w:color w:val="auto"/>
        </w:rPr>
      </w:pPr>
    </w:p>
    <w:p>
      <w:pPr>
        <w:ind w:right="300" w:firstLine="510"/>
        <w:spacing w:after="0" w:line="261" w:lineRule="auto"/>
        <w:rPr>
          <w:sz w:val="20"/>
          <w:szCs w:val="20"/>
          <w:color w:val="auto"/>
        </w:rPr>
      </w:pPr>
      <w:r>
        <w:rPr>
          <w:rFonts w:ascii="Arial" w:cs="Arial" w:eastAsia="Arial" w:hAnsi="Arial"/>
          <w:sz w:val="17"/>
          <w:szCs w:val="17"/>
          <w:color w:val="auto"/>
        </w:rPr>
        <w:t>The 2027 Notes are required to be guaranteed on a senior secured basis by each of our existing and future subsidiaries that guarantees the Revolving Credit Facility. As of March 31, 2020, none of our subsidiaries guaranteed the 2027 Notes. The 2027 Notes are secured, equally and ratably with the Revolving Credit Facility and any future parity lien debt, by liens on substantially all of our assets.</w:t>
      </w:r>
    </w:p>
    <w:p>
      <w:pPr>
        <w:spacing w:after="0" w:line="132"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2027 Notes are our general senior secured obligations and rank equally in right of payment with all of our existing and future unsubordinated debt. The 2027 Notes are effectively senior to all of our existing and future unsecured debt (including our 5.625% Senior Notes due 2025 (the 2025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our subsidiaries that do not guarantee the 2027 Notes (including obligations of the borrower under the Ex-Im Credit Facility), and are senior in right of payment to all of our existing and future subordinated indebtedness.</w:t>
      </w:r>
    </w:p>
    <w:p>
      <w:pPr>
        <w:spacing w:after="0" w:line="149"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indenture governing the 2027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our assets to, another person.</w:t>
      </w:r>
    </w:p>
    <w:p>
      <w:pPr>
        <w:spacing w:after="0" w:line="148"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Prior to April 15, 2022, we may redeem up to 40% of the 2027 Notes at a redemption price of 105.625% of the principal amount thereof, plus accrued and unpaid interest, if any, thereon to the redemption date, from the net cash proceeds of specified equity offerings. We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 (1) 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51"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us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95"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In September 2017, we issued $700.0 million in principal amount of the 2025 Notes in a private placement to institutional buyers. The 2025 Notes were issued at face value and are recorded as long-term debt, net of debt issuance costs, in our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63" w:name="page64"/>
    <w:bookmarkEnd w:id="63"/>
    <w:p>
      <w:pPr>
        <w:ind w:firstLine="510"/>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our existing and future subsidiaries that guarantees the Revolving Credit Facility. As of March 31, 2020, none of our subsidiaries guaranteed the 2025 Notes. The 2025 Notes are our general senior unsecured obligations and rank equally in right of payment with all of our existing and future unsecured unsubordinated debt. The 2025 Notes are effectively junior in right of payment to our existing and future secured debt, including under our Credit Facilities and the 2027 Notes (to the extent of the value of the assets securing such debt), are structurally subordinated to all existing and future liabilities (including trade payables) of our subsidiaries that do not guarantee the 2025 Notes, and are senior in right of payment to all of our existing and future subordinated indebtedness.</w:t>
      </w:r>
    </w:p>
    <w:p>
      <w:pPr>
        <w:spacing w:after="0" w:line="149"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indenture governing the 2025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our assets to, another person.</w:t>
      </w:r>
    </w:p>
    <w:p>
      <w:pPr>
        <w:spacing w:after="0" w:line="148"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Prior to September 15, 2020, we may redeem up to 40% of the 2025 Notes at a redemption price of 105.625% of the principal amount thereof, plus accrued and unpaid interest, if any, thereon to the redemption date, from the net cash proceeds of specified equity offerings. We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governing the 2025 Notes)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50"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us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108"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In connection with our issuance of the 2025 Notes in September 2017, we repurchased and redeemed all $575.0 million in aggregate principal amount of our former 2020 Notes then outstanding through a cash tender offer and redemption, and the indenture governing the 2020 Notes was satisfied and discharged in accordance with its terms. In September 2017, we repurchased $298.2 million in aggregate principal amount of the 2020 Notes pursuant to the tender offer. The total cash payment to repurchase the tendered 2020 Notes in the tender offer, including accrued and unpaid interest to, but excluding, the repurchase date, was $309.3 million. Also in September 2017, in connection with the redemption of the remaining $276.8 million in aggregate principal amount of 2020 Notes, we irrevocably deposited $287.4 million with Wilmington Trust, as trustee, as trust funds solely for the benefit of the holders of such 2020 Notes. The redemption price for the 2020 Notes was 101.719% of the principal amount so redeemed, plus accrued and unpaid interest to, but excluding, the redemption date of October 5, 2017.</w:t>
      </w:r>
    </w:p>
    <w:p>
      <w:pPr>
        <w:spacing w:after="0" w:line="153" w:lineRule="exact"/>
        <w:rPr>
          <w:sz w:val="20"/>
          <w:szCs w:val="20"/>
          <w:color w:val="auto"/>
        </w:rPr>
      </w:pPr>
    </w:p>
    <w:p>
      <w:pPr>
        <w:ind w:right="200" w:firstLine="510"/>
        <w:spacing w:after="0" w:line="246" w:lineRule="auto"/>
        <w:rPr>
          <w:sz w:val="20"/>
          <w:szCs w:val="20"/>
          <w:color w:val="auto"/>
        </w:rPr>
      </w:pPr>
      <w:r>
        <w:rPr>
          <w:rFonts w:ascii="Arial" w:cs="Arial" w:eastAsia="Arial" w:hAnsi="Arial"/>
          <w:sz w:val="18"/>
          <w:szCs w:val="18"/>
          <w:color w:val="auto"/>
        </w:rPr>
        <w:t>In connection with the satisfaction and discharge of the indenture governing the 2020 Notes, all of our obligations (other than certain customary provisions of the indenture that expressly survive pursuant to the terms of the indenture) were discharged in September 2017.</w:t>
      </w:r>
    </w:p>
    <w:p>
      <w:pPr>
        <w:spacing w:after="0" w:line="143" w:lineRule="exact"/>
        <w:rPr>
          <w:sz w:val="20"/>
          <w:szCs w:val="20"/>
          <w:color w:val="auto"/>
        </w:rPr>
      </w:pPr>
    </w:p>
    <w:p>
      <w:pPr>
        <w:ind w:right="160" w:firstLine="510"/>
        <w:spacing w:after="0" w:line="238" w:lineRule="auto"/>
        <w:rPr>
          <w:sz w:val="20"/>
          <w:szCs w:val="20"/>
          <w:color w:val="auto"/>
        </w:rPr>
      </w:pPr>
      <w:r>
        <w:rPr>
          <w:rFonts w:ascii="Arial" w:cs="Arial" w:eastAsia="Arial" w:hAnsi="Arial"/>
          <w:sz w:val="18"/>
          <w:szCs w:val="18"/>
          <w:color w:val="auto"/>
        </w:rPr>
        <w:t>As a result of the repurchase of the 2020 Notes in the tender offer and the redemption of the remaining 2020 Notes, we recognized a $10.2 million loss on extinguishment of debt during the second quarter of fiscal year 2018, which was comprised of $10.6 million in cash payments (including tender offer consideration, redemption premium and related professional fees), net of an insignificant amount in non-cash gain (including unamortized premium, net of unamortized debt issuance costs).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Contractual Obligations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obligations at March 31,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00" w:type="dxa"/>
            <w:vAlign w:val="bottom"/>
            <w:vMerge w:val="restart"/>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Fiscal Years Ending</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2022-2023</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2024-2025</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487,638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62,064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124,765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115,580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Finance leases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2027 Notes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853,125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684,375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2025 Notes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916,563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39,375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 (1)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430,611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398,573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Ex-Im Credit Facility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127,042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Satellite performance incentives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tcPr>
          <w:p>
            <w:pPr>
              <w:spacing w:after="0"/>
              <w:rPr>
                <w:sz w:val="20"/>
                <w:szCs w:val="20"/>
                <w:color w:val="auto"/>
              </w:rPr>
            </w:pPr>
            <w:r>
              <w:rPr>
                <w:rFonts w:ascii="Arial" w:cs="Arial" w:eastAsia="Arial" w:hAnsi="Arial"/>
                <w:sz w:val="18"/>
                <w:szCs w:val="18"/>
                <w:color w:val="auto"/>
              </w:rPr>
              <w:t>Purchase commitments including satellite-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Borders>
              <w:bottom w:val="single" w:sz="8" w:color="CFF0FC"/>
            </w:tcBorders>
          </w:tcPr>
          <w:p>
            <w:pPr>
              <w:ind w:left="160"/>
              <w:spacing w:after="0" w:line="203" w:lineRule="exact"/>
              <w:rPr>
                <w:sz w:val="20"/>
                <w:szCs w:val="20"/>
                <w:color w:val="auto"/>
              </w:rPr>
            </w:pPr>
            <w:r>
              <w:rPr>
                <w:rFonts w:ascii="Arial" w:cs="Arial" w:eastAsia="Arial" w:hAnsi="Arial"/>
                <w:sz w:val="18"/>
                <w:szCs w:val="18"/>
                <w:color w:val="auto"/>
              </w:rPr>
              <w:t>related agreements</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1,853,750</w:t>
            </w:r>
          </w:p>
        </w:tc>
        <w:tc>
          <w:tcPr>
            <w:tcW w:w="2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1,045,887</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721,621</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59,653</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26,589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4,779,425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1,230,283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1,090,765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795,895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1,662,482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769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09" w:lineRule="exact"/>
        <w:rPr>
          <w:sz w:val="20"/>
          <w:szCs w:val="20"/>
          <w:color w:val="auto"/>
        </w:rPr>
      </w:pPr>
    </w:p>
    <w:p>
      <w:pPr>
        <w:jc w:val="both"/>
        <w:ind w:left="500" w:right="66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Revolving Credit Facility may fluctuate, amounts reflected represent estimated interest payments on our current outstanding balances based on the weighted average effective interest rate at March 31, 2020 until the maturity date in January 2024.</w:t>
      </w:r>
    </w:p>
    <w:p>
      <w:pPr>
        <w:spacing w:after="0" w:line="189" w:lineRule="exact"/>
        <w:rPr>
          <w:sz w:val="20"/>
          <w:szCs w:val="20"/>
          <w:color w:val="auto"/>
        </w:rPr>
      </w:pPr>
    </w:p>
    <w:p>
      <w:pPr>
        <w:ind w:right="180" w:firstLine="510"/>
        <w:spacing w:after="0" w:line="23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4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Our consolidated balance sheets included $120.9 million and $120.8 million of “other liabilities” as of March 31, 2020 and March 31, 2019, respectively, which primarily consisted of the long-term portion of deferred revenues, the long-term portion of our satellite performance incentive obligations relating to the ViaSat-1 and ViaSat-2 satellites, our long-term warranty obligations and, in fiscal year 2019 only, the long-term portion of deferred rent. With the exception of the long-term portion of our satellite performance incentive obligations relating to the ViaSat-1 and ViaSat-2 satellites (which is included under “Satellite performance incentives”), these remaining liabilities have been excluded from the above table as the timing and/or the amount of any cash payment is uncertain. See Note 12 – Commitments to our consolidated financial statements for additional information regarding satellite performance incentive obligations relating to the ViaSat-1 and ViaSat-2 satellites. See Note 14 – Product Warranty to our consolidated financial statements for a discussion of our product warranties.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right="320" w:firstLine="510"/>
        <w:spacing w:after="0" w:line="246" w:lineRule="auto"/>
        <w:rPr>
          <w:sz w:val="20"/>
          <w:szCs w:val="20"/>
          <w:color w:val="auto"/>
        </w:rPr>
      </w:pPr>
      <w:r>
        <w:rPr>
          <w:rFonts w:ascii="Arial" w:cs="Arial" w:eastAsia="Arial" w:hAnsi="Arial"/>
          <w:sz w:val="18"/>
          <w:szCs w:val="18"/>
          <w:color w:val="auto"/>
        </w:rPr>
        <w:t>We had no material off-balance sheet arrangements at March 31, 2020 as defined in Regulation S-K Item 303(a)(4) other than as discussed under “Contractual Obligations” above or disclosed in the notes to our consolidated financial statements included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85" w:lineRule="exact"/>
        <w:rPr>
          <w:sz w:val="20"/>
          <w:szCs w:val="20"/>
          <w:color w:val="auto"/>
        </w:rPr>
      </w:pPr>
    </w:p>
    <w:p>
      <w:pPr>
        <w:ind w:right="40" w:firstLine="510"/>
        <w:spacing w:after="0" w:line="246" w:lineRule="auto"/>
        <w:rPr>
          <w:sz w:val="20"/>
          <w:szCs w:val="20"/>
          <w:color w:val="auto"/>
        </w:rPr>
      </w:pPr>
      <w:r>
        <w:rPr>
          <w:rFonts w:ascii="Arial" w:cs="Arial" w:eastAsia="Arial" w:hAnsi="Arial"/>
          <w:sz w:val="18"/>
          <w:szCs w:val="18"/>
          <w:color w:val="auto"/>
        </w:rPr>
        <w:t>For information regarding recently adopted and issued accounting pronouncements, see Note 1 – The Company and a Summary of Its Significant Accounting Policies to the consolidated financial statements</w:t>
      </w:r>
      <w:r>
        <w:rPr>
          <w:rFonts w:ascii="Arial" w:cs="Arial" w:eastAsia="Arial" w:hAnsi="Arial"/>
          <w:sz w:val="18"/>
          <w:szCs w:val="18"/>
          <w:i w:val="1"/>
          <w:iCs w:val="1"/>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5" w:name="page66"/>
    <w:bookmarkEnd w:id="65"/>
    <w:p>
      <w:pPr>
        <w:ind w:right="4100"/>
        <w:spacing w:after="0" w:line="333" w:lineRule="auto"/>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Interest Rate Risk</w:t>
      </w:r>
    </w:p>
    <w:p>
      <w:pPr>
        <w:spacing w:after="0" w:line="1" w:lineRule="exact"/>
        <w:rPr>
          <w:sz w:val="20"/>
          <w:szCs w:val="20"/>
          <w:color w:val="auto"/>
        </w:rPr>
      </w:pPr>
    </w:p>
    <w:p>
      <w:pPr>
        <w:ind w:right="140" w:firstLine="510"/>
        <w:spacing w:after="0" w:line="236"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short-term and long-term obligations, including the Credit Facilities, the 2025 Notes and the 2027 Notes, and foreign currency forward contracts. We consider investments in highly liquid instruments purchased with a remaining maturity of three months or less at the date of purchase to be cash equivalents. As of March 31, 2020, we had $390.0 million in principal amount of outstanding borrowings under our Revolving Credit Facility, $117.9 million in principal amount of outstanding borrowings under our Ex-Im Credit Facility, $700.0 million in aggregate principal amount outstanding of the 2025 Notes and $600.0 million in aggregate principal amount outstanding of the 2027 Notes, and we held no short-term investments. Our 2025 Notes, 2027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53" w:lineRule="exact"/>
        <w:rPr>
          <w:sz w:val="20"/>
          <w:szCs w:val="20"/>
          <w:color w:val="auto"/>
        </w:rPr>
      </w:pPr>
    </w:p>
    <w:p>
      <w:pPr>
        <w:ind w:right="200" w:firstLine="510"/>
        <w:spacing w:after="0" w:line="236"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fiscal years ended March 31, 2020 and March 31, 2019.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51"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As of March 31, 2020, we had $390.0 million in principal amount of outstanding borrowings under our Revolving Credit Facility. Our primary interest rate under the Revolving Credit Facility is the Eurodollar rate plus an applicable margin that is based on our total leverage ratio. At March 31, 2020, the weighted average effective interest rate on our outstanding borrowings under the Revolving Credit Facility was 2.70%. Assuming the outstanding balance remained constant over a year, a 50 basis point increase in the interest rate would increase interest incurred, prior to effects of capitalized interest, by approximately $2.0 million over a twelve-month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Our investment in Euro Broadband Infrastructure Sàrl during the fourth quarter of fiscal year 2017, which is denominated in Euros, increases our exposure to foreign currency risk. A five percent variance in foreign currencies in which our international business is conducted would change our income (loss) before income taxes by an insignificant amount for the fiscal years ended March 31, 2020 and March 31, 2019.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54"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As of March 31, 2020, we had no foreign currency forward contracts outstanding. The notional value of foreign currency forward contracts outstanding was $9.9 million as of March 31, 2019. If the foreign currency forward rate on our foreign currency forward contracts had changed by 10%, the fair value of these foreign currency forward contracts as of March 31, 2019 would have changed by an insignificant amount.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85"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Our consolidated financial statements at March 31, 2020 and March 31, 2019 and for each of the three fiscal years in the period ended March 31, 2020, and the Report of PricewaterhouseCoopers LLP, Independent Registered Public Accounting Firm, are included in this report on pages F-1 through F-43.</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Summarized Quarterly Data (Unaudited)</w:t>
      </w:r>
    </w:p>
    <w:p>
      <w:pPr>
        <w:spacing w:after="0" w:line="99"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the fair statement of the results for the interim periods. Summarized quarterly data for fiscal years 2020 and 2019 are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131"/>
              <w:spacing w:after="0"/>
              <w:rPr>
                <w:sz w:val="20"/>
                <w:szCs w:val="20"/>
                <w:color w:val="auto"/>
              </w:rPr>
            </w:pPr>
            <w:r>
              <w:rPr>
                <w:rFonts w:ascii="Arial" w:cs="Arial" w:eastAsia="Arial" w:hAnsi="Arial"/>
                <w:sz w:val="14"/>
                <w:szCs w:val="14"/>
                <w:b w:val="1"/>
                <w:bCs w:val="1"/>
                <w:color w:val="auto"/>
              </w:rPr>
              <w:t>1st Quarter</w:t>
            </w:r>
          </w:p>
        </w:tc>
        <w:tc>
          <w:tcPr>
            <w:tcW w:w="260" w:type="dxa"/>
            <w:vAlign w:val="bottom"/>
          </w:tcPr>
          <w:p>
            <w:pPr>
              <w:spacing w:after="0"/>
              <w:rPr>
                <w:sz w:val="15"/>
                <w:szCs w:val="15"/>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2nd Quarter</w:t>
            </w:r>
          </w:p>
        </w:tc>
        <w:tc>
          <w:tcPr>
            <w:tcW w:w="200" w:type="dxa"/>
            <w:vAlign w:val="bottom"/>
          </w:tcPr>
          <w:p>
            <w:pPr>
              <w:spacing w:after="0"/>
              <w:rPr>
                <w:sz w:val="15"/>
                <w:szCs w:val="15"/>
                <w:color w:val="auto"/>
              </w:rPr>
            </w:pPr>
          </w:p>
        </w:tc>
        <w:tc>
          <w:tcPr>
            <w:tcW w:w="1100" w:type="dxa"/>
            <w:vAlign w:val="bottom"/>
          </w:tcPr>
          <w:p>
            <w:pPr>
              <w:jc w:val="right"/>
              <w:ind w:right="231"/>
              <w:spacing w:after="0"/>
              <w:rPr>
                <w:sz w:val="20"/>
                <w:szCs w:val="20"/>
                <w:color w:val="auto"/>
              </w:rPr>
            </w:pPr>
            <w:r>
              <w:rPr>
                <w:rFonts w:ascii="Arial" w:cs="Arial" w:eastAsia="Arial" w:hAnsi="Arial"/>
                <w:sz w:val="14"/>
                <w:szCs w:val="14"/>
                <w:b w:val="1"/>
                <w:bCs w:val="1"/>
                <w:color w:val="auto"/>
                <w:w w:val="99"/>
              </w:rPr>
              <w:t>3rd Quarter</w:t>
            </w:r>
          </w:p>
        </w:tc>
        <w:tc>
          <w:tcPr>
            <w:tcW w:w="1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4th Quarter</w:t>
            </w:r>
          </w:p>
        </w:tc>
      </w:tr>
      <w:tr>
        <w:trPr>
          <w:trHeight w:val="169"/>
        </w:trPr>
        <w:tc>
          <w:tcPr>
            <w:tcW w:w="4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6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2020</w:t>
            </w: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Total revenues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537,037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592,256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588,224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591,721</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(Loss) income from operations</w:t>
            </w: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(8,065)</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18,425</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13,969</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14,092</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 income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(9,737)</w:t>
            </w:r>
          </w:p>
        </w:tc>
        <w:tc>
          <w:tcPr>
            <w:tcW w:w="2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8,062</w:t>
            </w:r>
          </w:p>
        </w:tc>
        <w:tc>
          <w:tcPr>
            <w:tcW w:w="200" w:type="dxa"/>
            <w:vAlign w:val="bottom"/>
          </w:tcPr>
          <w:p>
            <w:pPr>
              <w:spacing w:after="0"/>
              <w:rPr>
                <w:sz w:val="18"/>
                <w:szCs w:val="18"/>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10,590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attributable to Viasat, Inc.</w:t>
            </w: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(11,468)</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3,194</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6,476</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FF0FC"/>
          </w:tcPr>
          <w:p>
            <w:pPr>
              <w:spacing w:after="0"/>
              <w:rPr>
                <w:sz w:val="18"/>
                <w:szCs w:val="18"/>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8"/>
                <w:szCs w:val="18"/>
                <w:color w:val="auto"/>
              </w:rPr>
              <w:t>Basic net (loss) income per share attributable to</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560" w:type="dxa"/>
            <w:vAlign w:val="bottom"/>
          </w:tcPr>
          <w:p>
            <w:pPr>
              <w:ind w:left="140"/>
              <w:spacing w:after="0" w:line="203" w:lineRule="exact"/>
              <w:rPr>
                <w:sz w:val="20"/>
                <w:szCs w:val="20"/>
                <w:color w:val="auto"/>
              </w:rPr>
            </w:pPr>
            <w:r>
              <w:rPr>
                <w:rFonts w:ascii="Arial" w:cs="Arial" w:eastAsia="Arial" w:hAnsi="Arial"/>
                <w:sz w:val="18"/>
                <w:szCs w:val="18"/>
                <w:color w:val="auto"/>
              </w:rPr>
              <w:t>Viasat, Inc.</w:t>
            </w:r>
          </w:p>
        </w:tc>
        <w:tc>
          <w:tcPr>
            <w:tcW w:w="7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(0.19)</w:t>
            </w: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0.05</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line="203" w:lineRule="exact"/>
              <w:rPr>
                <w:sz w:val="20"/>
                <w:szCs w:val="20"/>
                <w:color w:val="auto"/>
              </w:rPr>
            </w:pPr>
            <w:r>
              <w:rPr>
                <w:rFonts w:ascii="Arial" w:cs="Arial" w:eastAsia="Arial" w:hAnsi="Arial"/>
                <w:sz w:val="18"/>
                <w:szCs w:val="18"/>
                <w:color w:val="auto"/>
              </w:rPr>
              <w:t>0.10</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0.03</w:t>
            </w:r>
          </w:p>
        </w:tc>
        <w:tc>
          <w:tcPr>
            <w:tcW w:w="100" w:type="dxa"/>
            <w:vAlign w:val="bottom"/>
          </w:tcPr>
          <w:p>
            <w:pPr>
              <w:spacing w:after="0"/>
              <w:rPr>
                <w:sz w:val="17"/>
                <w:szCs w:val="17"/>
                <w:color w:val="auto"/>
              </w:rPr>
            </w:pPr>
          </w:p>
        </w:tc>
      </w:tr>
      <w:tr>
        <w:trPr>
          <w:trHeight w:val="215"/>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Diluted net (loss) income per share attributable to</w:t>
            </w: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56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Viasat, Inc.</w:t>
            </w:r>
          </w:p>
        </w:tc>
        <w:tc>
          <w:tcPr>
            <w:tcW w:w="7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(0.19)</w:t>
            </w:r>
          </w:p>
        </w:tc>
        <w:tc>
          <w:tcPr>
            <w:tcW w:w="2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0.05</w:t>
            </w:r>
          </w:p>
        </w:tc>
        <w:tc>
          <w:tcPr>
            <w:tcW w:w="2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1"/>
              <w:spacing w:after="0" w:line="203" w:lineRule="exact"/>
              <w:rPr>
                <w:sz w:val="20"/>
                <w:szCs w:val="20"/>
                <w:color w:val="auto"/>
              </w:rPr>
            </w:pPr>
            <w:r>
              <w:rPr>
                <w:rFonts w:ascii="Arial" w:cs="Arial" w:eastAsia="Arial" w:hAnsi="Arial"/>
                <w:sz w:val="18"/>
                <w:szCs w:val="18"/>
                <w:color w:val="auto"/>
              </w:rPr>
              <w:t>0.10</w:t>
            </w: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0.03</w:t>
            </w:r>
          </w:p>
        </w:tc>
        <w:tc>
          <w:tcPr>
            <w:tcW w:w="100" w:type="dxa"/>
            <w:vAlign w:val="bottom"/>
            <w:shd w:val="clear" w:color="auto" w:fill="CFF0FC"/>
          </w:tcPr>
          <w:p>
            <w:pPr>
              <w:spacing w:after="0"/>
              <w:rPr>
                <w:sz w:val="17"/>
                <w:szCs w:val="17"/>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438,869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517,474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554,694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557,221</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(54,479)</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(21,571)</w:t>
            </w:r>
          </w:p>
        </w:tc>
        <w:tc>
          <w:tcPr>
            <w:tcW w:w="200" w:type="dxa"/>
            <w:vAlign w:val="bottom"/>
          </w:tcPr>
          <w:p>
            <w:pPr>
              <w:spacing w:after="0"/>
              <w:rPr>
                <w:sz w:val="18"/>
                <w:szCs w:val="18"/>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6,007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9,423</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(35,497)</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(25,598)</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(10,737)</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5,363</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 income attributable to Viasat, Inc.</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(34,010)</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(25,724)</w:t>
            </w:r>
          </w:p>
        </w:tc>
        <w:tc>
          <w:tcPr>
            <w:tcW w:w="2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(10,404)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8"/>
                <w:szCs w:val="18"/>
                <w:color w:val="auto"/>
              </w:rPr>
            </w:pPr>
          </w:p>
        </w:tc>
      </w:tr>
      <w:tr>
        <w:trPr>
          <w:trHeight w:val="215"/>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Basic net (loss) income per share attributable to</w:t>
            </w: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56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Viasat, Inc.</w:t>
            </w:r>
          </w:p>
        </w:tc>
        <w:tc>
          <w:tcPr>
            <w:tcW w:w="7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(0.57)</w:t>
            </w:r>
          </w:p>
        </w:tc>
        <w:tc>
          <w:tcPr>
            <w:tcW w:w="2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(0.43)</w:t>
            </w:r>
          </w:p>
        </w:tc>
        <w:tc>
          <w:tcPr>
            <w:tcW w:w="2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(0.17)</w:t>
            </w: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0.04</w:t>
            </w:r>
          </w:p>
        </w:tc>
        <w:tc>
          <w:tcPr>
            <w:tcW w:w="100" w:type="dxa"/>
            <w:vAlign w:val="bottom"/>
            <w:shd w:val="clear" w:color="auto" w:fill="CFF0FC"/>
          </w:tcPr>
          <w:p>
            <w:pPr>
              <w:spacing w:after="0"/>
              <w:rPr>
                <w:sz w:val="17"/>
                <w:szCs w:val="17"/>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8"/>
                <w:szCs w:val="18"/>
                <w:color w:val="auto"/>
              </w:rPr>
              <w:t>Diluted net (loss) income per share attributable to</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560" w:type="dxa"/>
            <w:vAlign w:val="bottom"/>
          </w:tcPr>
          <w:p>
            <w:pPr>
              <w:ind w:left="140"/>
              <w:spacing w:after="0"/>
              <w:rPr>
                <w:sz w:val="20"/>
                <w:szCs w:val="20"/>
                <w:color w:val="auto"/>
              </w:rPr>
            </w:pPr>
            <w:r>
              <w:rPr>
                <w:rFonts w:ascii="Arial" w:cs="Arial" w:eastAsia="Arial" w:hAnsi="Arial"/>
                <w:sz w:val="18"/>
                <w:szCs w:val="18"/>
                <w:color w:val="auto"/>
              </w:rPr>
              <w:t>Viasat, Inc.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r>
    </w:tbl>
    <w:p>
      <w:pPr>
        <w:spacing w:after="0" w:line="188"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Summarized quarterly data for the third and fourth quarters of fiscal year 2019 reflects a $4.0 million and $3.5 million gain, respectively, related to ViaSat-2 insurance claims in SG&amp;A expenses in our satellite services segment. Refer to Note 1 – The Company and a Summary of Its Significant accounting Policies – Property, equipment and satellites to our consolidated financial statements for further discussion of the ViaSat-2 insurance claims.</w:t>
      </w:r>
    </w:p>
    <w:p>
      <w:pPr>
        <w:spacing w:after="0" w:line="191" w:lineRule="exact"/>
        <w:rPr>
          <w:sz w:val="20"/>
          <w:szCs w:val="20"/>
          <w:color w:val="auto"/>
        </w:rPr>
      </w:pPr>
    </w:p>
    <w:p>
      <w:pPr>
        <w:ind w:right="220" w:firstLine="510"/>
        <w:spacing w:after="0" w:line="246" w:lineRule="auto"/>
        <w:rPr>
          <w:sz w:val="20"/>
          <w:szCs w:val="20"/>
          <w:color w:val="auto"/>
        </w:rPr>
      </w:pPr>
      <w:r>
        <w:rPr>
          <w:rFonts w:ascii="Arial" w:cs="Arial" w:eastAsia="Arial" w:hAnsi="Arial"/>
          <w:sz w:val="18"/>
          <w:szCs w:val="18"/>
          <w:color w:val="auto"/>
        </w:rPr>
        <w:t>Basic and diluted net (loss) income per share are computed independently for each of the quarters presented. Therefore, the sum of quarterly basic and diluted per share information may not equal annual basic and diluted net income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5"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March 31, 2020, the end of the period covered by this report. Based upon the foregoing, our Chief Executive Officer and Chief Financial Officer concluded that our disclosure controls and procedures were effective at a reasonable assurance level as of March 31, 2020.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9" w:lineRule="exact"/>
        <w:rPr>
          <w:sz w:val="20"/>
          <w:szCs w:val="20"/>
          <w:color w:val="auto"/>
        </w:rPr>
      </w:pPr>
    </w:p>
    <w:p>
      <w:pPr>
        <w:ind w:right="100" w:firstLine="510"/>
        <w:spacing w:after="0" w:line="234" w:lineRule="auto"/>
        <w:rPr>
          <w:sz w:val="20"/>
          <w:szCs w:val="20"/>
          <w:color w:val="auto"/>
        </w:rPr>
      </w:pPr>
      <w:r>
        <w:rPr>
          <w:rFonts w:ascii="Arial" w:cs="Arial" w:eastAsia="Arial" w:hAnsi="Arial"/>
          <w:sz w:val="18"/>
          <w:szCs w:val="18"/>
          <w:color w:val="auto"/>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Chief Executive Officer and Chief Financial Officer, the company conducted an evaluation of the effectiveness of its internal control over financial reporting based on criteria established in the framework in </w:t>
      </w:r>
      <w:r>
        <w:rPr>
          <w:rFonts w:ascii="Arial" w:cs="Arial" w:eastAsia="Arial" w:hAnsi="Arial"/>
          <w:sz w:val="18"/>
          <w:szCs w:val="18"/>
          <w:i w:val="1"/>
          <w:iCs w:val="1"/>
          <w:color w:val="auto"/>
        </w:rPr>
        <w:t>Internal Control — Integrated Framework</w:t>
      </w:r>
    </w:p>
    <w:p>
      <w:pPr>
        <w:spacing w:after="0" w:line="3"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Based on this evaluation,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its internal control over financial reporting was effective as of March 31, 2020.</w:t>
      </w:r>
    </w:p>
    <w:p>
      <w:pPr>
        <w:spacing w:after="0" w:line="143" w:lineRule="exact"/>
        <w:rPr>
          <w:sz w:val="20"/>
          <w:szCs w:val="20"/>
          <w:color w:val="auto"/>
        </w:rPr>
      </w:pPr>
    </w:p>
    <w:p>
      <w:pPr>
        <w:ind w:right="180" w:firstLine="51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right="400" w:firstLine="510"/>
        <w:spacing w:after="0" w:line="246" w:lineRule="auto"/>
        <w:rPr>
          <w:sz w:val="20"/>
          <w:szCs w:val="20"/>
          <w:color w:val="auto"/>
        </w:rPr>
      </w:pPr>
      <w:r>
        <w:rPr>
          <w:rFonts w:ascii="Arial" w:cs="Arial" w:eastAsia="Arial" w:hAnsi="Arial"/>
          <w:sz w:val="18"/>
          <w:szCs w:val="18"/>
          <w:color w:val="auto"/>
        </w:rPr>
        <w:t>The company’s independent registered public accounting firm has audited the effectiveness of the company’s internal control over financial reporting as of March 31, 2020, as stated in their report which appears on page F-1.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5" w:lineRule="exact"/>
        <w:rPr>
          <w:sz w:val="20"/>
          <w:szCs w:val="20"/>
          <w:color w:val="auto"/>
        </w:rPr>
      </w:pPr>
    </w:p>
    <w:p>
      <w:pPr>
        <w:ind w:right="20" w:firstLine="510"/>
        <w:spacing w:after="0" w:line="234" w:lineRule="auto"/>
        <w:rPr>
          <w:sz w:val="20"/>
          <w:szCs w:val="20"/>
          <w:color w:val="auto"/>
        </w:rPr>
      </w:pPr>
      <w:r>
        <w:rPr>
          <w:rFonts w:ascii="Arial" w:cs="Arial" w:eastAsia="Arial" w:hAnsi="Arial"/>
          <w:sz w:val="18"/>
          <w:szCs w:val="18"/>
          <w:color w:val="auto"/>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During the quarter ended</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March 31, 2020, there were no changes in our internal control over financial reporting that have materially affected, or are reasonably likely to materially affect, our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8" w:name="page69"/>
    <w:bookmarkEnd w:id="68"/>
    <w:p>
      <w:pPr>
        <w:ind w:left="5280"/>
        <w:spacing w:after="0"/>
        <w:rPr>
          <w:sz w:val="20"/>
          <w:szCs w:val="20"/>
          <w:color w:val="auto"/>
        </w:rPr>
      </w:pPr>
      <w:r>
        <w:rPr>
          <w:rFonts w:ascii="Arial" w:cs="Arial" w:eastAsia="Arial" w:hAnsi="Arial"/>
          <w:sz w:val="18"/>
          <w:szCs w:val="18"/>
          <w:b w:val="1"/>
          <w:bCs w:val="1"/>
          <w:color w:val="auto"/>
        </w:rPr>
        <w:t>PART III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85" w:lineRule="exact"/>
        <w:rPr>
          <w:sz w:val="20"/>
          <w:szCs w:val="20"/>
          <w:color w:val="auto"/>
        </w:rPr>
      </w:pPr>
    </w:p>
    <w:p>
      <w:pPr>
        <w:jc w:val="both"/>
        <w:ind w:right="80" w:firstLine="510"/>
        <w:spacing w:after="0"/>
        <w:rPr>
          <w:sz w:val="20"/>
          <w:szCs w:val="20"/>
          <w:color w:val="auto"/>
        </w:rPr>
      </w:pPr>
      <w:r>
        <w:rPr>
          <w:rFonts w:ascii="Arial" w:cs="Arial" w:eastAsia="Arial" w:hAnsi="Arial"/>
          <w:sz w:val="18"/>
          <w:szCs w:val="18"/>
          <w:color w:val="auto"/>
        </w:rPr>
        <w:t>The information required by this item is included in our definitive Proxy Statement to be filed with the SEC in connection with our 2020 Annual Meeting of Stockholders (the Proxy Statement) under the headings “Corporate Governance Principles and Board Matters,” “Election of Directors” and “Ownership of Securities,” and is incorporated herein by reference.</w:t>
      </w:r>
    </w:p>
    <w:p>
      <w:pPr>
        <w:spacing w:after="0" w:line="149" w:lineRule="exact"/>
        <w:rPr>
          <w:sz w:val="20"/>
          <w:szCs w:val="20"/>
          <w:color w:val="auto"/>
        </w:rPr>
      </w:pPr>
    </w:p>
    <w:p>
      <w:pPr>
        <w:ind w:right="40" w:firstLine="510"/>
        <w:spacing w:after="0" w:line="246"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“Executive Officers” in Part I of this Form 10-K and is incorporated herein by reference into this section.</w:t>
      </w:r>
    </w:p>
    <w:p>
      <w:pPr>
        <w:spacing w:after="0" w:line="143"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We intend to disclose future amendments to certain provisions of our code of ethics, or waivers of such provisions granted to executive officers and directors, on our website within four business days following the date of such amendment or waiver.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85" w:lineRule="exact"/>
        <w:rPr>
          <w:sz w:val="20"/>
          <w:szCs w:val="20"/>
          <w:color w:val="auto"/>
        </w:rPr>
      </w:pPr>
    </w:p>
    <w:p>
      <w:pPr>
        <w:ind w:right="820" w:firstLine="510"/>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 “Executive Compensation” and is incorporated herein by reference.</w:t>
      </w:r>
    </w:p>
    <w:p>
      <w:pPr>
        <w:spacing w:after="0" w:line="188"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41" w:lineRule="exact"/>
        <w:rPr>
          <w:sz w:val="20"/>
          <w:szCs w:val="20"/>
          <w:color w:val="auto"/>
        </w:rPr>
      </w:pPr>
    </w:p>
    <w:p>
      <w:pPr>
        <w:ind w:right="120" w:firstLine="510"/>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headings “Ownership of Securities” and “Executive Compensation — Equity Compensation Plan Information,”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85" w:lineRule="exact"/>
        <w:rPr>
          <w:sz w:val="20"/>
          <w:szCs w:val="20"/>
          <w:color w:val="auto"/>
        </w:rPr>
      </w:pPr>
    </w:p>
    <w:p>
      <w:pPr>
        <w:ind w:right="300" w:firstLine="510"/>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headings “Corporate Governance Principles and Board Matters” and “Certain Relationships and Related Transactions,” and is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85"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 “Ratification of Appointment of Independent Registered Public Accounting Firm” and is incorporated herein by reference.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PART IV</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8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(a)</w:t>
        <w:tab/>
        <w:t>The following documents are filed as part of this report:</w:t>
      </w:r>
    </w:p>
    <w:p>
      <w:pPr>
        <w:spacing w:after="0" w:line="77"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color w:val="auto"/>
        </w:rPr>
        <w:t>(1)</w:t>
        <w:tab/>
        <w:t>Consolidated Financial Statements</w:t>
      </w:r>
    </w:p>
    <w:p>
      <w:pPr>
        <w:spacing w:after="0" w:line="186"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9700" w:type="dxa"/>
            <w:vAlign w:val="bottom"/>
            <w:gridSpan w:val="4"/>
            <w:vMerge w:val="restart"/>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Report of Independent Registered Public Accounting Firm</w:t>
              </w:r>
            </w:hyperlink>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95"/>
        </w:trPr>
        <w:tc>
          <w:tcPr>
            <w:tcW w:w="9700" w:type="dxa"/>
            <w:vAlign w:val="bottom"/>
            <w:gridSpan w:val="4"/>
            <w:vMerge w:val="continue"/>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700" w:type="dxa"/>
            <w:vAlign w:val="bottom"/>
            <w:gridSpan w:val="4"/>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Consolidated Balance Sheets as of March 31, 2020 and March 31, 2019</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76"/>
        </w:trPr>
        <w:tc>
          <w:tcPr>
            <w:tcW w:w="8900" w:type="dxa"/>
            <w:vAlign w:val="bottom"/>
            <w:tcBorders>
              <w:bottom w:val="single" w:sz="8" w:color="0000EE"/>
            </w:tcBorders>
            <w:gridSpan w:val="3"/>
          </w:tcPr>
          <w:p>
            <w:pPr>
              <w:spacing w:after="0" w:line="176" w:lineRule="exact"/>
              <w:rPr>
                <w:rFonts w:ascii="Arial" w:cs="Arial" w:eastAsia="Arial" w:hAnsi="Arial"/>
                <w:sz w:val="18"/>
                <w:szCs w:val="18"/>
                <w:color w:val="0000EE"/>
                <w:w w:val="99"/>
              </w:rPr>
            </w:pPr>
            <w:hyperlink w:anchor="page78">
              <w:r>
                <w:rPr>
                  <w:rFonts w:ascii="Arial" w:cs="Arial" w:eastAsia="Arial" w:hAnsi="Arial"/>
                  <w:sz w:val="18"/>
                  <w:szCs w:val="18"/>
                  <w:color w:val="0000EE"/>
                  <w:w w:val="99"/>
                </w:rPr>
                <w:t>Consolidated Statements of Operations and Comprehensive Income (Loss) for the fiscal years ended March 31,</w:t>
              </w:r>
            </w:hyperlink>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9500" w:type="dxa"/>
            <w:vAlign w:val="bottom"/>
            <w:gridSpan w:val="3"/>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2020, March 31, 2019 and March 31, 2018</w:t>
              </w:r>
            </w:hyperlink>
          </w:p>
        </w:tc>
        <w:tc>
          <w:tcPr>
            <w:tcW w:w="6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00" w:type="dxa"/>
            <w:vAlign w:val="bottom"/>
            <w:gridSpan w:val="4"/>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Consolidated Statements of Cash Flows for the fiscal years ended March 31, 2020, March 31, 2019 and March 31, 2018</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9700" w:type="dxa"/>
            <w:vAlign w:val="bottom"/>
            <w:gridSpan w:val="4"/>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Consolidated Statements of Equity for the fiscal years ended March 31, 2020, March 31, 2019 and March 31, 2018</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16"/>
        </w:trPr>
        <w:tc>
          <w:tcPr>
            <w:tcW w:w="9700" w:type="dxa"/>
            <w:vAlign w:val="bottom"/>
            <w:gridSpan w:val="4"/>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Notes to the Consolidated Financial Statements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30"/>
        </w:trPr>
        <w:tc>
          <w:tcPr>
            <w:tcW w:w="9700" w:type="dxa"/>
            <w:vAlign w:val="bottom"/>
            <w:gridSpan w:val="4"/>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(2)  Schedule II — Valuation and Qualifying Accounts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firstLine="510"/>
        <w:spacing w:after="0" w:line="246"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financial statements or notes thereto.</w:t>
      </w:r>
    </w:p>
    <w:p>
      <w:pPr>
        <w:spacing w:after="0" w:line="48"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120"/>
              <w:spacing w:after="0"/>
              <w:rPr>
                <w:sz w:val="20"/>
                <w:szCs w:val="20"/>
                <w:color w:val="auto"/>
              </w:rPr>
            </w:pPr>
            <w:r>
              <w:rPr>
                <w:rFonts w:ascii="Arial" w:cs="Arial" w:eastAsia="Arial" w:hAnsi="Arial"/>
                <w:sz w:val="12"/>
                <w:szCs w:val="12"/>
                <w:b w:val="1"/>
                <w:bCs w:val="1"/>
                <w:color w:val="auto"/>
                <w:w w:val="97"/>
              </w:rPr>
              <w:t>Incorporated by Reference</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Filed or</w:t>
            </w:r>
          </w:p>
        </w:tc>
        <w:tc>
          <w:tcPr>
            <w:tcW w:w="0" w:type="dxa"/>
            <w:vAlign w:val="bottom"/>
          </w:tcPr>
          <w:p>
            <w:pPr>
              <w:spacing w:after="0"/>
              <w:rPr>
                <w:sz w:val="1"/>
                <w:szCs w:val="1"/>
                <w:color w:val="auto"/>
              </w:rPr>
            </w:pPr>
          </w:p>
        </w:tc>
      </w:tr>
      <w:tr>
        <w:trPr>
          <w:trHeight w:val="39"/>
        </w:trPr>
        <w:tc>
          <w:tcPr>
            <w:tcW w:w="940" w:type="dxa"/>
            <w:vAlign w:val="bottom"/>
            <w:vMerge w:val="restart"/>
          </w:tcPr>
          <w:p>
            <w:pPr>
              <w:jc w:val="right"/>
              <w:ind w:right="202"/>
              <w:spacing w:after="0"/>
              <w:rPr>
                <w:sz w:val="20"/>
                <w:szCs w:val="20"/>
                <w:color w:val="auto"/>
              </w:rPr>
            </w:pPr>
            <w:r>
              <w:rPr>
                <w:rFonts w:ascii="Arial" w:cs="Arial" w:eastAsia="Arial" w:hAnsi="Arial"/>
                <w:sz w:val="12"/>
                <w:szCs w:val="12"/>
                <w:b w:val="1"/>
                <w:bCs w:val="1"/>
                <w:color w:val="auto"/>
              </w:rPr>
              <w:t>Exhibit</w:t>
            </w: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1"/>
        </w:trPr>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380" w:type="dxa"/>
            <w:vAlign w:val="bottom"/>
            <w:gridSpan w:val="15"/>
            <w:vMerge w:val="restart"/>
          </w:tcPr>
          <w:p>
            <w:pPr>
              <w:ind w:left="120"/>
              <w:spacing w:after="0"/>
              <w:rPr>
                <w:sz w:val="20"/>
                <w:szCs w:val="20"/>
                <w:color w:val="auto"/>
              </w:rPr>
            </w:pPr>
            <w:r>
              <w:rPr>
                <w:rFonts w:ascii="Arial" w:cs="Arial" w:eastAsia="Arial" w:hAnsi="Arial"/>
                <w:sz w:val="12"/>
                <w:szCs w:val="12"/>
                <w:b w:val="1"/>
                <w:bCs w:val="1"/>
                <w:color w:val="auto"/>
              </w:rPr>
              <w:t>Exhibit Description</w:t>
            </w:r>
          </w:p>
        </w:tc>
        <w:tc>
          <w:tcPr>
            <w:tcW w:w="120" w:type="dxa"/>
            <w:vAlign w:val="bottom"/>
            <w:vMerge w:val="restart"/>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Form</w:t>
            </w:r>
          </w:p>
        </w:tc>
        <w:tc>
          <w:tcPr>
            <w:tcW w:w="140" w:type="dxa"/>
            <w:vAlign w:val="bottom"/>
          </w:tcPr>
          <w:p>
            <w:pPr>
              <w:spacing w:after="0"/>
              <w:rPr>
                <w:sz w:val="9"/>
                <w:szCs w:val="9"/>
                <w:color w:val="auto"/>
              </w:rPr>
            </w:pPr>
          </w:p>
        </w:tc>
        <w:tc>
          <w:tcPr>
            <w:tcW w:w="10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File No.</w:t>
            </w:r>
          </w:p>
        </w:tc>
        <w:tc>
          <w:tcPr>
            <w:tcW w:w="140" w:type="dxa"/>
            <w:vAlign w:val="bottom"/>
            <w:vMerge w:val="restart"/>
          </w:tcPr>
          <w:p>
            <w:pPr>
              <w:spacing w:after="0"/>
              <w:rPr>
                <w:sz w:val="9"/>
                <w:szCs w:val="9"/>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w w:val="94"/>
              </w:rPr>
              <w:t>Exhibit</w:t>
            </w:r>
          </w:p>
        </w:tc>
        <w:tc>
          <w:tcPr>
            <w:tcW w:w="140" w:type="dxa"/>
            <w:vAlign w:val="bottom"/>
          </w:tcPr>
          <w:p>
            <w:pPr>
              <w:spacing w:after="0"/>
              <w:rPr>
                <w:sz w:val="9"/>
                <w:szCs w:val="9"/>
                <w:color w:val="auto"/>
              </w:rPr>
            </w:pPr>
          </w:p>
        </w:tc>
        <w:tc>
          <w:tcPr>
            <w:tcW w:w="9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Filing Date</w:t>
            </w:r>
          </w:p>
        </w:tc>
        <w:tc>
          <w:tcPr>
            <w:tcW w:w="140" w:type="dxa"/>
            <w:vAlign w:val="bottom"/>
          </w:tcPr>
          <w:p>
            <w:pPr>
              <w:spacing w:after="0"/>
              <w:rPr>
                <w:sz w:val="9"/>
                <w:szCs w:val="9"/>
                <w:color w:val="auto"/>
              </w:rPr>
            </w:pPr>
          </w:p>
        </w:tc>
        <w:tc>
          <w:tcPr>
            <w:tcW w:w="72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7"/>
              </w:rPr>
              <w:t>Furnished</w:t>
            </w:r>
          </w:p>
        </w:tc>
        <w:tc>
          <w:tcPr>
            <w:tcW w:w="0" w:type="dxa"/>
            <w:vAlign w:val="bottom"/>
          </w:tcPr>
          <w:p>
            <w:pPr>
              <w:spacing w:after="0"/>
              <w:rPr>
                <w:sz w:val="1"/>
                <w:szCs w:val="1"/>
                <w:color w:val="auto"/>
              </w:rPr>
            </w:pPr>
          </w:p>
        </w:tc>
      </w:tr>
      <w:tr>
        <w:trPr>
          <w:trHeight w:val="157"/>
        </w:trPr>
        <w:tc>
          <w:tcPr>
            <w:tcW w:w="94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gridSpan w:val="15"/>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Herewith</w:t>
            </w:r>
          </w:p>
        </w:tc>
        <w:tc>
          <w:tcPr>
            <w:tcW w:w="0" w:type="dxa"/>
            <w:vAlign w:val="bottom"/>
          </w:tcPr>
          <w:p>
            <w:pPr>
              <w:spacing w:after="0"/>
              <w:rPr>
                <w:sz w:val="1"/>
                <w:szCs w:val="1"/>
                <w:color w:val="auto"/>
              </w:rPr>
            </w:pPr>
          </w:p>
        </w:tc>
      </w:tr>
      <w:tr>
        <w:trPr>
          <w:trHeight w:val="369"/>
        </w:trPr>
        <w:tc>
          <w:tcPr>
            <w:tcW w:w="940" w:type="dxa"/>
            <w:vAlign w:val="bottom"/>
          </w:tcPr>
          <w:p>
            <w:pPr>
              <w:jc w:val="right"/>
              <w:ind w:right="322"/>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5600" w:type="dxa"/>
            <w:vAlign w:val="bottom"/>
            <w:gridSpan w:val="20"/>
          </w:tcPr>
          <w:p>
            <w:pPr>
              <w:spacing w:after="0"/>
              <w:rPr>
                <w:rFonts w:ascii="Arial" w:cs="Arial" w:eastAsia="Arial" w:hAnsi="Arial"/>
                <w:sz w:val="16"/>
                <w:szCs w:val="16"/>
                <w:u w:val="single" w:color="auto"/>
                <w:color w:val="0000EE"/>
              </w:rPr>
            </w:pPr>
            <w:hyperlink r:id="rId90">
              <w:r>
                <w:rPr>
                  <w:rFonts w:ascii="Arial" w:cs="Arial" w:eastAsia="Arial" w:hAnsi="Arial"/>
                  <w:sz w:val="16"/>
                  <w:szCs w:val="16"/>
                  <w:u w:val="single" w:color="auto"/>
                  <w:color w:val="0000EE"/>
                </w:rPr>
                <w:t>Second Amended and Restated Certificate of Incorporation of ViaSat, Inc.</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10-Q</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5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11/14/2000</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40" w:type="dxa"/>
            <w:vAlign w:val="bottom"/>
          </w:tcPr>
          <w:p>
            <w:pPr>
              <w:jc w:val="right"/>
              <w:ind w:right="322"/>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5600" w:type="dxa"/>
            <w:vAlign w:val="bottom"/>
            <w:gridSpan w:val="20"/>
          </w:tcPr>
          <w:p>
            <w:pPr>
              <w:spacing w:after="0"/>
              <w:rPr>
                <w:rFonts w:ascii="Arial" w:cs="Arial" w:eastAsia="Arial" w:hAnsi="Arial"/>
                <w:sz w:val="16"/>
                <w:szCs w:val="16"/>
                <w:u w:val="single" w:color="auto"/>
                <w:color w:val="0000EE"/>
              </w:rPr>
            </w:pPr>
            <w:hyperlink r:id="rId91">
              <w:r>
                <w:rPr>
                  <w:rFonts w:ascii="Arial" w:cs="Arial" w:eastAsia="Arial" w:hAnsi="Arial"/>
                  <w:sz w:val="16"/>
                  <w:szCs w:val="16"/>
                  <w:u w:val="single" w:color="auto"/>
                  <w:color w:val="0000EE"/>
                </w:rPr>
                <w:t>Second Amended and Restated Bylaws of ViaSat, Inc.</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5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12/04/2012</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40" w:type="dxa"/>
            <w:vAlign w:val="bottom"/>
          </w:tcPr>
          <w:p>
            <w:pPr>
              <w:jc w:val="right"/>
              <w:ind w:right="322"/>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5600" w:type="dxa"/>
            <w:vAlign w:val="bottom"/>
            <w:gridSpan w:val="20"/>
          </w:tcPr>
          <w:p>
            <w:pPr>
              <w:spacing w:after="0"/>
              <w:rPr>
                <w:sz w:val="20"/>
                <w:szCs w:val="20"/>
                <w:color w:val="auto"/>
              </w:rPr>
            </w:pPr>
            <w:r>
              <w:rPr>
                <w:rFonts w:ascii="Arial" w:cs="Arial" w:eastAsia="Arial" w:hAnsi="Arial"/>
                <w:sz w:val="16"/>
                <w:szCs w:val="16"/>
                <w:color w:val="auto"/>
              </w:rPr>
              <w:t>Form of Common Stock Certificate (p)</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333-13183</w:t>
            </w:r>
          </w:p>
        </w:tc>
        <w:tc>
          <w:tcPr>
            <w:tcW w:w="5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11/05/1996</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40" w:type="dxa"/>
            <w:vAlign w:val="bottom"/>
          </w:tcPr>
          <w:p>
            <w:pPr>
              <w:jc w:val="right"/>
              <w:ind w:right="322"/>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4"/>
                <w:szCs w:val="24"/>
                <w:color w:val="auto"/>
              </w:rPr>
            </w:pPr>
          </w:p>
        </w:tc>
        <w:tc>
          <w:tcPr>
            <w:tcW w:w="4940" w:type="dxa"/>
            <w:vAlign w:val="bottom"/>
            <w:tcBorders>
              <w:bottom w:val="single" w:sz="8" w:color="0000EE"/>
            </w:tcBorders>
            <w:gridSpan w:val="12"/>
          </w:tcPr>
          <w:p>
            <w:pPr>
              <w:spacing w:after="0"/>
              <w:rPr>
                <w:rFonts w:ascii="Arial" w:cs="Arial" w:eastAsia="Arial" w:hAnsi="Arial"/>
                <w:sz w:val="16"/>
                <w:szCs w:val="16"/>
                <w:color w:val="0000EE"/>
              </w:rPr>
            </w:pPr>
            <w:hyperlink r:id="rId92">
              <w:r>
                <w:rPr>
                  <w:rFonts w:ascii="Arial" w:cs="Arial" w:eastAsia="Arial" w:hAnsi="Arial"/>
                  <w:sz w:val="16"/>
                  <w:szCs w:val="16"/>
                  <w:color w:val="0000EE"/>
                </w:rPr>
                <w:t>Indenture dated as of September 21, 2017, between ViaSat, Inc. and</w:t>
              </w:r>
            </w:hyperlink>
          </w:p>
        </w:tc>
        <w:tc>
          <w:tcPr>
            <w:tcW w:w="660" w:type="dxa"/>
            <w:vAlign w:val="bottom"/>
            <w:gridSpan w:val="8"/>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5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09/21/2017</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0" w:type="dxa"/>
            <w:vAlign w:val="bottom"/>
            <w:gridSpan w:val="20"/>
          </w:tcPr>
          <w:p>
            <w:pPr>
              <w:spacing w:after="0" w:line="169" w:lineRule="exact"/>
              <w:rPr>
                <w:rFonts w:ascii="Arial" w:cs="Arial" w:eastAsia="Arial" w:hAnsi="Arial"/>
                <w:sz w:val="16"/>
                <w:szCs w:val="16"/>
                <w:color w:val="0000EE"/>
              </w:rPr>
            </w:pPr>
            <w:hyperlink r:id="rId92">
              <w:r>
                <w:rPr>
                  <w:rFonts w:ascii="Arial" w:cs="Arial" w:eastAsia="Arial" w:hAnsi="Arial"/>
                  <w:sz w:val="16"/>
                  <w:szCs w:val="16"/>
                  <w:color w:val="0000EE"/>
                </w:rPr>
                <w:t>Wilmington Trust, National Association, as trustee</w:t>
              </w:r>
            </w:hyperlink>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jc w:val="right"/>
              <w:ind w:right="322"/>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4"/>
                <w:szCs w:val="24"/>
                <w:color w:val="auto"/>
              </w:rPr>
            </w:pPr>
          </w:p>
        </w:tc>
        <w:tc>
          <w:tcPr>
            <w:tcW w:w="5440" w:type="dxa"/>
            <w:vAlign w:val="bottom"/>
            <w:tcBorders>
              <w:bottom w:val="single" w:sz="8" w:color="0000EE"/>
            </w:tcBorders>
            <w:gridSpan w:val="17"/>
          </w:tcPr>
          <w:p>
            <w:pPr>
              <w:spacing w:after="0"/>
              <w:rPr>
                <w:rFonts w:ascii="Arial" w:cs="Arial" w:eastAsia="Arial" w:hAnsi="Arial"/>
                <w:sz w:val="16"/>
                <w:szCs w:val="16"/>
                <w:color w:val="0000EE"/>
              </w:rPr>
            </w:pPr>
            <w:hyperlink r:id="rId92">
              <w:r>
                <w:rPr>
                  <w:rFonts w:ascii="Arial" w:cs="Arial" w:eastAsia="Arial" w:hAnsi="Arial"/>
                  <w:sz w:val="16"/>
                  <w:szCs w:val="16"/>
                  <w:color w:val="0000EE"/>
                </w:rPr>
                <w:t>Form of 5.625% Senior Note due 2025 of ViaSat, Inc. (attached as Exhibit A</w:t>
              </w:r>
            </w:hyperlink>
          </w:p>
        </w:tc>
        <w:tc>
          <w:tcPr>
            <w:tcW w:w="160" w:type="dxa"/>
            <w:vAlign w:val="bottom"/>
            <w:gridSpan w:val="3"/>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5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09/21/2017</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r:id="rId92">
              <w:r>
                <w:rPr>
                  <w:rFonts w:ascii="Arial" w:cs="Arial" w:eastAsia="Arial" w:hAnsi="Arial"/>
                  <w:sz w:val="16"/>
                  <w:szCs w:val="16"/>
                  <w:color w:val="0000EE"/>
                </w:rPr>
                <w:t>to the Indenture filed as Exhibit 4.2 hereto)</w:t>
              </w:r>
            </w:hyperlink>
          </w:p>
        </w:tc>
        <w:tc>
          <w:tcPr>
            <w:tcW w:w="2540" w:type="dxa"/>
            <w:vAlign w:val="bottom"/>
            <w:gridSpan w:val="13"/>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40" w:type="dxa"/>
            <w:vAlign w:val="bottom"/>
          </w:tcPr>
          <w:p>
            <w:pPr>
              <w:jc w:val="right"/>
              <w:ind w:right="322"/>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4"/>
                <w:szCs w:val="24"/>
                <w:color w:val="auto"/>
              </w:rPr>
            </w:pPr>
          </w:p>
        </w:tc>
        <w:tc>
          <w:tcPr>
            <w:tcW w:w="5460" w:type="dxa"/>
            <w:vAlign w:val="bottom"/>
            <w:tcBorders>
              <w:bottom w:val="single" w:sz="8" w:color="0000EE"/>
            </w:tcBorders>
            <w:gridSpan w:val="18"/>
          </w:tcPr>
          <w:p>
            <w:pPr>
              <w:spacing w:after="0"/>
              <w:rPr>
                <w:rFonts w:ascii="Arial" w:cs="Arial" w:eastAsia="Arial" w:hAnsi="Arial"/>
                <w:sz w:val="16"/>
                <w:szCs w:val="16"/>
                <w:color w:val="0000EE"/>
              </w:rPr>
            </w:pPr>
            <w:hyperlink r:id="rId93">
              <w:r>
                <w:rPr>
                  <w:rFonts w:ascii="Arial" w:cs="Arial" w:eastAsia="Arial" w:hAnsi="Arial"/>
                  <w:sz w:val="16"/>
                  <w:szCs w:val="16"/>
                  <w:color w:val="0000EE"/>
                </w:rPr>
                <w:t>Indenture, dated as of March 27, 2019, between Viasat, Inc. and Wilmington</w:t>
              </w:r>
            </w:hyperlink>
          </w:p>
        </w:tc>
        <w:tc>
          <w:tcPr>
            <w:tcW w:w="140" w:type="dxa"/>
            <w:vAlign w:val="bottom"/>
            <w:gridSpan w:val="2"/>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5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03/27/2019</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0" w:type="dxa"/>
            <w:vAlign w:val="bottom"/>
            <w:gridSpan w:val="20"/>
          </w:tcPr>
          <w:p>
            <w:pPr>
              <w:spacing w:after="0"/>
              <w:rPr>
                <w:rFonts w:ascii="Arial" w:cs="Arial" w:eastAsia="Arial" w:hAnsi="Arial"/>
                <w:sz w:val="16"/>
                <w:szCs w:val="16"/>
                <w:u w:val="single" w:color="auto"/>
                <w:color w:val="0000EE"/>
              </w:rPr>
            </w:pPr>
            <w:hyperlink r:id="rId93">
              <w:r>
                <w:rPr>
                  <w:rFonts w:ascii="Arial" w:cs="Arial" w:eastAsia="Arial" w:hAnsi="Arial"/>
                  <w:sz w:val="16"/>
                  <w:szCs w:val="16"/>
                  <w:u w:val="single" w:color="auto"/>
                  <w:color w:val="0000EE"/>
                </w:rPr>
                <w:t>Trust, National Association, as trustee and as collateral trustee</w:t>
              </w:r>
            </w:hyperlink>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940" w:type="dxa"/>
            <w:vAlign w:val="bottom"/>
          </w:tcPr>
          <w:p>
            <w:pPr>
              <w:jc w:val="right"/>
              <w:ind w:right="322"/>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4"/>
                <w:szCs w:val="24"/>
                <w:color w:val="auto"/>
              </w:rPr>
            </w:pPr>
          </w:p>
        </w:tc>
        <w:tc>
          <w:tcPr>
            <w:tcW w:w="5600" w:type="dxa"/>
            <w:vAlign w:val="bottom"/>
            <w:gridSpan w:val="20"/>
          </w:tcPr>
          <w:p>
            <w:pPr>
              <w:spacing w:after="0"/>
              <w:rPr>
                <w:rFonts w:ascii="Arial" w:cs="Arial" w:eastAsia="Arial" w:hAnsi="Arial"/>
                <w:sz w:val="16"/>
                <w:szCs w:val="16"/>
                <w:color w:val="0000EE"/>
              </w:rPr>
            </w:pPr>
            <w:hyperlink r:id="rId93">
              <w:r>
                <w:rPr>
                  <w:rFonts w:ascii="Arial" w:cs="Arial" w:eastAsia="Arial" w:hAnsi="Arial"/>
                  <w:sz w:val="16"/>
                  <w:szCs w:val="16"/>
                  <w:color w:val="0000EE"/>
                </w:rPr>
                <w:t>Form of 5.625% Senior Secured Note due 2027 of Viasat, Inc. (attached as</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5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03/27/2019</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80" w:type="dxa"/>
            <w:vAlign w:val="bottom"/>
            <w:tcBorders>
              <w:top w:val="single" w:sz="8" w:color="0000EE"/>
            </w:tcBorders>
            <w:gridSpan w:val="16"/>
          </w:tcPr>
          <w:p>
            <w:pPr>
              <w:spacing w:after="0" w:line="169" w:lineRule="exact"/>
              <w:rPr>
                <w:rFonts w:ascii="Arial" w:cs="Arial" w:eastAsia="Arial" w:hAnsi="Arial"/>
                <w:sz w:val="16"/>
                <w:szCs w:val="16"/>
                <w:color w:val="0000EE"/>
              </w:rPr>
            </w:pPr>
            <w:hyperlink r:id="rId93">
              <w:r>
                <w:rPr>
                  <w:rFonts w:ascii="Arial" w:cs="Arial" w:eastAsia="Arial" w:hAnsi="Arial"/>
                  <w:sz w:val="16"/>
                  <w:szCs w:val="16"/>
                  <w:color w:val="0000EE"/>
                </w:rPr>
                <w:t>Exhibit A to the Indenture filed as Exhibit 4.4 hereto)</w:t>
              </w:r>
            </w:hyperlink>
          </w:p>
        </w:tc>
        <w:tc>
          <w:tcPr>
            <w:tcW w:w="220" w:type="dxa"/>
            <w:vAlign w:val="bottom"/>
            <w:gridSpan w:val="4"/>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940" w:type="dxa"/>
            <w:vAlign w:val="bottom"/>
          </w:tcPr>
          <w:p>
            <w:pPr>
              <w:jc w:val="right"/>
              <w:ind w:right="322"/>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4"/>
                <w:szCs w:val="24"/>
                <w:color w:val="auto"/>
              </w:rPr>
            </w:pPr>
          </w:p>
        </w:tc>
        <w:tc>
          <w:tcPr>
            <w:tcW w:w="3720" w:type="dxa"/>
            <w:vAlign w:val="bottom"/>
            <w:tcBorders>
              <w:top w:val="single" w:sz="8" w:color="0000EE"/>
            </w:tcBorders>
            <w:gridSpan w:val="9"/>
          </w:tcPr>
          <w:p>
            <w:pPr>
              <w:spacing w:after="0"/>
              <w:rPr>
                <w:rFonts w:ascii="Arial" w:cs="Arial" w:eastAsia="Arial" w:hAnsi="Arial"/>
                <w:sz w:val="16"/>
                <w:szCs w:val="16"/>
                <w:u w:val="single" w:color="auto"/>
                <w:color w:val="0000EE"/>
              </w:rPr>
            </w:pPr>
            <w:hyperlink w:anchor="page118">
              <w:r>
                <w:rPr>
                  <w:rFonts w:ascii="Arial" w:cs="Arial" w:eastAsia="Arial" w:hAnsi="Arial"/>
                  <w:sz w:val="16"/>
                  <w:szCs w:val="16"/>
                  <w:u w:val="single" w:color="auto"/>
                  <w:color w:val="0000EE"/>
                </w:rPr>
                <w:t>Description of Registered Securities</w:t>
              </w:r>
            </w:hyperlink>
          </w:p>
        </w:tc>
        <w:tc>
          <w:tcPr>
            <w:tcW w:w="1880" w:type="dxa"/>
            <w:vAlign w:val="bottom"/>
            <w:gridSpan w:val="11"/>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89"/>
        </w:trPr>
        <w:tc>
          <w:tcPr>
            <w:tcW w:w="940" w:type="dxa"/>
            <w:vAlign w:val="bottom"/>
          </w:tcPr>
          <w:p>
            <w:pPr>
              <w:jc w:val="right"/>
              <w:ind w:right="322"/>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5160" w:type="dxa"/>
            <w:vAlign w:val="bottom"/>
            <w:tcBorders>
              <w:bottom w:val="single" w:sz="8" w:color="0000EE"/>
            </w:tcBorders>
            <w:gridSpan w:val="13"/>
          </w:tcPr>
          <w:p>
            <w:pPr>
              <w:spacing w:after="0"/>
              <w:rPr>
                <w:rFonts w:ascii="Arial" w:cs="Arial" w:eastAsia="Arial" w:hAnsi="Arial"/>
                <w:sz w:val="16"/>
                <w:szCs w:val="16"/>
                <w:color w:val="0000EE"/>
              </w:rPr>
            </w:pPr>
            <w:hyperlink r:id="rId94">
              <w:r>
                <w:rPr>
                  <w:rFonts w:ascii="Arial" w:cs="Arial" w:eastAsia="Arial" w:hAnsi="Arial"/>
                  <w:sz w:val="16"/>
                  <w:szCs w:val="16"/>
                  <w:color w:val="0000EE"/>
                </w:rPr>
                <w:t>Form of Indemnification Agreement between ViaSat, Inc. and each of its</w:t>
              </w:r>
            </w:hyperlink>
          </w:p>
        </w:tc>
        <w:tc>
          <w:tcPr>
            <w:tcW w:w="440" w:type="dxa"/>
            <w:vAlign w:val="bottom"/>
            <w:gridSpan w:val="7"/>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540" w:type="dxa"/>
            <w:vAlign w:val="bottom"/>
            <w:gridSpan w:val="2"/>
          </w:tcPr>
          <w:p>
            <w:pPr>
              <w:jc w:val="center"/>
              <w:ind w:left="59"/>
              <w:spacing w:after="0"/>
              <w:rPr>
                <w:sz w:val="20"/>
                <w:szCs w:val="20"/>
                <w:color w:val="auto"/>
              </w:rPr>
            </w:pPr>
            <w:r>
              <w:rPr>
                <w:rFonts w:ascii="Arial" w:cs="Arial" w:eastAsia="Arial" w:hAnsi="Arial"/>
                <w:sz w:val="16"/>
                <w:szCs w:val="16"/>
                <w:color w:val="auto"/>
              </w:rPr>
              <w:t>99.1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03/07/2008</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0" w:type="dxa"/>
            <w:vAlign w:val="bottom"/>
            <w:gridSpan w:val="20"/>
          </w:tcPr>
          <w:p>
            <w:pPr>
              <w:spacing w:after="0" w:line="169" w:lineRule="exact"/>
              <w:rPr>
                <w:rFonts w:ascii="Arial" w:cs="Arial" w:eastAsia="Arial" w:hAnsi="Arial"/>
                <w:sz w:val="16"/>
                <w:szCs w:val="16"/>
                <w:color w:val="0000EE"/>
              </w:rPr>
            </w:pPr>
            <w:hyperlink r:id="rId94">
              <w:r>
                <w:rPr>
                  <w:rFonts w:ascii="Arial" w:cs="Arial" w:eastAsia="Arial" w:hAnsi="Arial"/>
                  <w:sz w:val="16"/>
                  <w:szCs w:val="16"/>
                  <w:color w:val="0000EE"/>
                </w:rPr>
                <w:t>directors and officers</w:t>
              </w:r>
            </w:hyperlink>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jc w:val="right"/>
              <w:ind w:right="262"/>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5160" w:type="dxa"/>
            <w:vAlign w:val="bottom"/>
            <w:tcBorders>
              <w:bottom w:val="single" w:sz="8" w:color="0000EE"/>
            </w:tcBorders>
            <w:gridSpan w:val="13"/>
          </w:tcPr>
          <w:p>
            <w:pPr>
              <w:spacing w:after="0"/>
              <w:rPr>
                <w:rFonts w:ascii="Arial" w:cs="Arial" w:eastAsia="Arial" w:hAnsi="Arial"/>
                <w:sz w:val="16"/>
                <w:szCs w:val="16"/>
                <w:color w:val="0000EE"/>
              </w:rPr>
            </w:pPr>
            <w:hyperlink r:id="rId95">
              <w:r>
                <w:rPr>
                  <w:rFonts w:ascii="Arial" w:cs="Arial" w:eastAsia="Arial" w:hAnsi="Arial"/>
                  <w:sz w:val="16"/>
                  <w:szCs w:val="16"/>
                  <w:color w:val="0000EE"/>
                </w:rPr>
                <w:t>ViaSat, Inc. Employee Stock Purchase Plan (as Amended and Restated</w:t>
              </w:r>
            </w:hyperlink>
          </w:p>
        </w:tc>
        <w:tc>
          <w:tcPr>
            <w:tcW w:w="440" w:type="dxa"/>
            <w:vAlign w:val="bottom"/>
            <w:gridSpan w:val="7"/>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S-8</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rPr>
              <w:t>333-234634</w:t>
            </w:r>
          </w:p>
        </w:tc>
        <w:tc>
          <w:tcPr>
            <w:tcW w:w="540" w:type="dxa"/>
            <w:vAlign w:val="bottom"/>
            <w:gridSpan w:val="2"/>
          </w:tcPr>
          <w:p>
            <w:pPr>
              <w:jc w:val="center"/>
              <w:ind w:left="59"/>
              <w:spacing w:after="0"/>
              <w:rPr>
                <w:sz w:val="20"/>
                <w:szCs w:val="20"/>
                <w:color w:val="auto"/>
              </w:rPr>
            </w:pPr>
            <w:r>
              <w:rPr>
                <w:rFonts w:ascii="Arial" w:cs="Arial" w:eastAsia="Arial" w:hAnsi="Arial"/>
                <w:sz w:val="16"/>
                <w:szCs w:val="16"/>
                <w:color w:val="auto"/>
              </w:rPr>
              <w:t>10.7</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11/12/2019</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r:id="rId95">
              <w:r>
                <w:rPr>
                  <w:rFonts w:ascii="Arial" w:cs="Arial" w:eastAsia="Arial" w:hAnsi="Arial"/>
                  <w:sz w:val="16"/>
                  <w:szCs w:val="16"/>
                  <w:color w:val="0000EE"/>
                </w:rPr>
                <w:t>Effective September 4, 2019)</w:t>
              </w:r>
            </w:hyperlink>
          </w:p>
        </w:tc>
        <w:tc>
          <w:tcPr>
            <w:tcW w:w="3500" w:type="dxa"/>
            <w:vAlign w:val="bottom"/>
            <w:gridSpan w:val="16"/>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40" w:type="dxa"/>
            <w:vAlign w:val="bottom"/>
          </w:tcPr>
          <w:p>
            <w:pPr>
              <w:jc w:val="right"/>
              <w:ind w:right="262"/>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4"/>
                <w:szCs w:val="24"/>
                <w:color w:val="auto"/>
              </w:rPr>
            </w:pPr>
          </w:p>
        </w:tc>
        <w:tc>
          <w:tcPr>
            <w:tcW w:w="5600" w:type="dxa"/>
            <w:vAlign w:val="bottom"/>
            <w:gridSpan w:val="20"/>
          </w:tcPr>
          <w:p>
            <w:pPr>
              <w:spacing w:after="0"/>
              <w:rPr>
                <w:rFonts w:ascii="Arial" w:cs="Arial" w:eastAsia="Arial" w:hAnsi="Arial"/>
                <w:sz w:val="16"/>
                <w:szCs w:val="16"/>
                <w:color w:val="0000EE"/>
              </w:rPr>
            </w:pPr>
            <w:hyperlink r:id="rId96">
              <w:r>
                <w:rPr>
                  <w:rFonts w:ascii="Arial" w:cs="Arial" w:eastAsia="Arial" w:hAnsi="Arial"/>
                  <w:sz w:val="16"/>
                  <w:szCs w:val="16"/>
                  <w:color w:val="0000EE"/>
                </w:rPr>
                <w:t>1996 Equity Participation Plan of ViaSat, Inc. (As Amended and Restated</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S-8</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rPr>
              <w:t>333-234634</w:t>
            </w:r>
          </w:p>
        </w:tc>
        <w:tc>
          <w:tcPr>
            <w:tcW w:w="540" w:type="dxa"/>
            <w:vAlign w:val="bottom"/>
            <w:gridSpan w:val="2"/>
          </w:tcPr>
          <w:p>
            <w:pPr>
              <w:jc w:val="center"/>
              <w:ind w:left="59"/>
              <w:spacing w:after="0"/>
              <w:rPr>
                <w:sz w:val="20"/>
                <w:szCs w:val="20"/>
                <w:color w:val="auto"/>
              </w:rPr>
            </w:pPr>
            <w:r>
              <w:rPr>
                <w:rFonts w:ascii="Arial" w:cs="Arial" w:eastAsia="Arial" w:hAnsi="Arial"/>
                <w:sz w:val="16"/>
                <w:szCs w:val="16"/>
                <w:color w:val="auto"/>
              </w:rPr>
              <w:t>10.1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11/12/2019</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96">
              <w:r>
                <w:rPr>
                  <w:rFonts w:ascii="Arial" w:cs="Arial" w:eastAsia="Arial" w:hAnsi="Arial"/>
                  <w:sz w:val="16"/>
                  <w:szCs w:val="16"/>
                  <w:color w:val="0000EE"/>
                </w:rPr>
                <w:t>Effective September 4, 2019)</w:t>
              </w:r>
            </w:hyperlink>
          </w:p>
        </w:tc>
        <w:tc>
          <w:tcPr>
            <w:tcW w:w="3140" w:type="dxa"/>
            <w:vAlign w:val="bottom"/>
            <w:tcBorders>
              <w:top w:val="single" w:sz="8" w:color="0000EE"/>
            </w:tcBorders>
            <w:gridSpan w:val="10"/>
          </w:tcPr>
          <w:p>
            <w:pPr>
              <w:spacing w:after="0"/>
              <w:rPr>
                <w:sz w:val="14"/>
                <w:szCs w:val="14"/>
                <w:color w:val="auto"/>
              </w:rPr>
            </w:pPr>
          </w:p>
        </w:tc>
        <w:tc>
          <w:tcPr>
            <w:tcW w:w="360" w:type="dxa"/>
            <w:vAlign w:val="bottom"/>
            <w:gridSpan w:val="6"/>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40" w:type="dxa"/>
            <w:vAlign w:val="bottom"/>
          </w:tcPr>
          <w:p>
            <w:pPr>
              <w:jc w:val="right"/>
              <w:ind w:right="262"/>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5260" w:type="dxa"/>
            <w:vAlign w:val="bottom"/>
            <w:tcBorders>
              <w:bottom w:val="single" w:sz="8" w:color="0000EE"/>
            </w:tcBorders>
            <w:gridSpan w:val="15"/>
          </w:tcPr>
          <w:p>
            <w:pPr>
              <w:spacing w:after="0"/>
              <w:rPr>
                <w:rFonts w:ascii="Arial" w:cs="Arial" w:eastAsia="Arial" w:hAnsi="Arial"/>
                <w:sz w:val="16"/>
                <w:szCs w:val="16"/>
                <w:color w:val="0000EE"/>
              </w:rPr>
            </w:pPr>
            <w:hyperlink r:id="rId97">
              <w:r>
                <w:rPr>
                  <w:rFonts w:ascii="Arial" w:cs="Arial" w:eastAsia="Arial" w:hAnsi="Arial"/>
                  <w:sz w:val="16"/>
                  <w:szCs w:val="16"/>
                  <w:color w:val="0000EE"/>
                </w:rPr>
                <w:t>Form of Stock Option Agreement for the 1996 Equity Participation Plan of</w:t>
              </w:r>
            </w:hyperlink>
          </w:p>
        </w:tc>
        <w:tc>
          <w:tcPr>
            <w:tcW w:w="340" w:type="dxa"/>
            <w:vAlign w:val="bottom"/>
            <w:gridSpan w:val="5"/>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10-K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540" w:type="dxa"/>
            <w:vAlign w:val="bottom"/>
            <w:gridSpan w:val="2"/>
          </w:tcPr>
          <w:p>
            <w:pPr>
              <w:jc w:val="center"/>
              <w:ind w:left="59"/>
              <w:spacing w:after="0"/>
              <w:rPr>
                <w:sz w:val="20"/>
                <w:szCs w:val="20"/>
                <w:color w:val="auto"/>
              </w:rPr>
            </w:pPr>
            <w:r>
              <w:rPr>
                <w:rFonts w:ascii="Arial" w:cs="Arial" w:eastAsia="Arial" w:hAnsi="Arial"/>
                <w:sz w:val="16"/>
                <w:szCs w:val="16"/>
                <w:color w:val="auto"/>
              </w:rPr>
              <w:t>10.4</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05/26/2015</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0" w:type="dxa"/>
            <w:vAlign w:val="bottom"/>
            <w:gridSpan w:val="20"/>
          </w:tcPr>
          <w:p>
            <w:pPr>
              <w:spacing w:after="0" w:line="169" w:lineRule="exact"/>
              <w:rPr>
                <w:rFonts w:ascii="Arial" w:cs="Arial" w:eastAsia="Arial" w:hAnsi="Arial"/>
                <w:sz w:val="16"/>
                <w:szCs w:val="16"/>
                <w:color w:val="0000EE"/>
              </w:rPr>
            </w:pPr>
            <w:hyperlink r:id="rId97">
              <w:r>
                <w:rPr>
                  <w:rFonts w:ascii="Arial" w:cs="Arial" w:eastAsia="Arial" w:hAnsi="Arial"/>
                  <w:sz w:val="16"/>
                  <w:szCs w:val="16"/>
                  <w:color w:val="0000EE"/>
                </w:rPr>
                <w:t>ViaSat, Inc.</w:t>
              </w:r>
            </w:hyperlink>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jc w:val="right"/>
              <w:ind w:right="262"/>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4"/>
                <w:szCs w:val="24"/>
                <w:color w:val="auto"/>
              </w:rPr>
            </w:pPr>
          </w:p>
        </w:tc>
        <w:tc>
          <w:tcPr>
            <w:tcW w:w="5600" w:type="dxa"/>
            <w:vAlign w:val="bottom"/>
            <w:gridSpan w:val="20"/>
          </w:tcPr>
          <w:p>
            <w:pPr>
              <w:spacing w:after="0"/>
              <w:rPr>
                <w:rFonts w:ascii="Arial" w:cs="Arial" w:eastAsia="Arial" w:hAnsi="Arial"/>
                <w:sz w:val="16"/>
                <w:szCs w:val="16"/>
                <w:color w:val="0000EE"/>
              </w:rPr>
            </w:pPr>
            <w:hyperlink r:id="rId98">
              <w:r>
                <w:rPr>
                  <w:rFonts w:ascii="Arial" w:cs="Arial" w:eastAsia="Arial" w:hAnsi="Arial"/>
                  <w:sz w:val="16"/>
                  <w:szCs w:val="16"/>
                  <w:color w:val="0000EE"/>
                </w:rPr>
                <w:t>Form of Performance Stock Option Agreement for the 1996 Equity</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10-Q</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540" w:type="dxa"/>
            <w:vAlign w:val="bottom"/>
            <w:gridSpan w:val="2"/>
          </w:tcPr>
          <w:p>
            <w:pPr>
              <w:jc w:val="center"/>
              <w:ind w:left="59"/>
              <w:spacing w:after="0"/>
              <w:rPr>
                <w:sz w:val="20"/>
                <w:szCs w:val="20"/>
                <w:color w:val="auto"/>
              </w:rPr>
            </w:pPr>
            <w:r>
              <w:rPr>
                <w:rFonts w:ascii="Arial" w:cs="Arial" w:eastAsia="Arial" w:hAnsi="Arial"/>
                <w:sz w:val="16"/>
                <w:szCs w:val="16"/>
                <w:color w:val="auto"/>
              </w:rPr>
              <w:t>10.1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rPr>
              <w:t>02/9/2018</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98">
              <w:r>
                <w:rPr>
                  <w:rFonts w:ascii="Arial" w:cs="Arial" w:eastAsia="Arial" w:hAnsi="Arial"/>
                  <w:sz w:val="16"/>
                  <w:szCs w:val="16"/>
                  <w:color w:val="0000EE"/>
                </w:rPr>
                <w:t>Participation Plan of ViaSat, Inc.</w:t>
              </w:r>
            </w:hyperlink>
          </w:p>
        </w:tc>
        <w:tc>
          <w:tcPr>
            <w:tcW w:w="2420" w:type="dxa"/>
            <w:vAlign w:val="bottom"/>
            <w:tcBorders>
              <w:top w:val="single" w:sz="8" w:color="0000EE"/>
            </w:tcBorders>
            <w:gridSpan w:val="5"/>
          </w:tcPr>
          <w:p>
            <w:pPr>
              <w:spacing w:after="0"/>
              <w:rPr>
                <w:sz w:val="14"/>
                <w:szCs w:val="14"/>
                <w:color w:val="auto"/>
              </w:rPr>
            </w:pPr>
          </w:p>
        </w:tc>
        <w:tc>
          <w:tcPr>
            <w:tcW w:w="860" w:type="dxa"/>
            <w:vAlign w:val="bottom"/>
            <w:gridSpan w:val="10"/>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40" w:type="dxa"/>
            <w:vAlign w:val="bottom"/>
          </w:tcPr>
          <w:p>
            <w:pPr>
              <w:jc w:val="right"/>
              <w:ind w:right="262"/>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4"/>
                <w:szCs w:val="24"/>
                <w:color w:val="auto"/>
              </w:rPr>
            </w:pPr>
          </w:p>
        </w:tc>
        <w:tc>
          <w:tcPr>
            <w:tcW w:w="5600" w:type="dxa"/>
            <w:vAlign w:val="bottom"/>
            <w:gridSpan w:val="20"/>
          </w:tcPr>
          <w:p>
            <w:pPr>
              <w:spacing w:after="0"/>
              <w:rPr>
                <w:rFonts w:ascii="Arial" w:cs="Arial" w:eastAsia="Arial" w:hAnsi="Arial"/>
                <w:sz w:val="16"/>
                <w:szCs w:val="16"/>
                <w:color w:val="0000EE"/>
              </w:rPr>
            </w:pPr>
            <w:hyperlink r:id="rId99">
              <w:r>
                <w:rPr>
                  <w:rFonts w:ascii="Arial" w:cs="Arial" w:eastAsia="Arial" w:hAnsi="Arial"/>
                  <w:sz w:val="16"/>
                  <w:szCs w:val="16"/>
                  <w:color w:val="0000EE"/>
                </w:rPr>
                <w:t>Form of Restricted Stock Unit Award Agreement for the 1996 Equity</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10-K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540" w:type="dxa"/>
            <w:vAlign w:val="bottom"/>
            <w:gridSpan w:val="2"/>
          </w:tcPr>
          <w:p>
            <w:pPr>
              <w:jc w:val="center"/>
              <w:ind w:left="59"/>
              <w:spacing w:after="0"/>
              <w:rPr>
                <w:sz w:val="20"/>
                <w:szCs w:val="20"/>
                <w:color w:val="auto"/>
              </w:rPr>
            </w:pPr>
            <w:r>
              <w:rPr>
                <w:rFonts w:ascii="Arial" w:cs="Arial" w:eastAsia="Arial" w:hAnsi="Arial"/>
                <w:sz w:val="16"/>
                <w:szCs w:val="16"/>
                <w:color w:val="auto"/>
              </w:rPr>
              <w:t>10.5</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05/25/2017</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60" w:type="dxa"/>
            <w:vAlign w:val="bottom"/>
            <w:tcBorders>
              <w:top w:val="single" w:sz="8" w:color="0000EE"/>
            </w:tcBorders>
            <w:gridSpan w:val="11"/>
          </w:tcPr>
          <w:p>
            <w:pPr>
              <w:spacing w:after="0" w:line="169" w:lineRule="exact"/>
              <w:rPr>
                <w:rFonts w:ascii="Arial" w:cs="Arial" w:eastAsia="Arial" w:hAnsi="Arial"/>
                <w:sz w:val="16"/>
                <w:szCs w:val="16"/>
                <w:color w:val="0000EE"/>
              </w:rPr>
            </w:pPr>
            <w:hyperlink r:id="rId99">
              <w:r>
                <w:rPr>
                  <w:rFonts w:ascii="Arial" w:cs="Arial" w:eastAsia="Arial" w:hAnsi="Arial"/>
                  <w:sz w:val="16"/>
                  <w:szCs w:val="16"/>
                  <w:color w:val="0000EE"/>
                </w:rPr>
                <w:t>Participation Plan of ViaSat, Inc.—Global</w:t>
              </w:r>
            </w:hyperlink>
          </w:p>
        </w:tc>
        <w:tc>
          <w:tcPr>
            <w:tcW w:w="740" w:type="dxa"/>
            <w:vAlign w:val="bottom"/>
            <w:gridSpan w:val="9"/>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gridSpan w:val="6"/>
            <w:shd w:val="clear" w:color="auto" w:fill="0000EE"/>
          </w:tcPr>
          <w:p>
            <w:pPr>
              <w:spacing w:after="0" w:line="20" w:lineRule="exact"/>
              <w:rPr>
                <w:sz w:val="1"/>
                <w:szCs w:val="1"/>
                <w:color w:val="auto"/>
              </w:rPr>
            </w:pPr>
          </w:p>
        </w:tc>
        <w:tc>
          <w:tcPr>
            <w:tcW w:w="2660" w:type="dxa"/>
            <w:vAlign w:val="bottom"/>
            <w:gridSpan w:val="1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jc w:val="right"/>
              <w:ind w:right="262"/>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4"/>
                <w:szCs w:val="24"/>
                <w:color w:val="auto"/>
              </w:rPr>
            </w:pPr>
          </w:p>
        </w:tc>
        <w:tc>
          <w:tcPr>
            <w:tcW w:w="5600" w:type="dxa"/>
            <w:vAlign w:val="bottom"/>
            <w:gridSpan w:val="20"/>
          </w:tcPr>
          <w:p>
            <w:pPr>
              <w:spacing w:after="0"/>
              <w:rPr>
                <w:rFonts w:ascii="Arial" w:cs="Arial" w:eastAsia="Arial" w:hAnsi="Arial"/>
                <w:sz w:val="16"/>
                <w:szCs w:val="16"/>
                <w:color w:val="0000EE"/>
              </w:rPr>
            </w:pPr>
            <w:hyperlink r:id="rId100">
              <w:r>
                <w:rPr>
                  <w:rFonts w:ascii="Arial" w:cs="Arial" w:eastAsia="Arial" w:hAnsi="Arial"/>
                  <w:sz w:val="16"/>
                  <w:szCs w:val="16"/>
                  <w:color w:val="0000EE"/>
                </w:rPr>
                <w:t>Form of Restricted Stock Unit Award Agreement for the 1996 Equity</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10-K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540" w:type="dxa"/>
            <w:vAlign w:val="bottom"/>
            <w:gridSpan w:val="2"/>
          </w:tcPr>
          <w:p>
            <w:pPr>
              <w:jc w:val="center"/>
              <w:ind w:left="59"/>
              <w:spacing w:after="0"/>
              <w:rPr>
                <w:sz w:val="20"/>
                <w:szCs w:val="20"/>
                <w:color w:val="auto"/>
              </w:rPr>
            </w:pPr>
            <w:r>
              <w:rPr>
                <w:rFonts w:ascii="Arial" w:cs="Arial" w:eastAsia="Arial" w:hAnsi="Arial"/>
                <w:sz w:val="16"/>
                <w:szCs w:val="16"/>
                <w:color w:val="auto"/>
              </w:rPr>
              <w:t>10.6</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05/26/2015</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60" w:type="dxa"/>
            <w:vAlign w:val="bottom"/>
            <w:tcBorders>
              <w:top w:val="single" w:sz="8" w:color="0000EE"/>
            </w:tcBorders>
            <w:gridSpan w:val="11"/>
          </w:tcPr>
          <w:p>
            <w:pPr>
              <w:spacing w:after="0"/>
              <w:rPr>
                <w:rFonts w:ascii="Arial" w:cs="Arial" w:eastAsia="Arial" w:hAnsi="Arial"/>
                <w:sz w:val="16"/>
                <w:szCs w:val="16"/>
                <w:u w:val="single" w:color="auto"/>
                <w:color w:val="0000EE"/>
              </w:rPr>
            </w:pPr>
            <w:hyperlink r:id="rId100">
              <w:r>
                <w:rPr>
                  <w:rFonts w:ascii="Arial" w:cs="Arial" w:eastAsia="Arial" w:hAnsi="Arial"/>
                  <w:sz w:val="16"/>
                  <w:szCs w:val="16"/>
                  <w:u w:val="single" w:color="auto"/>
                  <w:color w:val="0000EE"/>
                </w:rPr>
                <w:t>Participation Plan of ViaSat, Inc.—Independent Director</w:t>
              </w:r>
            </w:hyperlink>
          </w:p>
        </w:tc>
        <w:tc>
          <w:tcPr>
            <w:tcW w:w="740" w:type="dxa"/>
            <w:vAlign w:val="bottom"/>
            <w:gridSpan w:val="9"/>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 w:type="dxa"/>
            <w:vAlign w:val="bottom"/>
          </w:tcPr>
          <w:p>
            <w:pPr>
              <w:ind w:left="260"/>
              <w:spacing w:after="0"/>
              <w:rPr>
                <w:sz w:val="20"/>
                <w:szCs w:val="20"/>
                <w:color w:val="auto"/>
              </w:rPr>
            </w:pPr>
            <w:r>
              <w:rPr>
                <w:rFonts w:ascii="Arial" w:cs="Arial" w:eastAsia="Arial" w:hAnsi="Arial"/>
                <w:sz w:val="12"/>
                <w:szCs w:val="12"/>
                <w:b w:val="1"/>
                <w:bCs w:val="1"/>
                <w:color w:val="auto"/>
              </w:rPr>
              <w:t>Exhibit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gridSpan w:val="23"/>
          </w:tcPr>
          <w:p>
            <w:pPr>
              <w:ind w:left="520"/>
              <w:spacing w:after="0"/>
              <w:rPr>
                <w:sz w:val="20"/>
                <w:szCs w:val="20"/>
                <w:color w:val="auto"/>
              </w:rPr>
            </w:pPr>
            <w:r>
              <w:rPr>
                <w:rFonts w:ascii="Arial" w:cs="Arial" w:eastAsia="Arial" w:hAnsi="Arial"/>
                <w:sz w:val="12"/>
                <w:szCs w:val="12"/>
                <w:b w:val="1"/>
                <w:bCs w:val="1"/>
                <w:color w:val="auto"/>
              </w:rPr>
              <w:t>Exhibit Description</w:t>
            </w:r>
          </w:p>
        </w:tc>
        <w:tc>
          <w:tcPr>
            <w:tcW w:w="0" w:type="dxa"/>
            <w:vAlign w:val="bottom"/>
          </w:tcPr>
          <w:p>
            <w:pPr>
              <w:spacing w:after="0"/>
              <w:rPr>
                <w:sz w:val="1"/>
                <w:szCs w:val="1"/>
                <w:color w:val="auto"/>
              </w:rPr>
            </w:pPr>
          </w:p>
        </w:tc>
      </w:tr>
      <w:tr>
        <w:trPr>
          <w:trHeight w:val="442"/>
        </w:trPr>
        <w:tc>
          <w:tcPr>
            <w:tcW w:w="920" w:type="dxa"/>
            <w:vAlign w:val="bottom"/>
          </w:tcPr>
          <w:p>
            <w:pPr>
              <w:ind w:left="22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4"/>
                <w:szCs w:val="24"/>
                <w:color w:val="auto"/>
              </w:rPr>
            </w:pPr>
          </w:p>
        </w:tc>
        <w:tc>
          <w:tcPr>
            <w:tcW w:w="4860" w:type="dxa"/>
            <w:vAlign w:val="bottom"/>
            <w:tcBorders>
              <w:bottom w:val="single" w:sz="8" w:color="0000EE"/>
            </w:tcBorders>
            <w:gridSpan w:val="13"/>
          </w:tcPr>
          <w:p>
            <w:pPr>
              <w:spacing w:after="0"/>
              <w:rPr>
                <w:rFonts w:ascii="Arial" w:cs="Arial" w:eastAsia="Arial" w:hAnsi="Arial"/>
                <w:sz w:val="16"/>
                <w:szCs w:val="16"/>
                <w:color w:val="0000EE"/>
              </w:rPr>
            </w:pPr>
            <w:hyperlink r:id="rId102">
              <w:r>
                <w:rPr>
                  <w:rFonts w:ascii="Arial" w:cs="Arial" w:eastAsia="Arial" w:hAnsi="Arial"/>
                  <w:sz w:val="16"/>
                  <w:szCs w:val="16"/>
                  <w:color w:val="0000EE"/>
                </w:rPr>
                <w:t>Form of Restricted Stock Unit Award Agreement for the 1996 Equity</w:t>
              </w:r>
            </w:hyperlink>
          </w:p>
        </w:tc>
        <w:tc>
          <w:tcPr>
            <w:tcW w:w="5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30"/>
          </w:tcPr>
          <w:p>
            <w:pPr>
              <w:spacing w:after="0" w:line="169" w:lineRule="exact"/>
              <w:rPr>
                <w:rFonts w:ascii="Arial" w:cs="Arial" w:eastAsia="Arial" w:hAnsi="Arial"/>
                <w:sz w:val="16"/>
                <w:szCs w:val="16"/>
                <w:color w:val="0000EE"/>
              </w:rPr>
            </w:pPr>
            <w:hyperlink r:id="rId102">
              <w:r>
                <w:rPr>
                  <w:rFonts w:ascii="Arial" w:cs="Arial" w:eastAsia="Arial" w:hAnsi="Arial"/>
                  <w:sz w:val="16"/>
                  <w:szCs w:val="16"/>
                  <w:color w:val="0000EE"/>
                </w:rPr>
                <w:t>Participation Plan of ViaSat, Inc.—Executive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4"/>
                <w:szCs w:val="24"/>
                <w:color w:val="auto"/>
              </w:rPr>
            </w:pPr>
          </w:p>
        </w:tc>
        <w:tc>
          <w:tcPr>
            <w:tcW w:w="5360" w:type="dxa"/>
            <w:vAlign w:val="bottom"/>
            <w:gridSpan w:val="30"/>
          </w:tcPr>
          <w:p>
            <w:pPr>
              <w:spacing w:after="0"/>
              <w:rPr>
                <w:rFonts w:ascii="Arial" w:cs="Arial" w:eastAsia="Arial" w:hAnsi="Arial"/>
                <w:sz w:val="16"/>
                <w:szCs w:val="16"/>
                <w:color w:val="0000EE"/>
              </w:rPr>
            </w:pPr>
            <w:hyperlink r:id="rId103">
              <w:r>
                <w:rPr>
                  <w:rFonts w:ascii="Arial" w:cs="Arial" w:eastAsia="Arial" w:hAnsi="Arial"/>
                  <w:sz w:val="16"/>
                  <w:szCs w:val="16"/>
                  <w:color w:val="0000EE"/>
                </w:rPr>
                <w:t>Form of Change in Control Severance Agreement between ViaSat, Inc.</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tcBorders>
              <w:top w:val="single" w:sz="8" w:color="0000EE"/>
            </w:tcBorders>
            <w:gridSpan w:val="21"/>
          </w:tcPr>
          <w:p>
            <w:pPr>
              <w:spacing w:after="0" w:line="169" w:lineRule="exact"/>
              <w:rPr>
                <w:rFonts w:ascii="Arial" w:cs="Arial" w:eastAsia="Arial" w:hAnsi="Arial"/>
                <w:sz w:val="16"/>
                <w:szCs w:val="16"/>
                <w:color w:val="0000EE"/>
              </w:rPr>
            </w:pPr>
            <w:hyperlink r:id="rId103">
              <w:r>
                <w:rPr>
                  <w:rFonts w:ascii="Arial" w:cs="Arial" w:eastAsia="Arial" w:hAnsi="Arial"/>
                  <w:sz w:val="16"/>
                  <w:szCs w:val="16"/>
                  <w:color w:val="0000EE"/>
                </w:rPr>
                <w:t>and each of its executive officers</w:t>
              </w:r>
            </w:hyperlink>
          </w:p>
        </w:tc>
        <w:tc>
          <w:tcPr>
            <w:tcW w:w="2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ind w:left="220"/>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24"/>
                <w:szCs w:val="24"/>
                <w:color w:val="auto"/>
              </w:rPr>
            </w:pPr>
          </w:p>
        </w:tc>
        <w:tc>
          <w:tcPr>
            <w:tcW w:w="5260" w:type="dxa"/>
            <w:vAlign w:val="bottom"/>
            <w:tcBorders>
              <w:bottom w:val="single" w:sz="8" w:color="0000EE"/>
            </w:tcBorders>
            <w:gridSpan w:val="26"/>
          </w:tcPr>
          <w:p>
            <w:pPr>
              <w:spacing w:after="0"/>
              <w:rPr>
                <w:rFonts w:ascii="Arial" w:cs="Arial" w:eastAsia="Arial" w:hAnsi="Arial"/>
                <w:sz w:val="16"/>
                <w:szCs w:val="16"/>
                <w:color w:val="0000EE"/>
              </w:rPr>
            </w:pPr>
            <w:hyperlink r:id="rId104">
              <w:r>
                <w:rPr>
                  <w:rFonts w:ascii="Arial" w:cs="Arial" w:eastAsia="Arial" w:hAnsi="Arial"/>
                  <w:sz w:val="16"/>
                  <w:szCs w:val="16"/>
                  <w:color w:val="0000EE"/>
                </w:rPr>
                <w:t>Credit Agreement dated as of November 26, 2013, by and among ViaSat,</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gridSpan w:val="30"/>
          </w:tcPr>
          <w:p>
            <w:pPr>
              <w:spacing w:after="0"/>
              <w:rPr>
                <w:rFonts w:ascii="Arial" w:cs="Arial" w:eastAsia="Arial" w:hAnsi="Arial"/>
                <w:sz w:val="16"/>
                <w:szCs w:val="16"/>
                <w:u w:val="single" w:color="auto"/>
                <w:color w:val="0000EE"/>
              </w:rPr>
            </w:pPr>
            <w:hyperlink r:id="rId104">
              <w:r>
                <w:rPr>
                  <w:rFonts w:ascii="Arial" w:cs="Arial" w:eastAsia="Arial" w:hAnsi="Arial"/>
                  <w:sz w:val="16"/>
                  <w:szCs w:val="16"/>
                  <w:u w:val="single" w:color="auto"/>
                  <w:color w:val="0000EE"/>
                </w:rPr>
                <w:t>Inc., Union Bank, N.A. (as agent) and the other lenders party thereto</w:t>
              </w:r>
            </w:hyperlink>
          </w:p>
        </w:tc>
        <w:tc>
          <w:tcPr>
            <w:tcW w:w="0" w:type="dxa"/>
            <w:vAlign w:val="bottom"/>
          </w:tcPr>
          <w:p>
            <w:pPr>
              <w:spacing w:after="0"/>
              <w:rPr>
                <w:sz w:val="1"/>
                <w:szCs w:val="1"/>
                <w:color w:val="auto"/>
              </w:rPr>
            </w:pPr>
          </w:p>
        </w:tc>
      </w:tr>
      <w:tr>
        <w:trPr>
          <w:trHeight w:val="276"/>
        </w:trPr>
        <w:tc>
          <w:tcPr>
            <w:tcW w:w="920" w:type="dxa"/>
            <w:vAlign w:val="bottom"/>
          </w:tcPr>
          <w:p>
            <w:pPr>
              <w:ind w:left="220"/>
              <w:spacing w:after="0"/>
              <w:rPr>
                <w:sz w:val="20"/>
                <w:szCs w:val="20"/>
                <w:color w:val="auto"/>
              </w:rPr>
            </w:pPr>
            <w:r>
              <w:rPr>
                <w:rFonts w:ascii="Arial" w:cs="Arial" w:eastAsia="Arial" w:hAnsi="Arial"/>
                <w:sz w:val="16"/>
                <w:szCs w:val="16"/>
                <w:color w:val="auto"/>
              </w:rPr>
              <w:t>10.10.1</w:t>
            </w:r>
          </w:p>
        </w:tc>
        <w:tc>
          <w:tcPr>
            <w:tcW w:w="100" w:type="dxa"/>
            <w:vAlign w:val="bottom"/>
          </w:tcPr>
          <w:p>
            <w:pPr>
              <w:spacing w:after="0"/>
              <w:rPr>
                <w:sz w:val="24"/>
                <w:szCs w:val="24"/>
                <w:color w:val="auto"/>
              </w:rPr>
            </w:pPr>
          </w:p>
        </w:tc>
        <w:tc>
          <w:tcPr>
            <w:tcW w:w="5360" w:type="dxa"/>
            <w:vAlign w:val="bottom"/>
            <w:gridSpan w:val="30"/>
          </w:tcPr>
          <w:p>
            <w:pPr>
              <w:spacing w:after="0"/>
              <w:rPr>
                <w:rFonts w:ascii="Arial" w:cs="Arial" w:eastAsia="Arial" w:hAnsi="Arial"/>
                <w:sz w:val="16"/>
                <w:szCs w:val="16"/>
                <w:color w:val="0000EE"/>
              </w:rPr>
            </w:pPr>
            <w:hyperlink r:id="rId105">
              <w:r>
                <w:rPr>
                  <w:rFonts w:ascii="Arial" w:cs="Arial" w:eastAsia="Arial" w:hAnsi="Arial"/>
                  <w:sz w:val="16"/>
                  <w:szCs w:val="16"/>
                  <w:color w:val="0000EE"/>
                </w:rPr>
                <w:t>First Amendment to Credit Agreement and Other Loan Documents dated</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0" w:type="dxa"/>
            <w:vAlign w:val="bottom"/>
            <w:tcBorders>
              <w:top w:val="single" w:sz="8" w:color="0000EE"/>
            </w:tcBorders>
            <w:gridSpan w:val="24"/>
          </w:tcPr>
          <w:p>
            <w:pPr>
              <w:spacing w:after="0" w:line="169" w:lineRule="exact"/>
              <w:rPr>
                <w:rFonts w:ascii="Arial" w:cs="Arial" w:eastAsia="Arial" w:hAnsi="Arial"/>
                <w:sz w:val="16"/>
                <w:szCs w:val="16"/>
                <w:color w:val="0000EE"/>
              </w:rPr>
            </w:pPr>
            <w:hyperlink r:id="rId105">
              <w:r>
                <w:rPr>
                  <w:rFonts w:ascii="Arial" w:cs="Arial" w:eastAsia="Arial" w:hAnsi="Arial"/>
                  <w:sz w:val="16"/>
                  <w:szCs w:val="16"/>
                  <w:color w:val="0000EE"/>
                </w:rPr>
                <w:t>as of March 12, 2015, by and among ViaSat, Inc., Union Bank, N.A. (as</w:t>
              </w:r>
            </w:hyperlink>
          </w:p>
        </w:tc>
        <w:tc>
          <w:tcPr>
            <w:tcW w:w="1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10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r:id="rId105">
              <w:r>
                <w:rPr>
                  <w:rFonts w:ascii="Arial" w:cs="Arial" w:eastAsia="Arial" w:hAnsi="Arial"/>
                  <w:sz w:val="16"/>
                  <w:szCs w:val="16"/>
                  <w:color w:val="0000EE"/>
                </w:rPr>
                <w:t>agent) and the other lenders party thereto</w:t>
              </w:r>
            </w:hyperlink>
          </w:p>
        </w:tc>
        <w:tc>
          <w:tcPr>
            <w:tcW w:w="2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10.10.2</w:t>
            </w:r>
          </w:p>
        </w:tc>
        <w:tc>
          <w:tcPr>
            <w:tcW w:w="100" w:type="dxa"/>
            <w:vAlign w:val="bottom"/>
          </w:tcPr>
          <w:p>
            <w:pPr>
              <w:spacing w:after="0"/>
              <w:rPr>
                <w:sz w:val="24"/>
                <w:szCs w:val="24"/>
                <w:color w:val="auto"/>
              </w:rPr>
            </w:pPr>
          </w:p>
        </w:tc>
        <w:tc>
          <w:tcPr>
            <w:tcW w:w="5000" w:type="dxa"/>
            <w:vAlign w:val="bottom"/>
            <w:tcBorders>
              <w:bottom w:val="single" w:sz="8" w:color="0000EE"/>
            </w:tcBorders>
            <w:gridSpan w:val="19"/>
          </w:tcPr>
          <w:p>
            <w:pPr>
              <w:spacing w:after="0"/>
              <w:rPr>
                <w:rFonts w:ascii="Arial" w:cs="Arial" w:eastAsia="Arial" w:hAnsi="Arial"/>
                <w:sz w:val="16"/>
                <w:szCs w:val="16"/>
                <w:color w:val="0000EE"/>
              </w:rPr>
            </w:pPr>
            <w:hyperlink r:id="rId106">
              <w:r>
                <w:rPr>
                  <w:rFonts w:ascii="Arial" w:cs="Arial" w:eastAsia="Arial" w:hAnsi="Arial"/>
                  <w:sz w:val="16"/>
                  <w:szCs w:val="16"/>
                  <w:color w:val="0000EE"/>
                </w:rPr>
                <w:t>Second Amendment to Credit Agreement and Other Loan Documents</w:t>
              </w:r>
            </w:hyperlink>
          </w:p>
        </w:tc>
        <w:tc>
          <w:tcPr>
            <w:tcW w:w="3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r:id="rId106">
              <w:r>
                <w:rPr>
                  <w:rFonts w:ascii="Arial" w:cs="Arial" w:eastAsia="Arial" w:hAnsi="Arial"/>
                  <w:sz w:val="16"/>
                  <w:szCs w:val="16"/>
                  <w:color w:val="0000EE"/>
                </w:rPr>
                <w:t>dated as of May 24, 2016, by and among Viasat, Inc., MUFG Union Bank,</w:t>
              </w:r>
            </w:hyperlink>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2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r:id="rId106">
              <w:r>
                <w:rPr>
                  <w:rFonts w:ascii="Arial" w:cs="Arial" w:eastAsia="Arial" w:hAnsi="Arial"/>
                  <w:sz w:val="16"/>
                  <w:szCs w:val="16"/>
                  <w:color w:val="0000EE"/>
                </w:rPr>
                <w:t>N.A. (as agent) and the other lenders party thereto</w:t>
              </w:r>
            </w:hyperlink>
          </w:p>
        </w:tc>
        <w:tc>
          <w:tcPr>
            <w:tcW w:w="174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220"/>
              <w:spacing w:after="0"/>
              <w:rPr>
                <w:sz w:val="20"/>
                <w:szCs w:val="20"/>
                <w:color w:val="auto"/>
              </w:rPr>
            </w:pPr>
            <w:r>
              <w:rPr>
                <w:rFonts w:ascii="Arial" w:cs="Arial" w:eastAsia="Arial" w:hAnsi="Arial"/>
                <w:sz w:val="16"/>
                <w:szCs w:val="16"/>
                <w:color w:val="auto"/>
              </w:rPr>
              <w:t>10.10.3</w:t>
            </w:r>
          </w:p>
        </w:tc>
        <w:tc>
          <w:tcPr>
            <w:tcW w:w="100" w:type="dxa"/>
            <w:vAlign w:val="bottom"/>
          </w:tcPr>
          <w:p>
            <w:pPr>
              <w:spacing w:after="0"/>
              <w:rPr>
                <w:sz w:val="24"/>
                <w:szCs w:val="24"/>
                <w:color w:val="auto"/>
              </w:rPr>
            </w:pPr>
          </w:p>
        </w:tc>
        <w:tc>
          <w:tcPr>
            <w:tcW w:w="5360" w:type="dxa"/>
            <w:vAlign w:val="bottom"/>
            <w:gridSpan w:val="30"/>
          </w:tcPr>
          <w:p>
            <w:pPr>
              <w:spacing w:after="0"/>
              <w:rPr>
                <w:rFonts w:ascii="Arial" w:cs="Arial" w:eastAsia="Arial" w:hAnsi="Arial"/>
                <w:sz w:val="16"/>
                <w:szCs w:val="16"/>
                <w:color w:val="0000EE"/>
              </w:rPr>
            </w:pPr>
            <w:hyperlink r:id="rId107">
              <w:r>
                <w:rPr>
                  <w:rFonts w:ascii="Arial" w:cs="Arial" w:eastAsia="Arial" w:hAnsi="Arial"/>
                  <w:sz w:val="16"/>
                  <w:szCs w:val="16"/>
                  <w:color w:val="0000EE"/>
                </w:rPr>
                <w:t>Third Amendment to Credit Agreement dated as of May 24, 2018 by and</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180" w:type="dxa"/>
            <w:vAlign w:val="bottom"/>
            <w:tcBorders>
              <w:top w:val="single" w:sz="8" w:color="0000EE"/>
            </w:tcBorders>
            <w:gridSpan w:val="23"/>
          </w:tcPr>
          <w:p>
            <w:pPr>
              <w:spacing w:after="0" w:line="169" w:lineRule="exact"/>
              <w:rPr>
                <w:rFonts w:ascii="Arial" w:cs="Arial" w:eastAsia="Arial" w:hAnsi="Arial"/>
                <w:sz w:val="16"/>
                <w:szCs w:val="16"/>
                <w:color w:val="0000EE"/>
              </w:rPr>
            </w:pPr>
            <w:hyperlink r:id="rId107">
              <w:r>
                <w:rPr>
                  <w:rFonts w:ascii="Arial" w:cs="Arial" w:eastAsia="Arial" w:hAnsi="Arial"/>
                  <w:sz w:val="16"/>
                  <w:szCs w:val="16"/>
                  <w:color w:val="0000EE"/>
                </w:rPr>
                <w:t>among Viasat, Inc., MUFG Union Bank, N.A. (as agent) and the other</w:t>
              </w:r>
            </w:hyperlink>
          </w:p>
        </w:tc>
        <w:tc>
          <w:tcPr>
            <w:tcW w:w="1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w w:val="99"/>
              </w:rPr>
            </w:pPr>
            <w:hyperlink r:id="rId107">
              <w:r>
                <w:rPr>
                  <w:rFonts w:ascii="Arial" w:cs="Arial" w:eastAsia="Arial" w:hAnsi="Arial"/>
                  <w:sz w:val="16"/>
                  <w:szCs w:val="16"/>
                  <w:color w:val="0000EE"/>
                  <w:w w:val="99"/>
                </w:rPr>
                <w:t>lenders party thereto</w:t>
              </w:r>
            </w:hyperlink>
          </w:p>
        </w:tc>
        <w:tc>
          <w:tcPr>
            <w:tcW w:w="3480" w:type="dxa"/>
            <w:vAlign w:val="bottom"/>
            <w:tcBorders>
              <w:top w:val="single" w:sz="8" w:color="0000EE"/>
            </w:tcBorders>
            <w:gridSpan w:val="12"/>
          </w:tcPr>
          <w:p>
            <w:pPr>
              <w:spacing w:after="0"/>
              <w:rPr>
                <w:sz w:val="14"/>
                <w:szCs w:val="14"/>
                <w:color w:val="auto"/>
              </w:rPr>
            </w:pPr>
          </w:p>
        </w:tc>
        <w:tc>
          <w:tcPr>
            <w:tcW w:w="40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10.10.4</w:t>
            </w:r>
          </w:p>
        </w:tc>
        <w:tc>
          <w:tcPr>
            <w:tcW w:w="100" w:type="dxa"/>
            <w:vAlign w:val="bottom"/>
          </w:tcPr>
          <w:p>
            <w:pPr>
              <w:spacing w:after="0"/>
              <w:rPr>
                <w:sz w:val="24"/>
                <w:szCs w:val="24"/>
                <w:color w:val="auto"/>
              </w:rPr>
            </w:pPr>
          </w:p>
        </w:tc>
        <w:tc>
          <w:tcPr>
            <w:tcW w:w="5280" w:type="dxa"/>
            <w:vAlign w:val="bottom"/>
            <w:tcBorders>
              <w:bottom w:val="single" w:sz="8" w:color="0000EE"/>
            </w:tcBorders>
            <w:gridSpan w:val="27"/>
          </w:tcPr>
          <w:p>
            <w:pPr>
              <w:spacing w:after="0"/>
              <w:rPr>
                <w:rFonts w:ascii="Arial" w:cs="Arial" w:eastAsia="Arial" w:hAnsi="Arial"/>
                <w:sz w:val="16"/>
                <w:szCs w:val="16"/>
                <w:color w:val="0000EE"/>
              </w:rPr>
            </w:pPr>
            <w:hyperlink r:id="rId108">
              <w:r>
                <w:rPr>
                  <w:rFonts w:ascii="Arial" w:cs="Arial" w:eastAsia="Arial" w:hAnsi="Arial"/>
                  <w:sz w:val="16"/>
                  <w:szCs w:val="16"/>
                  <w:color w:val="0000EE"/>
                </w:rPr>
                <w:t>Fourth Amendment to Credit Agreement dated as of January 18, 2019, by</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r:id="rId108">
              <w:r>
                <w:rPr>
                  <w:rFonts w:ascii="Arial" w:cs="Arial" w:eastAsia="Arial" w:hAnsi="Arial"/>
                  <w:sz w:val="16"/>
                  <w:szCs w:val="16"/>
                  <w:color w:val="0000EE"/>
                </w:rPr>
                <w:t>and among Viasat, Inc., MUFG Union Bank, N.A. (as administrative agent</w:t>
              </w:r>
            </w:hyperlink>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0" w:type="dxa"/>
            <w:vAlign w:val="bottom"/>
            <w:tcBorders>
              <w:bottom w:val="single" w:sz="8" w:color="0000EE"/>
            </w:tcBorders>
            <w:gridSpan w:val="12"/>
          </w:tcPr>
          <w:p>
            <w:pPr>
              <w:spacing w:after="0" w:line="169" w:lineRule="exact"/>
              <w:rPr>
                <w:rFonts w:ascii="Arial" w:cs="Arial" w:eastAsia="Arial" w:hAnsi="Arial"/>
                <w:sz w:val="16"/>
                <w:szCs w:val="16"/>
                <w:color w:val="0000EE"/>
              </w:rPr>
            </w:pPr>
            <w:hyperlink r:id="rId108">
              <w:r>
                <w:rPr>
                  <w:rFonts w:ascii="Arial" w:cs="Arial" w:eastAsia="Arial" w:hAnsi="Arial"/>
                  <w:sz w:val="16"/>
                  <w:szCs w:val="16"/>
                  <w:color w:val="0000EE"/>
                </w:rPr>
                <w:t>and collateral agent) and the other lenders party thereto</w:t>
              </w:r>
            </w:hyperlink>
          </w:p>
        </w:tc>
        <w:tc>
          <w:tcPr>
            <w:tcW w:w="136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4"/>
                <w:szCs w:val="24"/>
                <w:color w:val="auto"/>
              </w:rPr>
            </w:pPr>
          </w:p>
        </w:tc>
        <w:tc>
          <w:tcPr>
            <w:tcW w:w="4920" w:type="dxa"/>
            <w:vAlign w:val="bottom"/>
            <w:tcBorders>
              <w:bottom w:val="single" w:sz="8" w:color="0000EE"/>
            </w:tcBorders>
            <w:gridSpan w:val="16"/>
          </w:tcPr>
          <w:p>
            <w:pPr>
              <w:spacing w:after="0"/>
              <w:rPr>
                <w:rFonts w:ascii="Arial" w:cs="Arial" w:eastAsia="Arial" w:hAnsi="Arial"/>
                <w:sz w:val="16"/>
                <w:szCs w:val="16"/>
                <w:color w:val="0000EE"/>
              </w:rPr>
            </w:pPr>
            <w:hyperlink r:id="rId109">
              <w:r>
                <w:rPr>
                  <w:rFonts w:ascii="Arial" w:cs="Arial" w:eastAsia="Arial" w:hAnsi="Arial"/>
                  <w:sz w:val="16"/>
                  <w:szCs w:val="16"/>
                  <w:color w:val="0000EE"/>
                </w:rPr>
                <w:t>Credit Agreement dated as of March 12, 2015, by and among ViaSat</w:t>
              </w:r>
            </w:hyperlink>
          </w:p>
        </w:tc>
        <w:tc>
          <w:tcPr>
            <w:tcW w:w="4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30"/>
          </w:tcPr>
          <w:p>
            <w:pPr>
              <w:spacing w:after="0" w:line="169" w:lineRule="exact"/>
              <w:rPr>
                <w:rFonts w:ascii="Arial" w:cs="Arial" w:eastAsia="Arial" w:hAnsi="Arial"/>
                <w:sz w:val="16"/>
                <w:szCs w:val="16"/>
                <w:color w:val="0000EE"/>
              </w:rPr>
            </w:pPr>
            <w:hyperlink r:id="rId109">
              <w:r>
                <w:rPr>
                  <w:rFonts w:ascii="Arial" w:cs="Arial" w:eastAsia="Arial" w:hAnsi="Arial"/>
                  <w:sz w:val="16"/>
                  <w:szCs w:val="16"/>
                  <w:color w:val="0000EE"/>
                </w:rPr>
                <w:t>Technologies Limited, ViaSat, Inc., JPMorgan Chase Bank, National</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40" w:type="dxa"/>
            <w:vAlign w:val="bottom"/>
            <w:tcBorders>
              <w:bottom w:val="single" w:sz="8" w:color="0000EE"/>
            </w:tcBorders>
            <w:gridSpan w:val="20"/>
          </w:tcPr>
          <w:p>
            <w:pPr>
              <w:spacing w:after="0" w:line="169" w:lineRule="exact"/>
              <w:rPr>
                <w:rFonts w:ascii="Arial" w:cs="Arial" w:eastAsia="Arial" w:hAnsi="Arial"/>
                <w:sz w:val="16"/>
                <w:szCs w:val="16"/>
                <w:color w:val="0000EE"/>
              </w:rPr>
            </w:pPr>
            <w:hyperlink r:id="rId109">
              <w:r>
                <w:rPr>
                  <w:rFonts w:ascii="Arial" w:cs="Arial" w:eastAsia="Arial" w:hAnsi="Arial"/>
                  <w:sz w:val="16"/>
                  <w:szCs w:val="16"/>
                  <w:color w:val="0000EE"/>
                </w:rPr>
                <w:t>Association (as Ex-Im facility agent) and the Export-Import Bank of the</w:t>
              </w:r>
            </w:hyperlink>
          </w:p>
        </w:tc>
        <w:tc>
          <w:tcPr>
            <w:tcW w:w="3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30"/>
          </w:tcPr>
          <w:p>
            <w:pPr>
              <w:spacing w:after="0" w:line="169" w:lineRule="exact"/>
              <w:rPr>
                <w:rFonts w:ascii="Arial" w:cs="Arial" w:eastAsia="Arial" w:hAnsi="Arial"/>
                <w:sz w:val="16"/>
                <w:szCs w:val="16"/>
                <w:color w:val="0000EE"/>
              </w:rPr>
            </w:pPr>
            <w:hyperlink r:id="rId109">
              <w:r>
                <w:rPr>
                  <w:rFonts w:ascii="Arial" w:cs="Arial" w:eastAsia="Arial" w:hAnsi="Arial"/>
                  <w:sz w:val="16"/>
                  <w:szCs w:val="16"/>
                  <w:color w:val="0000EE"/>
                </w:rPr>
                <w:t>United States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ind w:left="220"/>
              <w:spacing w:after="0"/>
              <w:rPr>
                <w:sz w:val="20"/>
                <w:szCs w:val="20"/>
                <w:color w:val="auto"/>
              </w:rPr>
            </w:pPr>
            <w:r>
              <w:rPr>
                <w:rFonts w:ascii="Arial" w:cs="Arial" w:eastAsia="Arial" w:hAnsi="Arial"/>
                <w:sz w:val="16"/>
                <w:szCs w:val="16"/>
                <w:color w:val="auto"/>
              </w:rPr>
              <w:t>10.11.1</w:t>
            </w:r>
          </w:p>
        </w:tc>
        <w:tc>
          <w:tcPr>
            <w:tcW w:w="100" w:type="dxa"/>
            <w:vAlign w:val="bottom"/>
          </w:tcPr>
          <w:p>
            <w:pPr>
              <w:spacing w:after="0"/>
              <w:rPr>
                <w:sz w:val="24"/>
                <w:szCs w:val="24"/>
                <w:color w:val="auto"/>
              </w:rPr>
            </w:pPr>
          </w:p>
        </w:tc>
        <w:tc>
          <w:tcPr>
            <w:tcW w:w="5280" w:type="dxa"/>
            <w:vAlign w:val="bottom"/>
            <w:tcBorders>
              <w:bottom w:val="single" w:sz="8" w:color="0000EE"/>
            </w:tcBorders>
            <w:gridSpan w:val="27"/>
          </w:tcPr>
          <w:p>
            <w:pPr>
              <w:spacing w:after="0"/>
              <w:rPr>
                <w:rFonts w:ascii="Arial" w:cs="Arial" w:eastAsia="Arial" w:hAnsi="Arial"/>
                <w:sz w:val="16"/>
                <w:szCs w:val="16"/>
                <w:color w:val="0000EE"/>
              </w:rPr>
            </w:pPr>
            <w:hyperlink r:id="rId110">
              <w:r>
                <w:rPr>
                  <w:rFonts w:ascii="Arial" w:cs="Arial" w:eastAsia="Arial" w:hAnsi="Arial"/>
                  <w:sz w:val="16"/>
                  <w:szCs w:val="16"/>
                  <w:color w:val="0000EE"/>
                </w:rPr>
                <w:t>First Amendment to Credit Agreement, dated as of June 12, 2015, by and</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30"/>
          </w:tcPr>
          <w:p>
            <w:pPr>
              <w:spacing w:after="0" w:line="169" w:lineRule="exact"/>
              <w:rPr>
                <w:rFonts w:ascii="Arial" w:cs="Arial" w:eastAsia="Arial" w:hAnsi="Arial"/>
                <w:sz w:val="16"/>
                <w:szCs w:val="16"/>
                <w:color w:val="0000EE"/>
              </w:rPr>
            </w:pPr>
            <w:hyperlink r:id="rId110">
              <w:r>
                <w:rPr>
                  <w:rFonts w:ascii="Arial" w:cs="Arial" w:eastAsia="Arial" w:hAnsi="Arial"/>
                  <w:sz w:val="16"/>
                  <w:szCs w:val="16"/>
                  <w:color w:val="0000EE"/>
                </w:rPr>
                <w:t>among ViaSat Technologies Limited, ViaSat, Inc., JPMorgan Chase Bank,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gridSpan w:val="8"/>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10">
              <w:r>
                <w:rPr>
                  <w:rFonts w:ascii="Arial" w:cs="Arial" w:eastAsia="Arial" w:hAnsi="Arial"/>
                  <w:sz w:val="16"/>
                  <w:szCs w:val="16"/>
                  <w:color w:val="0000EE"/>
                </w:rPr>
                <w:t>National Association (as Ex-Im Facility Agent) and the Export-Import Bank</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r:id="rId110">
              <w:r>
                <w:rPr>
                  <w:rFonts w:ascii="Arial" w:cs="Arial" w:eastAsia="Arial" w:hAnsi="Arial"/>
                  <w:sz w:val="16"/>
                  <w:szCs w:val="16"/>
                  <w:color w:val="0000EE"/>
                </w:rPr>
                <w:t>of the United States</w:t>
              </w:r>
            </w:hyperlink>
          </w:p>
        </w:tc>
        <w:tc>
          <w:tcPr>
            <w:tcW w:w="392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220"/>
              <w:spacing w:after="0"/>
              <w:rPr>
                <w:sz w:val="20"/>
                <w:szCs w:val="20"/>
                <w:color w:val="auto"/>
              </w:rPr>
            </w:pPr>
            <w:r>
              <w:rPr>
                <w:rFonts w:ascii="Arial" w:cs="Arial" w:eastAsia="Arial" w:hAnsi="Arial"/>
                <w:sz w:val="16"/>
                <w:szCs w:val="16"/>
                <w:color w:val="auto"/>
              </w:rPr>
              <w:t>10.11.2</w:t>
            </w:r>
          </w:p>
        </w:tc>
        <w:tc>
          <w:tcPr>
            <w:tcW w:w="100" w:type="dxa"/>
            <w:vAlign w:val="bottom"/>
          </w:tcPr>
          <w:p>
            <w:pPr>
              <w:spacing w:after="0"/>
              <w:rPr>
                <w:sz w:val="24"/>
                <w:szCs w:val="24"/>
                <w:color w:val="auto"/>
              </w:rPr>
            </w:pPr>
          </w:p>
        </w:tc>
        <w:tc>
          <w:tcPr>
            <w:tcW w:w="4940" w:type="dxa"/>
            <w:vAlign w:val="bottom"/>
            <w:tcBorders>
              <w:bottom w:val="single" w:sz="8" w:color="0000EE"/>
            </w:tcBorders>
            <w:gridSpan w:val="17"/>
          </w:tcPr>
          <w:p>
            <w:pPr>
              <w:spacing w:after="0"/>
              <w:rPr>
                <w:rFonts w:ascii="Arial" w:cs="Arial" w:eastAsia="Arial" w:hAnsi="Arial"/>
                <w:sz w:val="16"/>
                <w:szCs w:val="16"/>
                <w:color w:val="0000EE"/>
              </w:rPr>
            </w:pPr>
            <w:hyperlink r:id="rId111">
              <w:r>
                <w:rPr>
                  <w:rFonts w:ascii="Arial" w:cs="Arial" w:eastAsia="Arial" w:hAnsi="Arial"/>
                  <w:sz w:val="16"/>
                  <w:szCs w:val="16"/>
                  <w:color w:val="0000EE"/>
                </w:rPr>
                <w:t>Second Amendment Agreement, dated as of March 23, 2016, by and</w:t>
              </w:r>
            </w:hyperlink>
          </w:p>
        </w:tc>
        <w:tc>
          <w:tcPr>
            <w:tcW w:w="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30"/>
          </w:tcPr>
          <w:p>
            <w:pPr>
              <w:spacing w:after="0" w:line="169" w:lineRule="exact"/>
              <w:rPr>
                <w:rFonts w:ascii="Arial" w:cs="Arial" w:eastAsia="Arial" w:hAnsi="Arial"/>
                <w:sz w:val="16"/>
                <w:szCs w:val="16"/>
                <w:color w:val="0000EE"/>
              </w:rPr>
            </w:pPr>
            <w:hyperlink r:id="rId111">
              <w:r>
                <w:rPr>
                  <w:rFonts w:ascii="Arial" w:cs="Arial" w:eastAsia="Arial" w:hAnsi="Arial"/>
                  <w:sz w:val="16"/>
                  <w:szCs w:val="16"/>
                  <w:color w:val="0000EE"/>
                </w:rPr>
                <w:t>among ViaSat Technologies Limited, ViaSat, Inc., JPMorgan Chase Bank,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10"/>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11">
              <w:r>
                <w:rPr>
                  <w:rFonts w:ascii="Arial" w:cs="Arial" w:eastAsia="Arial" w:hAnsi="Arial"/>
                  <w:sz w:val="16"/>
                  <w:szCs w:val="16"/>
                  <w:color w:val="0000EE"/>
                </w:rPr>
                <w:t>National Association (as Ex-Im Facility Agent) and the Export-Import Bank</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r:id="rId111">
              <w:r>
                <w:rPr>
                  <w:rFonts w:ascii="Arial" w:cs="Arial" w:eastAsia="Arial" w:hAnsi="Arial"/>
                  <w:sz w:val="16"/>
                  <w:szCs w:val="16"/>
                  <w:color w:val="0000EE"/>
                </w:rPr>
                <w:t>of the United States</w:t>
              </w:r>
            </w:hyperlink>
          </w:p>
        </w:tc>
        <w:tc>
          <w:tcPr>
            <w:tcW w:w="392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20"/>
              <w:spacing w:after="0"/>
              <w:rPr>
                <w:sz w:val="20"/>
                <w:szCs w:val="20"/>
                <w:color w:val="auto"/>
              </w:rPr>
            </w:pPr>
            <w:r>
              <w:rPr>
                <w:rFonts w:ascii="Arial" w:cs="Arial" w:eastAsia="Arial" w:hAnsi="Arial"/>
                <w:sz w:val="16"/>
                <w:szCs w:val="16"/>
                <w:color w:val="auto"/>
              </w:rPr>
              <w:t>10.11.3</w:t>
            </w:r>
          </w:p>
        </w:tc>
        <w:tc>
          <w:tcPr>
            <w:tcW w:w="100" w:type="dxa"/>
            <w:vAlign w:val="bottom"/>
          </w:tcPr>
          <w:p>
            <w:pPr>
              <w:spacing w:after="0"/>
              <w:rPr>
                <w:sz w:val="24"/>
                <w:szCs w:val="24"/>
                <w:color w:val="auto"/>
              </w:rPr>
            </w:pPr>
          </w:p>
        </w:tc>
        <w:tc>
          <w:tcPr>
            <w:tcW w:w="5360" w:type="dxa"/>
            <w:vAlign w:val="bottom"/>
            <w:gridSpan w:val="30"/>
          </w:tcPr>
          <w:p>
            <w:pPr>
              <w:spacing w:after="0"/>
              <w:rPr>
                <w:rFonts w:ascii="Arial" w:cs="Arial" w:eastAsia="Arial" w:hAnsi="Arial"/>
                <w:sz w:val="16"/>
                <w:szCs w:val="16"/>
                <w:color w:val="0000EE"/>
              </w:rPr>
            </w:pPr>
            <w:hyperlink r:id="rId112">
              <w:r>
                <w:rPr>
                  <w:rFonts w:ascii="Arial" w:cs="Arial" w:eastAsia="Arial" w:hAnsi="Arial"/>
                  <w:sz w:val="16"/>
                  <w:szCs w:val="16"/>
                  <w:color w:val="0000EE"/>
                </w:rPr>
                <w:t>Third Amendment Agreement, dated as of October 11, 2016, by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30"/>
          </w:tcPr>
          <w:p>
            <w:pPr>
              <w:spacing w:after="0" w:line="169" w:lineRule="exact"/>
              <w:rPr>
                <w:rFonts w:ascii="Arial" w:cs="Arial" w:eastAsia="Arial" w:hAnsi="Arial"/>
                <w:sz w:val="16"/>
                <w:szCs w:val="16"/>
                <w:color w:val="0000EE"/>
              </w:rPr>
            </w:pPr>
            <w:hyperlink r:id="rId112">
              <w:r>
                <w:rPr>
                  <w:rFonts w:ascii="Arial" w:cs="Arial" w:eastAsia="Arial" w:hAnsi="Arial"/>
                  <w:sz w:val="16"/>
                  <w:szCs w:val="16"/>
                  <w:color w:val="0000EE"/>
                </w:rPr>
                <w:t>among ViaSat Technologies Limited, ViaSat, Inc., JPMorgan Chase Bank,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60" w:type="dxa"/>
            <w:vAlign w:val="bottom"/>
            <w:gridSpan w:val="8"/>
            <w:shd w:val="clear" w:color="auto" w:fill="0000EE"/>
          </w:tcPr>
          <w:p>
            <w:pPr>
              <w:spacing w:after="0" w:line="20" w:lineRule="exact"/>
              <w:rPr>
                <w:sz w:val="1"/>
                <w:szCs w:val="1"/>
                <w:color w:val="auto"/>
              </w:rPr>
            </w:pPr>
          </w:p>
        </w:tc>
        <w:tc>
          <w:tcPr>
            <w:tcW w:w="320" w:type="dxa"/>
            <w:vAlign w:val="bottom"/>
            <w:gridSpan w:val="10"/>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12">
              <w:r>
                <w:rPr>
                  <w:rFonts w:ascii="Arial" w:cs="Arial" w:eastAsia="Arial" w:hAnsi="Arial"/>
                  <w:sz w:val="16"/>
                  <w:szCs w:val="16"/>
                  <w:color w:val="0000EE"/>
                </w:rPr>
                <w:t>National Association (as Ex-Im Facility Agent) and the Export-Import Bank</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0000EE"/>
            </w:tcBorders>
            <w:gridSpan w:val="4"/>
          </w:tcPr>
          <w:p>
            <w:pPr>
              <w:spacing w:after="0" w:line="169" w:lineRule="exact"/>
              <w:rPr>
                <w:rFonts w:ascii="Arial" w:cs="Arial" w:eastAsia="Arial" w:hAnsi="Arial"/>
                <w:sz w:val="16"/>
                <w:szCs w:val="16"/>
                <w:color w:val="0000EE"/>
                <w:w w:val="99"/>
              </w:rPr>
            </w:pPr>
            <w:hyperlink r:id="rId112">
              <w:r>
                <w:rPr>
                  <w:rFonts w:ascii="Arial" w:cs="Arial" w:eastAsia="Arial" w:hAnsi="Arial"/>
                  <w:sz w:val="16"/>
                  <w:szCs w:val="16"/>
                  <w:color w:val="0000EE"/>
                  <w:w w:val="99"/>
                </w:rPr>
                <w:t>of the United States</w:t>
              </w:r>
            </w:hyperlink>
          </w:p>
        </w:tc>
        <w:tc>
          <w:tcPr>
            <w:tcW w:w="3940" w:type="dxa"/>
            <w:vAlign w:val="bottom"/>
            <w:gridSpan w:val="26"/>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220"/>
              <w:spacing w:after="0"/>
              <w:rPr>
                <w:sz w:val="20"/>
                <w:szCs w:val="20"/>
                <w:color w:val="auto"/>
              </w:rPr>
            </w:pPr>
            <w:r>
              <w:rPr>
                <w:rFonts w:ascii="Arial" w:cs="Arial" w:eastAsia="Arial" w:hAnsi="Arial"/>
                <w:sz w:val="16"/>
                <w:szCs w:val="16"/>
                <w:color w:val="auto"/>
              </w:rPr>
              <w:t>10.11.4</w:t>
            </w:r>
          </w:p>
        </w:tc>
        <w:tc>
          <w:tcPr>
            <w:tcW w:w="100" w:type="dxa"/>
            <w:vAlign w:val="bottom"/>
          </w:tcPr>
          <w:p>
            <w:pPr>
              <w:spacing w:after="0"/>
              <w:rPr>
                <w:sz w:val="24"/>
                <w:szCs w:val="24"/>
                <w:color w:val="auto"/>
              </w:rPr>
            </w:pPr>
          </w:p>
        </w:tc>
        <w:tc>
          <w:tcPr>
            <w:tcW w:w="5360" w:type="dxa"/>
            <w:vAlign w:val="bottom"/>
            <w:tcBorders>
              <w:bottom w:val="single" w:sz="8" w:color="0000EE"/>
            </w:tcBorders>
            <w:gridSpan w:val="30"/>
          </w:tcPr>
          <w:p>
            <w:pPr>
              <w:spacing w:after="0"/>
              <w:rPr>
                <w:rFonts w:ascii="Arial" w:cs="Arial" w:eastAsia="Arial" w:hAnsi="Arial"/>
                <w:sz w:val="16"/>
                <w:szCs w:val="16"/>
                <w:color w:val="0000EE"/>
              </w:rPr>
            </w:pPr>
            <w:hyperlink r:id="rId113">
              <w:r>
                <w:rPr>
                  <w:rFonts w:ascii="Arial" w:cs="Arial" w:eastAsia="Arial" w:hAnsi="Arial"/>
                  <w:sz w:val="16"/>
                  <w:szCs w:val="16"/>
                  <w:color w:val="0000EE"/>
                </w:rPr>
                <w:t>Fourth Amendment to Credit Agreement, dated as of July 17, 2018, by and</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30"/>
          </w:tcPr>
          <w:p>
            <w:pPr>
              <w:spacing w:after="0" w:line="169" w:lineRule="exact"/>
              <w:rPr>
                <w:rFonts w:ascii="Arial" w:cs="Arial" w:eastAsia="Arial" w:hAnsi="Arial"/>
                <w:sz w:val="16"/>
                <w:szCs w:val="16"/>
                <w:color w:val="0000EE"/>
              </w:rPr>
            </w:pPr>
            <w:hyperlink r:id="rId113">
              <w:r>
                <w:rPr>
                  <w:rFonts w:ascii="Arial" w:cs="Arial" w:eastAsia="Arial" w:hAnsi="Arial"/>
                  <w:sz w:val="16"/>
                  <w:szCs w:val="16"/>
                  <w:color w:val="0000EE"/>
                </w:rPr>
                <w:t>among Viasat Technologies Limited, Viasat, Inc., JPMorgan Chase Bank,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260" w:type="dxa"/>
            <w:vAlign w:val="bottom"/>
            <w:gridSpan w:val="8"/>
            <w:shd w:val="clear" w:color="auto" w:fill="0000EE"/>
          </w:tcPr>
          <w:p>
            <w:pPr>
              <w:spacing w:after="0" w:line="20" w:lineRule="exact"/>
              <w:rPr>
                <w:sz w:val="1"/>
                <w:szCs w:val="1"/>
                <w:color w:val="auto"/>
              </w:rPr>
            </w:pPr>
          </w:p>
        </w:tc>
        <w:tc>
          <w:tcPr>
            <w:tcW w:w="320" w:type="dxa"/>
            <w:vAlign w:val="bottom"/>
            <w:gridSpan w:val="10"/>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13">
              <w:r>
                <w:rPr>
                  <w:rFonts w:ascii="Arial" w:cs="Arial" w:eastAsia="Arial" w:hAnsi="Arial"/>
                  <w:sz w:val="16"/>
                  <w:szCs w:val="16"/>
                  <w:color w:val="0000EE"/>
                </w:rPr>
                <w:t>National Association (as Ex-Im Facility Agent) and the Export-Import Bank</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r:id="rId113">
              <w:r>
                <w:rPr>
                  <w:rFonts w:ascii="Arial" w:cs="Arial" w:eastAsia="Arial" w:hAnsi="Arial"/>
                  <w:sz w:val="16"/>
                  <w:szCs w:val="16"/>
                  <w:color w:val="0000EE"/>
                </w:rPr>
                <w:t>of the United States</w:t>
              </w:r>
            </w:hyperlink>
          </w:p>
        </w:tc>
        <w:tc>
          <w:tcPr>
            <w:tcW w:w="392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220"/>
              <w:spacing w:after="0"/>
              <w:rPr>
                <w:sz w:val="20"/>
                <w:szCs w:val="20"/>
                <w:color w:val="auto"/>
              </w:rPr>
            </w:pPr>
            <w:r>
              <w:rPr>
                <w:rFonts w:ascii="Arial" w:cs="Arial" w:eastAsia="Arial" w:hAnsi="Arial"/>
                <w:sz w:val="16"/>
                <w:szCs w:val="16"/>
                <w:color w:val="auto"/>
              </w:rPr>
              <w:t>10.11.5</w:t>
            </w:r>
          </w:p>
        </w:tc>
        <w:tc>
          <w:tcPr>
            <w:tcW w:w="100" w:type="dxa"/>
            <w:vAlign w:val="bottom"/>
          </w:tcPr>
          <w:p>
            <w:pPr>
              <w:spacing w:after="0"/>
              <w:rPr>
                <w:sz w:val="24"/>
                <w:szCs w:val="24"/>
                <w:color w:val="auto"/>
              </w:rPr>
            </w:pPr>
          </w:p>
        </w:tc>
        <w:tc>
          <w:tcPr>
            <w:tcW w:w="5360" w:type="dxa"/>
            <w:vAlign w:val="bottom"/>
            <w:gridSpan w:val="30"/>
          </w:tcPr>
          <w:p>
            <w:pPr>
              <w:spacing w:after="0"/>
              <w:rPr>
                <w:rFonts w:ascii="Arial" w:cs="Arial" w:eastAsia="Arial" w:hAnsi="Arial"/>
                <w:sz w:val="16"/>
                <w:szCs w:val="16"/>
                <w:color w:val="0000EE"/>
              </w:rPr>
            </w:pPr>
            <w:hyperlink r:id="rId114">
              <w:r>
                <w:rPr>
                  <w:rFonts w:ascii="Arial" w:cs="Arial" w:eastAsia="Arial" w:hAnsi="Arial"/>
                  <w:sz w:val="16"/>
                  <w:szCs w:val="16"/>
                  <w:color w:val="0000EE"/>
                </w:rPr>
                <w:t>Fifth Amendment Agreement, dated as of February 28, 2019, by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260" w:type="dxa"/>
            <w:vAlign w:val="bottom"/>
            <w:gridSpan w:val="8"/>
            <w:shd w:val="clear" w:color="auto" w:fill="0000EE"/>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30"/>
          </w:tcPr>
          <w:p>
            <w:pPr>
              <w:spacing w:after="0" w:line="169" w:lineRule="exact"/>
              <w:rPr>
                <w:rFonts w:ascii="Arial" w:cs="Arial" w:eastAsia="Arial" w:hAnsi="Arial"/>
                <w:sz w:val="16"/>
                <w:szCs w:val="16"/>
                <w:color w:val="0000EE"/>
              </w:rPr>
            </w:pPr>
            <w:hyperlink r:id="rId114">
              <w:r>
                <w:rPr>
                  <w:rFonts w:ascii="Arial" w:cs="Arial" w:eastAsia="Arial" w:hAnsi="Arial"/>
                  <w:sz w:val="16"/>
                  <w:szCs w:val="16"/>
                  <w:color w:val="0000EE"/>
                </w:rPr>
                <w:t>among Viasat Technologies Limited, Viasat, Inc., JPMorgan Chase Bank,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580" w:type="dxa"/>
            <w:vAlign w:val="bottom"/>
            <w:gridSpan w:val="18"/>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14">
              <w:r>
                <w:rPr>
                  <w:rFonts w:ascii="Arial" w:cs="Arial" w:eastAsia="Arial" w:hAnsi="Arial"/>
                  <w:sz w:val="16"/>
                  <w:szCs w:val="16"/>
                  <w:color w:val="0000EE"/>
                </w:rPr>
                <w:t>National Association (as Ex-Im Facility Agent) and the Export-Import Bank</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0000EE"/>
            </w:tcBorders>
            <w:gridSpan w:val="4"/>
          </w:tcPr>
          <w:p>
            <w:pPr>
              <w:spacing w:after="0" w:line="169" w:lineRule="exact"/>
              <w:rPr>
                <w:rFonts w:ascii="Arial" w:cs="Arial" w:eastAsia="Arial" w:hAnsi="Arial"/>
                <w:sz w:val="16"/>
                <w:szCs w:val="16"/>
                <w:color w:val="0000EE"/>
                <w:w w:val="99"/>
              </w:rPr>
            </w:pPr>
            <w:hyperlink r:id="rId114">
              <w:r>
                <w:rPr>
                  <w:rFonts w:ascii="Arial" w:cs="Arial" w:eastAsia="Arial" w:hAnsi="Arial"/>
                  <w:sz w:val="16"/>
                  <w:szCs w:val="16"/>
                  <w:color w:val="0000EE"/>
                  <w:w w:val="99"/>
                </w:rPr>
                <w:t>of the United States</w:t>
              </w:r>
            </w:hyperlink>
          </w:p>
        </w:tc>
        <w:tc>
          <w:tcPr>
            <w:tcW w:w="3940" w:type="dxa"/>
            <w:vAlign w:val="bottom"/>
            <w:gridSpan w:val="26"/>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920" w:type="dxa"/>
            <w:vAlign w:val="bottom"/>
          </w:tcPr>
          <w:p>
            <w:pPr>
              <w:ind w:left="22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4"/>
                <w:szCs w:val="24"/>
                <w:color w:val="auto"/>
              </w:rPr>
            </w:pPr>
          </w:p>
        </w:tc>
        <w:tc>
          <w:tcPr>
            <w:tcW w:w="5360" w:type="dxa"/>
            <w:vAlign w:val="bottom"/>
            <w:gridSpan w:val="30"/>
          </w:tcPr>
          <w:p>
            <w:pPr>
              <w:spacing w:after="0"/>
              <w:rPr>
                <w:rFonts w:ascii="Arial" w:cs="Arial" w:eastAsia="Arial" w:hAnsi="Arial"/>
                <w:sz w:val="16"/>
                <w:szCs w:val="16"/>
                <w:u w:val="single" w:color="auto"/>
                <w:color w:val="0000EE"/>
              </w:rPr>
            </w:pPr>
            <w:hyperlink w:anchor="page122">
              <w:r>
                <w:rPr>
                  <w:rFonts w:ascii="Arial" w:cs="Arial" w:eastAsia="Arial" w:hAnsi="Arial"/>
                  <w:sz w:val="16"/>
                  <w:szCs w:val="16"/>
                  <w:u w:val="single" w:color="auto"/>
                  <w:color w:val="0000EE"/>
                </w:rPr>
                <w:t>Subsidiaries</w:t>
              </w:r>
            </w:hyperlink>
          </w:p>
        </w:tc>
        <w:tc>
          <w:tcPr>
            <w:tcW w:w="0" w:type="dxa"/>
            <w:vAlign w:val="bottom"/>
          </w:tcPr>
          <w:p>
            <w:pPr>
              <w:spacing w:after="0"/>
              <w:rPr>
                <w:sz w:val="1"/>
                <w:szCs w:val="1"/>
                <w:color w:val="auto"/>
              </w:rPr>
            </w:pPr>
          </w:p>
        </w:tc>
      </w:tr>
      <w:tr>
        <w:trPr>
          <w:trHeight w:val="276"/>
        </w:trPr>
        <w:tc>
          <w:tcPr>
            <w:tcW w:w="920" w:type="dxa"/>
            <w:vAlign w:val="bottom"/>
            <w:vMerge w:val="restart"/>
          </w:tcPr>
          <w:p>
            <w:pPr>
              <w:ind w:left="24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4"/>
                <w:szCs w:val="24"/>
                <w:color w:val="auto"/>
              </w:rPr>
            </w:pPr>
          </w:p>
        </w:tc>
        <w:tc>
          <w:tcPr>
            <w:tcW w:w="5260" w:type="dxa"/>
            <w:vAlign w:val="bottom"/>
            <w:tcBorders>
              <w:bottom w:val="single" w:sz="8" w:color="0000EE"/>
            </w:tcBorders>
            <w:gridSpan w:val="26"/>
          </w:tcPr>
          <w:p>
            <w:pPr>
              <w:spacing w:after="0"/>
              <w:rPr>
                <w:rFonts w:ascii="Arial" w:cs="Arial" w:eastAsia="Arial" w:hAnsi="Arial"/>
                <w:sz w:val="16"/>
                <w:szCs w:val="16"/>
                <w:color w:val="0000EE"/>
              </w:rPr>
            </w:pPr>
            <w:hyperlink w:anchor="page123">
              <w:r>
                <w:rPr>
                  <w:rFonts w:ascii="Arial" w:cs="Arial" w:eastAsia="Arial" w:hAnsi="Arial"/>
                  <w:sz w:val="16"/>
                  <w:szCs w:val="16"/>
                  <w:color w:val="0000EE"/>
                </w:rPr>
                <w:t>Consent of PricewaterhouseCoopers LLP, Independent Registered Public</w:t>
              </w:r>
            </w:hyperlink>
          </w:p>
        </w:tc>
        <w:tc>
          <w:tcPr>
            <w:tcW w:w="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360" w:type="dxa"/>
            <w:vAlign w:val="bottom"/>
            <w:gridSpan w:val="30"/>
            <w:vMerge w:val="restart"/>
          </w:tcPr>
          <w:p>
            <w:pPr>
              <w:spacing w:after="0" w:line="169" w:lineRule="exact"/>
              <w:rPr>
                <w:rFonts w:ascii="Arial" w:cs="Arial" w:eastAsia="Arial" w:hAnsi="Arial"/>
                <w:sz w:val="16"/>
                <w:szCs w:val="16"/>
                <w:color w:val="0000EE"/>
              </w:rPr>
            </w:pPr>
            <w:hyperlink w:anchor="page123">
              <w:r>
                <w:rPr>
                  <w:rFonts w:ascii="Arial" w:cs="Arial" w:eastAsia="Arial" w:hAnsi="Arial"/>
                  <w:sz w:val="16"/>
                  <w:szCs w:val="16"/>
                  <w:color w:val="0000EE"/>
                </w:rPr>
                <w:t>Accounting Firm</w:t>
              </w:r>
            </w:hyperlink>
          </w:p>
        </w:tc>
        <w:tc>
          <w:tcPr>
            <w:tcW w:w="0" w:type="dxa"/>
            <w:vAlign w:val="bottom"/>
          </w:tcPr>
          <w:p>
            <w:pPr>
              <w:spacing w:after="0"/>
              <w:rPr>
                <w:sz w:val="1"/>
                <w:szCs w:val="1"/>
                <w:color w:val="auto"/>
              </w:rPr>
            </w:pPr>
          </w:p>
        </w:tc>
      </w:tr>
      <w:tr>
        <w:trPr>
          <w:trHeight w:val="114"/>
        </w:trPr>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360" w:type="dxa"/>
            <w:vAlign w:val="bottom"/>
            <w:gridSpan w:val="3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80" w:type="dxa"/>
            <w:vAlign w:val="bottom"/>
            <w:gridSpan w:val="2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20" w:type="dxa"/>
            <w:vAlign w:val="bottom"/>
          </w:tcPr>
          <w:p>
            <w:pPr>
              <w:ind w:left="22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4"/>
                <w:szCs w:val="24"/>
                <w:color w:val="auto"/>
              </w:rPr>
            </w:pPr>
          </w:p>
        </w:tc>
        <w:tc>
          <w:tcPr>
            <w:tcW w:w="5360" w:type="dxa"/>
            <w:vAlign w:val="bottom"/>
            <w:gridSpan w:val="30"/>
          </w:tcPr>
          <w:p>
            <w:pP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Power of Attorney (see signature page)</w:t>
              </w:r>
            </w:hyperlink>
          </w:p>
        </w:tc>
        <w:tc>
          <w:tcPr>
            <w:tcW w:w="0" w:type="dxa"/>
            <w:vAlign w:val="bottom"/>
          </w:tcPr>
          <w:p>
            <w:pPr>
              <w:spacing w:after="0"/>
              <w:rPr>
                <w:sz w:val="1"/>
                <w:szCs w:val="1"/>
                <w:color w:val="auto"/>
              </w:rPr>
            </w:pPr>
          </w:p>
        </w:tc>
      </w:tr>
      <w:tr>
        <w:trPr>
          <w:trHeight w:val="276"/>
        </w:trPr>
        <w:tc>
          <w:tcPr>
            <w:tcW w:w="920" w:type="dxa"/>
            <w:vAlign w:val="bottom"/>
          </w:tcPr>
          <w:p>
            <w:pPr>
              <w:ind w:left="2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5360" w:type="dxa"/>
            <w:vAlign w:val="bottom"/>
            <w:gridSpan w:val="30"/>
          </w:tcPr>
          <w:p>
            <w:pPr>
              <w:spacing w:after="0"/>
              <w:rPr>
                <w:rFonts w:ascii="Arial" w:cs="Arial" w:eastAsia="Arial" w:hAnsi="Arial"/>
                <w:sz w:val="16"/>
                <w:szCs w:val="16"/>
                <w:color w:val="0000EE"/>
              </w:rPr>
            </w:pPr>
            <w:hyperlink w:anchor="page124">
              <w:r>
                <w:rPr>
                  <w:rFonts w:ascii="Arial" w:cs="Arial" w:eastAsia="Arial" w:hAnsi="Arial"/>
                  <w:sz w:val="16"/>
                  <w:szCs w:val="16"/>
                  <w:color w:val="0000EE"/>
                </w:rPr>
                <w:t>Certification Pursuant to Section 302 of the Sarbanes-Oxley Act of 2002 of</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w w:val="99"/>
              </w:rPr>
            </w:pPr>
            <w:hyperlink w:anchor="page124">
              <w:r>
                <w:rPr>
                  <w:rFonts w:ascii="Arial" w:cs="Arial" w:eastAsia="Arial" w:hAnsi="Arial"/>
                  <w:sz w:val="16"/>
                  <w:szCs w:val="16"/>
                  <w:color w:val="0000EE"/>
                  <w:w w:val="99"/>
                </w:rPr>
                <w:t>Chief Executive Officer</w:t>
              </w:r>
            </w:hyperlink>
          </w:p>
        </w:tc>
        <w:tc>
          <w:tcPr>
            <w:tcW w:w="3680" w:type="dxa"/>
            <w:vAlign w:val="bottom"/>
            <w:tcBorders>
              <w:top w:val="single" w:sz="8" w:color="0000EE"/>
            </w:tcBorders>
            <w:gridSpan w:val="2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920" w:type="dxa"/>
            <w:vAlign w:val="bottom"/>
          </w:tcPr>
          <w:p>
            <w:pPr>
              <w:spacing w:after="0"/>
              <w:rPr>
                <w:sz w:val="24"/>
                <w:szCs w:val="24"/>
                <w:color w:val="auto"/>
              </w:rPr>
            </w:pPr>
          </w:p>
        </w:tc>
        <w:tc>
          <w:tcPr>
            <w:tcW w:w="4960" w:type="dxa"/>
            <w:vAlign w:val="bottom"/>
            <w:gridSpan w:val="14"/>
          </w:tcPr>
          <w:p>
            <w:pPr>
              <w:jc w:val="right"/>
              <w:ind w:right="16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Incorporated by Reference</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Filed or</w:t>
            </w:r>
          </w:p>
        </w:tc>
        <w:tc>
          <w:tcPr>
            <w:tcW w:w="0" w:type="dxa"/>
            <w:vAlign w:val="bottom"/>
          </w:tcPr>
          <w:p>
            <w:pPr>
              <w:spacing w:after="0"/>
              <w:rPr>
                <w:sz w:val="1"/>
                <w:szCs w:val="1"/>
                <w:color w:val="auto"/>
              </w:rPr>
            </w:pPr>
          </w:p>
        </w:tc>
      </w:tr>
      <w:tr>
        <w:trPr>
          <w:trHeight w:val="39"/>
        </w:trPr>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Form</w:t>
            </w:r>
          </w:p>
        </w:tc>
        <w:tc>
          <w:tcPr>
            <w:tcW w:w="14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File No.</w:t>
            </w:r>
          </w:p>
        </w:tc>
        <w:tc>
          <w:tcPr>
            <w:tcW w:w="140" w:type="dxa"/>
            <w:vAlign w:val="bottom"/>
          </w:tcPr>
          <w:p>
            <w:pPr>
              <w:spacing w:after="0"/>
              <w:rPr>
                <w:sz w:val="10"/>
                <w:szCs w:val="10"/>
                <w:color w:val="auto"/>
              </w:rPr>
            </w:pPr>
          </w:p>
        </w:tc>
        <w:tc>
          <w:tcPr>
            <w:tcW w:w="54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Exhibit</w:t>
            </w:r>
          </w:p>
        </w:tc>
        <w:tc>
          <w:tcPr>
            <w:tcW w:w="140" w:type="dxa"/>
            <w:vAlign w:val="bottom"/>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Filing Date</w:t>
            </w:r>
          </w:p>
        </w:tc>
        <w:tc>
          <w:tcPr>
            <w:tcW w:w="14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Furnished</w:t>
            </w:r>
          </w:p>
        </w:tc>
        <w:tc>
          <w:tcPr>
            <w:tcW w:w="0" w:type="dxa"/>
            <w:vAlign w:val="bottom"/>
          </w:tcPr>
          <w:p>
            <w:pPr>
              <w:spacing w:after="0"/>
              <w:rPr>
                <w:sz w:val="1"/>
                <w:szCs w:val="1"/>
                <w:color w:val="auto"/>
              </w:rPr>
            </w:pPr>
          </w:p>
        </w:tc>
      </w:tr>
      <w:tr>
        <w:trPr>
          <w:trHeight w:val="147"/>
        </w:trPr>
        <w:tc>
          <w:tcPr>
            <w:tcW w:w="8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Herewith</w:t>
            </w:r>
          </w:p>
        </w:tc>
        <w:tc>
          <w:tcPr>
            <w:tcW w:w="0" w:type="dxa"/>
            <w:vAlign w:val="bottom"/>
          </w:tcPr>
          <w:p>
            <w:pPr>
              <w:spacing w:after="0"/>
              <w:rPr>
                <w:sz w:val="1"/>
                <w:szCs w:val="1"/>
                <w:color w:val="auto"/>
              </w:rPr>
            </w:pPr>
          </w:p>
        </w:tc>
      </w:tr>
      <w:tr>
        <w:trPr>
          <w:trHeight w:val="477"/>
        </w:trPr>
        <w:tc>
          <w:tcPr>
            <w:tcW w:w="840" w:type="dxa"/>
            <w:vAlign w:val="bottom"/>
          </w:tcPr>
          <w:p>
            <w:pPr>
              <w:jc w:val="center"/>
              <w:spacing w:after="0"/>
              <w:rPr>
                <w:sz w:val="20"/>
                <w:szCs w:val="20"/>
                <w:color w:val="auto"/>
              </w:rPr>
            </w:pPr>
            <w:r>
              <w:rPr>
                <w:rFonts w:ascii="Arial" w:cs="Arial" w:eastAsia="Arial" w:hAnsi="Arial"/>
                <w:sz w:val="16"/>
                <w:szCs w:val="16"/>
                <w:color w:val="auto"/>
              </w:rPr>
              <w:t>10-K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680" w:type="dxa"/>
            <w:vAlign w:val="bottom"/>
            <w:gridSpan w:val="2"/>
          </w:tcPr>
          <w:p>
            <w:pPr>
              <w:jc w:val="center"/>
              <w:ind w:left="39"/>
              <w:spacing w:after="0"/>
              <w:rPr>
                <w:sz w:val="20"/>
                <w:szCs w:val="20"/>
                <w:color w:val="auto"/>
              </w:rPr>
            </w:pPr>
            <w:r>
              <w:rPr>
                <w:rFonts w:ascii="Arial" w:cs="Arial" w:eastAsia="Arial" w:hAnsi="Arial"/>
                <w:sz w:val="16"/>
                <w:szCs w:val="16"/>
                <w:color w:val="auto"/>
              </w:rPr>
              <w:t>10.7</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05/26/2015</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68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08/04/2010</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68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11/26/2013</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680" w:type="dxa"/>
            <w:vAlign w:val="bottom"/>
            <w:gridSpan w:val="2"/>
          </w:tcPr>
          <w:p>
            <w:pPr>
              <w:jc w:val="center"/>
              <w:ind w:left="39"/>
              <w:spacing w:after="0"/>
              <w:rPr>
                <w:sz w:val="20"/>
                <w:szCs w:val="20"/>
                <w:color w:val="auto"/>
              </w:rPr>
            </w:pPr>
            <w:r>
              <w:rPr>
                <w:rFonts w:ascii="Arial" w:cs="Arial" w:eastAsia="Arial" w:hAnsi="Arial"/>
                <w:sz w:val="16"/>
                <w:szCs w:val="16"/>
                <w:color w:val="auto"/>
              </w:rPr>
              <w:t>10.2</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03/13/2015</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8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68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05/24/2016</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840" w:type="dxa"/>
            <w:vAlign w:val="bottom"/>
          </w:tcPr>
          <w:p>
            <w:pPr>
              <w:jc w:val="center"/>
              <w:spacing w:after="0"/>
              <w:rPr>
                <w:sz w:val="20"/>
                <w:szCs w:val="20"/>
                <w:color w:val="auto"/>
              </w:rPr>
            </w:pPr>
            <w:r>
              <w:rPr>
                <w:rFonts w:ascii="Arial" w:cs="Arial" w:eastAsia="Arial" w:hAnsi="Arial"/>
                <w:sz w:val="16"/>
                <w:szCs w:val="16"/>
                <w:color w:val="auto"/>
              </w:rPr>
              <w:t>10-K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680" w:type="dxa"/>
            <w:vAlign w:val="bottom"/>
            <w:gridSpan w:val="2"/>
          </w:tcPr>
          <w:p>
            <w:pPr>
              <w:jc w:val="center"/>
              <w:ind w:left="59"/>
              <w:spacing w:after="0"/>
              <w:rPr>
                <w:sz w:val="20"/>
                <w:szCs w:val="20"/>
                <w:color w:val="auto"/>
              </w:rPr>
            </w:pPr>
            <w:r>
              <w:rPr>
                <w:rFonts w:ascii="Arial" w:cs="Arial" w:eastAsia="Arial" w:hAnsi="Arial"/>
                <w:sz w:val="16"/>
                <w:szCs w:val="16"/>
                <w:color w:val="auto"/>
              </w:rPr>
              <w:t>10.10.3</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05/30/2018</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8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68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01/22/2019</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8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68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03/13/2015</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840" w:type="dxa"/>
            <w:vAlign w:val="bottom"/>
          </w:tcPr>
          <w:p>
            <w:pPr>
              <w:jc w:val="center"/>
              <w:spacing w:after="0"/>
              <w:rPr>
                <w:sz w:val="20"/>
                <w:szCs w:val="20"/>
                <w:color w:val="auto"/>
              </w:rPr>
            </w:pPr>
            <w:r>
              <w:rPr>
                <w:rFonts w:ascii="Arial" w:cs="Arial" w:eastAsia="Arial" w:hAnsi="Arial"/>
                <w:sz w:val="16"/>
                <w:szCs w:val="16"/>
                <w:color w:val="auto"/>
              </w:rPr>
              <w:t>10-Q</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68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08/10/2015</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7"/>
        </w:trPr>
        <w:tc>
          <w:tcPr>
            <w:tcW w:w="8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68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03/24/2016</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8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68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10/12/2016</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8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68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07/23/2018</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8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68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02/28/2019</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405"/>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6380" w:space="140"/>
            <w:col w:w="4720"/>
          </w:cols>
          <w:pgMar w:left="320" w:top="128" w:right="339" w:bottom="1440" w:gutter="0" w:footer="0" w:header="0"/>
        </w:sectPr>
      </w:pPr>
    </w:p>
    <w:bookmarkStart w:id="71" w:name="page72"/>
    <w:bookmarkEnd w:id="71"/>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40" w:type="dxa"/>
            <w:vAlign w:val="bottom"/>
          </w:tcPr>
          <w:p>
            <w:pPr>
              <w:ind w:left="280"/>
              <w:spacing w:after="0"/>
              <w:rPr>
                <w:sz w:val="20"/>
                <w:szCs w:val="20"/>
                <w:color w:val="auto"/>
              </w:rPr>
            </w:pPr>
            <w:r>
              <w:rPr>
                <w:rFonts w:ascii="Arial" w:cs="Arial" w:eastAsia="Arial" w:hAnsi="Arial"/>
                <w:sz w:val="12"/>
                <w:szCs w:val="12"/>
                <w:b w:val="1"/>
                <w:bCs w:val="1"/>
                <w:color w:val="auto"/>
              </w:rPr>
              <w:t>Exhibit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gridSpan w:val="3"/>
          </w:tcPr>
          <w:p>
            <w:pPr>
              <w:ind w:left="620"/>
              <w:spacing w:after="0"/>
              <w:rPr>
                <w:sz w:val="20"/>
                <w:szCs w:val="20"/>
                <w:color w:val="auto"/>
              </w:rPr>
            </w:pPr>
            <w:r>
              <w:rPr>
                <w:rFonts w:ascii="Arial" w:cs="Arial" w:eastAsia="Arial" w:hAnsi="Arial"/>
                <w:sz w:val="12"/>
                <w:szCs w:val="12"/>
                <w:b w:val="1"/>
                <w:bCs w:val="1"/>
                <w:color w:val="auto"/>
              </w:rPr>
              <w:t>Exhibit Description</w:t>
            </w:r>
          </w:p>
        </w:tc>
      </w:tr>
      <w:tr>
        <w:trPr>
          <w:trHeight w:val="442"/>
        </w:trPr>
        <w:tc>
          <w:tcPr>
            <w:tcW w:w="940" w:type="dxa"/>
            <w:vAlign w:val="bottom"/>
          </w:tcPr>
          <w:p>
            <w:pPr>
              <w:ind w:left="2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5340" w:type="dxa"/>
            <w:vAlign w:val="bottom"/>
            <w:tcBorders>
              <w:bottom w:val="single" w:sz="8" w:color="0000EE"/>
            </w:tcBorders>
            <w:gridSpan w:val="4"/>
          </w:tcPr>
          <w:p>
            <w:pPr>
              <w:spacing w:after="0"/>
              <w:rPr>
                <w:rFonts w:ascii="Arial" w:cs="Arial" w:eastAsia="Arial" w:hAnsi="Arial"/>
                <w:sz w:val="16"/>
                <w:szCs w:val="16"/>
                <w:color w:val="0000EE"/>
              </w:rPr>
            </w:pPr>
            <w:hyperlink w:anchor="page125">
              <w:r>
                <w:rPr>
                  <w:rFonts w:ascii="Arial" w:cs="Arial" w:eastAsia="Arial" w:hAnsi="Arial"/>
                  <w:sz w:val="16"/>
                  <w:szCs w:val="16"/>
                  <w:color w:val="0000EE"/>
                </w:rPr>
                <w:t>Certification Pursuant to Section 302 of the Sarbanes-Oxley Act of 2002 of</w:t>
              </w:r>
            </w:hyperlink>
          </w:p>
        </w:tc>
        <w:tc>
          <w:tcPr>
            <w:tcW w:w="120" w:type="dxa"/>
            <w:vAlign w:val="bottom"/>
          </w:tcPr>
          <w:p>
            <w:pPr>
              <w:spacing w:after="0"/>
              <w:rPr>
                <w:sz w:val="24"/>
                <w:szCs w:val="24"/>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bottom w:val="single" w:sz="8" w:color="0000EE"/>
            </w:tcBorders>
            <w:gridSpan w:val="2"/>
          </w:tcPr>
          <w:p>
            <w:pPr>
              <w:spacing w:after="0" w:line="169" w:lineRule="exact"/>
              <w:rPr>
                <w:rFonts w:ascii="Arial" w:cs="Arial" w:eastAsia="Arial" w:hAnsi="Arial"/>
                <w:sz w:val="16"/>
                <w:szCs w:val="16"/>
                <w:color w:val="0000EE"/>
              </w:rPr>
            </w:pPr>
            <w:hyperlink w:anchor="page125">
              <w:r>
                <w:rPr>
                  <w:rFonts w:ascii="Arial" w:cs="Arial" w:eastAsia="Arial" w:hAnsi="Arial"/>
                  <w:sz w:val="16"/>
                  <w:szCs w:val="16"/>
                  <w:color w:val="0000EE"/>
                </w:rPr>
                <w:t>Chief Financial Officer</w:t>
              </w:r>
            </w:hyperlink>
          </w:p>
        </w:tc>
        <w:tc>
          <w:tcPr>
            <w:tcW w:w="3860" w:type="dxa"/>
            <w:vAlign w:val="bottom"/>
            <w:gridSpan w:val="3"/>
          </w:tcPr>
          <w:p>
            <w:pPr>
              <w:spacing w:after="0"/>
              <w:rPr>
                <w:sz w:val="14"/>
                <w:szCs w:val="14"/>
                <w:color w:val="auto"/>
              </w:rPr>
            </w:pPr>
          </w:p>
        </w:tc>
      </w:tr>
      <w:tr>
        <w:trPr>
          <w:trHeight w:val="290"/>
        </w:trPr>
        <w:tc>
          <w:tcPr>
            <w:tcW w:w="940" w:type="dxa"/>
            <w:vAlign w:val="bottom"/>
          </w:tcPr>
          <w:p>
            <w:pPr>
              <w:ind w:left="2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5340" w:type="dxa"/>
            <w:vAlign w:val="bottom"/>
            <w:tcBorders>
              <w:bottom w:val="single" w:sz="8" w:color="0000EE"/>
            </w:tcBorders>
            <w:gridSpan w:val="4"/>
          </w:tcPr>
          <w:p>
            <w:pPr>
              <w:spacing w:after="0"/>
              <w:rPr>
                <w:rFonts w:ascii="Arial" w:cs="Arial" w:eastAsia="Arial" w:hAnsi="Arial"/>
                <w:sz w:val="16"/>
                <w:szCs w:val="16"/>
                <w:color w:val="0000EE"/>
              </w:rPr>
            </w:pPr>
            <w:hyperlink w:anchor="page126">
              <w:r>
                <w:rPr>
                  <w:rFonts w:ascii="Arial" w:cs="Arial" w:eastAsia="Arial" w:hAnsi="Arial"/>
                  <w:sz w:val="16"/>
                  <w:szCs w:val="16"/>
                  <w:color w:val="0000EE"/>
                </w:rPr>
                <w:t>Certifications Pursuant to 18 U.S.C. Section 1350, as Adopted Pursuant to</w:t>
              </w:r>
            </w:hyperlink>
          </w:p>
        </w:tc>
        <w:tc>
          <w:tcPr>
            <w:tcW w:w="120" w:type="dxa"/>
            <w:vAlign w:val="bottom"/>
          </w:tcPr>
          <w:p>
            <w:pPr>
              <w:spacing w:after="0"/>
              <w:rPr>
                <w:sz w:val="24"/>
                <w:szCs w:val="24"/>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Borders>
              <w:bottom w:val="single" w:sz="8" w:color="0000EE"/>
            </w:tcBorders>
            <w:gridSpan w:val="3"/>
          </w:tcPr>
          <w:p>
            <w:pPr>
              <w:spacing w:after="0" w:line="169" w:lineRule="exact"/>
              <w:rPr>
                <w:rFonts w:ascii="Arial" w:cs="Arial" w:eastAsia="Arial" w:hAnsi="Arial"/>
                <w:sz w:val="16"/>
                <w:szCs w:val="16"/>
                <w:color w:val="0000EE"/>
              </w:rPr>
            </w:pPr>
            <w:hyperlink w:anchor="page126">
              <w:r>
                <w:rPr>
                  <w:rFonts w:ascii="Arial" w:cs="Arial" w:eastAsia="Arial" w:hAnsi="Arial"/>
                  <w:sz w:val="16"/>
                  <w:szCs w:val="16"/>
                  <w:color w:val="0000EE"/>
                </w:rPr>
                <w:t>Section 906 of the Sarbanes-Oxley Act of 2002</w:t>
              </w:r>
            </w:hyperlink>
          </w:p>
        </w:tc>
        <w:tc>
          <w:tcPr>
            <w:tcW w:w="2080" w:type="dxa"/>
            <w:vAlign w:val="bottom"/>
            <w:gridSpan w:val="2"/>
          </w:tcPr>
          <w:p>
            <w:pPr>
              <w:spacing w:after="0"/>
              <w:rPr>
                <w:sz w:val="14"/>
                <w:szCs w:val="14"/>
                <w:color w:val="auto"/>
              </w:rPr>
            </w:pPr>
          </w:p>
        </w:tc>
      </w:tr>
      <w:tr>
        <w:trPr>
          <w:trHeight w:val="319"/>
        </w:trPr>
        <w:tc>
          <w:tcPr>
            <w:tcW w:w="940" w:type="dxa"/>
            <w:vAlign w:val="bottom"/>
          </w:tcPr>
          <w:p>
            <w:pPr>
              <w:ind w:left="140"/>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24"/>
                <w:szCs w:val="24"/>
                <w:color w:val="auto"/>
              </w:rPr>
            </w:pPr>
          </w:p>
        </w:tc>
        <w:tc>
          <w:tcPr>
            <w:tcW w:w="5460" w:type="dxa"/>
            <w:vAlign w:val="bottom"/>
            <w:gridSpan w:val="5"/>
          </w:tcPr>
          <w:p>
            <w:pPr>
              <w:spacing w:after="0"/>
              <w:rPr>
                <w:sz w:val="20"/>
                <w:szCs w:val="20"/>
                <w:color w:val="auto"/>
              </w:rPr>
            </w:pPr>
            <w:r>
              <w:rPr>
                <w:rFonts w:ascii="Arial" w:cs="Arial" w:eastAsia="Arial" w:hAnsi="Arial"/>
                <w:sz w:val="16"/>
                <w:szCs w:val="16"/>
                <w:color w:val="auto"/>
              </w:rPr>
              <w:t>Inline XBRL Instance Document - the instance document does not appear in</w:t>
            </w:r>
          </w:p>
        </w:tc>
      </w:tr>
      <w:tr>
        <w:trPr>
          <w:trHeight w:val="189"/>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60" w:type="dxa"/>
            <w:vAlign w:val="bottom"/>
            <w:gridSpan w:val="5"/>
          </w:tcPr>
          <w:p>
            <w:pPr>
              <w:spacing w:after="0"/>
              <w:rPr>
                <w:sz w:val="20"/>
                <w:szCs w:val="20"/>
                <w:color w:val="auto"/>
              </w:rPr>
            </w:pPr>
            <w:r>
              <w:rPr>
                <w:rFonts w:ascii="Arial" w:cs="Arial" w:eastAsia="Arial" w:hAnsi="Arial"/>
                <w:sz w:val="16"/>
                <w:szCs w:val="16"/>
                <w:color w:val="auto"/>
              </w:rPr>
              <w:t>the Interactive Data File because its XBRL tags are embedded within the</w:t>
            </w:r>
          </w:p>
        </w:tc>
      </w:tr>
      <w:tr>
        <w:trPr>
          <w:trHeight w:val="195"/>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60" w:type="dxa"/>
            <w:vAlign w:val="bottom"/>
            <w:gridSpan w:val="5"/>
          </w:tcPr>
          <w:p>
            <w:pPr>
              <w:spacing w:after="0"/>
              <w:rPr>
                <w:sz w:val="20"/>
                <w:szCs w:val="20"/>
                <w:color w:val="auto"/>
              </w:rPr>
            </w:pPr>
            <w:r>
              <w:rPr>
                <w:rFonts w:ascii="Arial" w:cs="Arial" w:eastAsia="Arial" w:hAnsi="Arial"/>
                <w:sz w:val="16"/>
                <w:szCs w:val="16"/>
                <w:color w:val="auto"/>
              </w:rPr>
              <w:t>Inline XBRL document.</w:t>
            </w:r>
          </w:p>
        </w:tc>
      </w:tr>
      <w:tr>
        <w:trPr>
          <w:trHeight w:val="311"/>
        </w:trPr>
        <w:tc>
          <w:tcPr>
            <w:tcW w:w="940" w:type="dxa"/>
            <w:vAlign w:val="bottom"/>
          </w:tcPr>
          <w:p>
            <w:pPr>
              <w:ind w:left="140"/>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24"/>
                <w:szCs w:val="24"/>
                <w:color w:val="auto"/>
              </w:rPr>
            </w:pPr>
          </w:p>
        </w:tc>
        <w:tc>
          <w:tcPr>
            <w:tcW w:w="546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w:t>
            </w:r>
          </w:p>
        </w:tc>
      </w:tr>
      <w:tr>
        <w:trPr>
          <w:trHeight w:val="310"/>
        </w:trPr>
        <w:tc>
          <w:tcPr>
            <w:tcW w:w="940" w:type="dxa"/>
            <w:vAlign w:val="bottom"/>
          </w:tcPr>
          <w:p>
            <w:pPr>
              <w:ind w:left="140"/>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24"/>
                <w:szCs w:val="24"/>
                <w:color w:val="auto"/>
              </w:rPr>
            </w:pPr>
          </w:p>
        </w:tc>
        <w:tc>
          <w:tcPr>
            <w:tcW w:w="5460" w:type="dxa"/>
            <w:vAlign w:val="bottom"/>
            <w:gridSpan w:val="5"/>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311"/>
        </w:trPr>
        <w:tc>
          <w:tcPr>
            <w:tcW w:w="940" w:type="dxa"/>
            <w:vAlign w:val="bottom"/>
          </w:tcPr>
          <w:p>
            <w:pPr>
              <w:ind w:left="140"/>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24"/>
                <w:szCs w:val="24"/>
                <w:color w:val="auto"/>
              </w:rPr>
            </w:pPr>
          </w:p>
        </w:tc>
        <w:tc>
          <w:tcPr>
            <w:tcW w:w="546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w:t>
            </w:r>
          </w:p>
        </w:tc>
      </w:tr>
      <w:tr>
        <w:trPr>
          <w:trHeight w:val="310"/>
        </w:trPr>
        <w:tc>
          <w:tcPr>
            <w:tcW w:w="940" w:type="dxa"/>
            <w:vAlign w:val="bottom"/>
          </w:tcPr>
          <w:p>
            <w:pPr>
              <w:ind w:left="140"/>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24"/>
                <w:szCs w:val="24"/>
                <w:color w:val="auto"/>
              </w:rPr>
            </w:pPr>
          </w:p>
        </w:tc>
        <w:tc>
          <w:tcPr>
            <w:tcW w:w="5460" w:type="dxa"/>
            <w:vAlign w:val="bottom"/>
            <w:gridSpan w:val="5"/>
          </w:tcPr>
          <w:p>
            <w:pPr>
              <w:spacing w:after="0"/>
              <w:rPr>
                <w:sz w:val="20"/>
                <w:szCs w:val="20"/>
                <w:color w:val="auto"/>
              </w:rPr>
            </w:pPr>
            <w:r>
              <w:rPr>
                <w:rFonts w:ascii="Arial" w:cs="Arial" w:eastAsia="Arial" w:hAnsi="Arial"/>
                <w:sz w:val="16"/>
                <w:szCs w:val="16"/>
                <w:color w:val="auto"/>
              </w:rPr>
              <w:t>Inline XBRL Taxonomy Extension Labels Linkbase</w:t>
            </w:r>
          </w:p>
        </w:tc>
      </w:tr>
      <w:tr>
        <w:trPr>
          <w:trHeight w:val="311"/>
        </w:trPr>
        <w:tc>
          <w:tcPr>
            <w:tcW w:w="940" w:type="dxa"/>
            <w:vAlign w:val="bottom"/>
          </w:tcPr>
          <w:p>
            <w:pPr>
              <w:ind w:left="140"/>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24"/>
                <w:szCs w:val="24"/>
                <w:color w:val="auto"/>
              </w:rPr>
            </w:pPr>
          </w:p>
        </w:tc>
        <w:tc>
          <w:tcPr>
            <w:tcW w:w="546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 Linkbase</w:t>
            </w:r>
          </w:p>
        </w:tc>
      </w:tr>
    </w:tbl>
    <w:p>
      <w:pPr>
        <w:spacing w:after="0" w:line="197" w:lineRule="exact"/>
        <w:rPr>
          <w:sz w:val="20"/>
          <w:szCs w:val="20"/>
          <w:color w:val="auto"/>
        </w:rPr>
      </w:pPr>
    </w:p>
    <w:p>
      <w:pPr>
        <w:ind w:left="1040" w:right="160" w:hanging="902"/>
        <w:spacing w:after="0" w:line="260" w:lineRule="auto"/>
        <w:tabs>
          <w:tab w:leader="none" w:pos="10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1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7"/>
          <w:szCs w:val="17"/>
          <w:color w:val="auto"/>
        </w:rPr>
        <w:t>Indicates management contract,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9512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in paper.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w:t>
      </w:r>
      <w:r>
        <w:rPr>
          <w:rFonts w:ascii="Arial" w:cs="Arial" w:eastAsia="Arial" w:hAnsi="Arial"/>
          <w:sz w:val="18"/>
          <w:szCs w:val="18"/>
          <w:b w:val="1"/>
          <w:bCs w:val="1"/>
          <w:i w:val="1"/>
          <w:iCs w:val="1"/>
          <w:color w:val="auto"/>
        </w:rPr>
        <w:t>. FORM 10-K SUMMARY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2"/>
          <w:szCs w:val="12"/>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13970</wp:posOffset>
            </wp:positionV>
            <wp:extent cx="23742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6" w:lineRule="exact"/>
        <w:rPr>
          <w:sz w:val="20"/>
          <w:szCs w:val="20"/>
          <w:color w:val="auto"/>
        </w:rPr>
      </w:pPr>
    </w:p>
    <w:p>
      <w:pPr>
        <w:spacing w:after="0"/>
        <w:tabs>
          <w:tab w:leader="none" w:pos="1020" w:val="left"/>
          <w:tab w:leader="none" w:pos="1920" w:val="left"/>
          <w:tab w:leader="none" w:pos="2640" w:val="left"/>
        </w:tabs>
        <w:rPr>
          <w:sz w:val="20"/>
          <w:szCs w:val="20"/>
          <w:color w:val="auto"/>
        </w:rPr>
      </w:pPr>
      <w:r>
        <w:rPr>
          <w:rFonts w:ascii="Arial" w:cs="Arial" w:eastAsia="Arial" w:hAnsi="Arial"/>
          <w:sz w:val="12"/>
          <w:szCs w:val="12"/>
          <w:b w:val="1"/>
          <w:bCs w:val="1"/>
          <w:color w:val="auto"/>
        </w:rPr>
        <w:t>Form</w:t>
      </w:r>
      <w:r>
        <w:rPr>
          <w:sz w:val="20"/>
          <w:szCs w:val="20"/>
          <w:color w:val="auto"/>
        </w:rPr>
        <w:tab/>
      </w:r>
      <w:r>
        <w:rPr>
          <w:rFonts w:ascii="Arial" w:cs="Arial" w:eastAsia="Arial" w:hAnsi="Arial"/>
          <w:sz w:val="12"/>
          <w:szCs w:val="12"/>
          <w:b w:val="1"/>
          <w:bCs w:val="1"/>
          <w:color w:val="auto"/>
        </w:rPr>
        <w:t>File No.</w:t>
      </w:r>
      <w:r>
        <w:rPr>
          <w:sz w:val="20"/>
          <w:szCs w:val="20"/>
          <w:color w:val="auto"/>
        </w:rPr>
        <w:tab/>
      </w:r>
      <w:r>
        <w:rPr>
          <w:rFonts w:ascii="Arial" w:cs="Arial" w:eastAsia="Arial" w:hAnsi="Arial"/>
          <w:sz w:val="12"/>
          <w:szCs w:val="12"/>
          <w:b w:val="1"/>
          <w:bCs w:val="1"/>
          <w:u w:val="single" w:color="auto"/>
          <w:color w:val="auto"/>
        </w:rPr>
        <w:t>Exhibit</w:t>
      </w:r>
      <w:r>
        <w:rPr>
          <w:sz w:val="20"/>
          <w:szCs w:val="20"/>
          <w:color w:val="auto"/>
        </w:rPr>
        <w:tab/>
      </w:r>
      <w:r>
        <w:rPr>
          <w:rFonts w:ascii="Arial" w:cs="Arial" w:eastAsia="Arial" w:hAnsi="Arial"/>
          <w:sz w:val="11"/>
          <w:szCs w:val="11"/>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13970</wp:posOffset>
            </wp:positionV>
            <wp:extent cx="23742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spacing w:after="0" w:line="281" w:lineRule="auto"/>
        <w:rPr>
          <w:sz w:val="20"/>
          <w:szCs w:val="20"/>
          <w:color w:val="auto"/>
        </w:rPr>
      </w:pPr>
      <w:r>
        <w:rPr>
          <w:rFonts w:ascii="Arial" w:cs="Arial" w:eastAsia="Arial" w:hAnsi="Arial"/>
          <w:sz w:val="10"/>
          <w:szCs w:val="10"/>
          <w:b w:val="1"/>
          <w:bCs w:val="1"/>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-6350</wp:posOffset>
            </wp:positionV>
            <wp:extent cx="4629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X</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X</w:t>
      </w:r>
    </w:p>
    <w:p>
      <w:pPr>
        <w:sectPr>
          <w:pgSz w:w="11900" w:h="16838" w:orient="portrait"/>
          <w:cols w:equalWidth="0" w:num="3">
            <w:col w:w="6500" w:space="420"/>
            <w:col w:w="3260" w:space="440"/>
            <w:col w:w="520"/>
          </w:cols>
          <w:pgMar w:left="320" w:top="128" w:right="4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SIGNATURES</w:t>
      </w:r>
    </w:p>
    <w:p>
      <w:pPr>
        <w:spacing w:after="0" w:line="179" w:lineRule="exact"/>
        <w:rPr>
          <w:sz w:val="20"/>
          <w:szCs w:val="20"/>
          <w:color w:val="auto"/>
        </w:rPr>
      </w:pPr>
    </w:p>
    <w:p>
      <w:pPr>
        <w:ind w:right="120" w:firstLine="51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-1905</wp:posOffset>
            </wp:positionV>
            <wp:extent cx="24688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Chairman and 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2020</w:t>
      </w:r>
    </w:p>
    <w:p>
      <w:pPr>
        <w:spacing w:after="0" w:line="158"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Dankberg and Shawn Duffy, jointly and severally, his or her attorneys-in-fact, each with the full power of substitution, for him or her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or her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8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5"/>
                <w:szCs w:val="15"/>
                <w:color w:val="auto"/>
              </w:rPr>
            </w:pPr>
          </w:p>
        </w:tc>
        <w:tc>
          <w:tcPr>
            <w:tcW w:w="448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326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Date</w:t>
            </w:r>
          </w:p>
        </w:tc>
      </w:tr>
      <w:tr>
        <w:trPr>
          <w:trHeight w:val="331"/>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DANKBERG</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Chairman of the Board and</w:t>
            </w: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May 28, 2020</w:t>
            </w:r>
          </w:p>
        </w:tc>
      </w:tr>
      <w:tr>
        <w:trPr>
          <w:trHeight w:val="195"/>
        </w:trPr>
        <w:tc>
          <w:tcPr>
            <w:tcW w:w="3280" w:type="dxa"/>
            <w:vAlign w:val="bottom"/>
          </w:tcPr>
          <w:p>
            <w:pPr>
              <w:spacing w:after="0" w:line="195" w:lineRule="exact"/>
              <w:rPr>
                <w:sz w:val="20"/>
                <w:szCs w:val="20"/>
                <w:color w:val="auto"/>
              </w:rPr>
            </w:pPr>
            <w:r>
              <w:rPr>
                <w:rFonts w:ascii="Arial" w:cs="Arial" w:eastAsia="Arial" w:hAnsi="Arial"/>
                <w:sz w:val="18"/>
                <w:szCs w:val="18"/>
                <w:color w:val="auto"/>
              </w:rPr>
              <w:t>Mark Dankberg</w:t>
            </w:r>
          </w:p>
        </w:tc>
        <w:tc>
          <w:tcPr>
            <w:tcW w:w="460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17"/>
        </w:trPr>
        <w:tc>
          <w:tcPr>
            <w:tcW w:w="3280" w:type="dxa"/>
            <w:vAlign w:val="bottom"/>
          </w:tcPr>
          <w:p>
            <w:pPr>
              <w:spacing w:after="0"/>
              <w:rPr>
                <w:sz w:val="18"/>
                <w:szCs w:val="18"/>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24"/>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SHAWN DUFFY</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Senior Vice President and</w:t>
            </w: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May 28, 2020</w:t>
            </w:r>
          </w:p>
        </w:tc>
      </w:tr>
      <w:tr>
        <w:trPr>
          <w:trHeight w:val="195"/>
        </w:trPr>
        <w:tc>
          <w:tcPr>
            <w:tcW w:w="3280" w:type="dxa"/>
            <w:vAlign w:val="bottom"/>
          </w:tcPr>
          <w:p>
            <w:pPr>
              <w:spacing w:after="0" w:line="195" w:lineRule="exact"/>
              <w:rPr>
                <w:sz w:val="20"/>
                <w:szCs w:val="20"/>
                <w:color w:val="auto"/>
              </w:rPr>
            </w:pPr>
            <w:r>
              <w:rPr>
                <w:rFonts w:ascii="Arial" w:cs="Arial" w:eastAsia="Arial" w:hAnsi="Arial"/>
                <w:sz w:val="18"/>
                <w:szCs w:val="18"/>
                <w:color w:val="auto"/>
              </w:rPr>
              <w:t>Shawn Duffy</w:t>
            </w:r>
          </w:p>
        </w:tc>
        <w:tc>
          <w:tcPr>
            <w:tcW w:w="460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17"/>
        </w:trPr>
        <w:tc>
          <w:tcPr>
            <w:tcW w:w="3280" w:type="dxa"/>
            <w:vAlign w:val="bottom"/>
          </w:tcPr>
          <w:p>
            <w:pPr>
              <w:spacing w:after="0"/>
              <w:rPr>
                <w:sz w:val="18"/>
                <w:szCs w:val="18"/>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24"/>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BALDRIDGE</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Director, President and Chief Operating Officer</w:t>
            </w: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May 28, 2020</w:t>
            </w: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Rick Baldridge</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37"/>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JOHNSON</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May 28, 2020</w:t>
            </w: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Robert Johnson</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37"/>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PAK</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May 28, 2020</w:t>
            </w: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Sean Pak</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37"/>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VARSHA RAO</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May 28, 2020</w:t>
            </w: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Varsha Rao</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37"/>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STENBIT</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May 28, 2020</w:t>
            </w: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John Stenbit</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37"/>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HARVEY WHITE</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May 28, 2020</w:t>
            </w: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Harvey White</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37"/>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THERESA WISE</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May 28, 2020</w:t>
            </w: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Theresa Wise</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Viasat, Inc.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We have audited the accompanying consolidated balance sheets of Viasat, Inc. and its subsidiaries (the “Company”) as of March 31, 2020 and 2019, and the related statements of operations and comprehensive income (loss), of equity, and of cash flows for each of the three years in the period ended March 31, 2020, including the related notes and financial statement schedule listed in the index appearing under Item 15(a)(2) for each of the three years in the period ended March 31, 2020 (collectively referred to as the “consolidated financial statements”). We also have audited the Company's internal control over financial reporting as of March 31, 2020,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(2013) issued by the Committee of Sponsoring Organizations of the Treadway Commission (COSO).</w:t>
      </w:r>
    </w:p>
    <w:p>
      <w:pPr>
        <w:spacing w:after="0" w:line="18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March 31, 2020 and 2019, and the results of its operations and its cash flows for each of the three years in the period ended March 31, 2020 in conformity with accounting principles generally accepted in the United States of America. Also in our opinion, the Company maintained, in all material respects, effective internal control over financial reporting as of March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9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fiscal year 2020 and the manner in which it accounts for revenues from contracts with customers in fiscal year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9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9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Estimated Costs at Completion</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described in Note 1 to the consolidated financial statements, the vast majority of the Company’s revenues from long-term contracts to develop and deliver complex equipment built to customer specifications are derived from contracts with the U.S. government. A portion of the Company’s total revenues of $2.3 billion are from long-term contracts. 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 estimated costs at completion is a critical audit matter are there was significant judgment by management when developing the estimated costs at completion on individual fixed-price contracts. This in turn led to a high degree of auditor judgment, subjectivity and effort in performing procedures and evaluating evidence related to the estimated costs at completion, including the evaluation of management’s judgment as it relates to the subcontractor performance, material costs and availability, labor costs and productivity, and the costs of overhead.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87" w:right="379" w:bottom="1440" w:gutter="0" w:footer="0" w:header="0"/>
        </w:sectPr>
      </w:pPr>
    </w:p>
    <w:bookmarkStart w:id="75" w:name="page76"/>
    <w:bookmarkEnd w:id="75"/>
    <w:p>
      <w:pPr>
        <w:spacing w:after="0" w:line="236"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completeness and accuracy of estimated costs at completion. The procedures also included, among others, evaluating and testing management’s process for developing estimates of total estimated costs at completion for long-term contracts for a sample of contracts. This included testing the completeness and accuracy of costs incurred to date and evaluating the reasonableness of significant estimates used by management, including subcontractor performance, material costs and availability, labor costs and productivity, and overhead costs, and considering factors that could affect the accuracy of those estimates. Evaluating the reasonableness of the significant assumptions used involved assessing management’s ability to reasonably estimate costs at completion by (i) testing samples of third-party quotes or bids for materials and subcontractor services, (ii) assessing the reasonableness of estimates of labor and overhead in comparison to actual labor and overhead costs incurred to date, and (iii) evaluating the timely identification of circumstances that may warrant a modification to estimated costs to complete, including actual costs in excess of estimates.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rPr>
          <w:sz w:val="20"/>
          <w:szCs w:val="20"/>
          <w:color w:val="auto"/>
        </w:rPr>
      </w:pPr>
      <w:r>
        <w:rPr>
          <w:rFonts w:ascii="Arial" w:cs="Arial" w:eastAsia="Arial" w:hAnsi="Arial"/>
          <w:sz w:val="18"/>
          <w:szCs w:val="18"/>
          <w:color w:val="auto"/>
        </w:rPr>
        <w:t>May 28,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360"/>
              <w:spacing w:after="0"/>
              <w:rPr>
                <w:sz w:val="20"/>
                <w:szCs w:val="20"/>
                <w:color w:val="auto"/>
              </w:rPr>
            </w:pPr>
            <w:r>
              <w:rPr>
                <w:rFonts w:ascii="Arial" w:cs="Arial" w:eastAsia="Arial" w:hAnsi="Arial"/>
                <w:sz w:val="14"/>
                <w:szCs w:val="14"/>
                <w:b w:val="1"/>
                <w:bCs w:val="1"/>
                <w:color w:val="auto"/>
              </w:rPr>
              <w:t>As of</w:t>
            </w:r>
          </w:p>
        </w:tc>
      </w:tr>
      <w:tr>
        <w:trPr>
          <w:trHeight w:val="175"/>
        </w:trPr>
        <w:tc>
          <w:tcPr>
            <w:tcW w:w="8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5"/>
                <w:szCs w:val="15"/>
                <w:color w:val="auto"/>
              </w:rPr>
            </w:pPr>
          </w:p>
        </w:tc>
      </w:tr>
      <w:tr>
        <w:trPr>
          <w:trHeight w:val="169"/>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6"/>
          </w:tcPr>
          <w:p>
            <w:pPr>
              <w:ind w:left="260"/>
              <w:spacing w:after="0"/>
              <w:rPr>
                <w:sz w:val="20"/>
                <w:szCs w:val="20"/>
                <w:color w:val="auto"/>
              </w:rPr>
            </w:pPr>
            <w:r>
              <w:rPr>
                <w:rFonts w:ascii="Arial" w:cs="Arial" w:eastAsia="Arial" w:hAnsi="Arial"/>
                <w:sz w:val="14"/>
                <w:szCs w:val="14"/>
                <w:b w:val="1"/>
                <w:bCs w:val="1"/>
                <w:color w:val="auto"/>
              </w:rPr>
              <w:t>(In thousands, except share data)</w:t>
            </w:r>
          </w:p>
        </w:tc>
      </w:tr>
      <w:tr>
        <w:trPr>
          <w:trHeight w:val="216"/>
        </w:trPr>
        <w:tc>
          <w:tcPr>
            <w:tcW w:w="8020" w:type="dxa"/>
            <w:vAlign w:val="bottom"/>
            <w:shd w:val="clear" w:color="auto" w:fill="CFF0FC"/>
          </w:tcPr>
          <w:p>
            <w:pPr>
              <w:ind w:left="356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304,309</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261,701</w:t>
            </w: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330,698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300,307</w:t>
            </w: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234,518</w:t>
            </w: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116,281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90,646</w:t>
            </w:r>
          </w:p>
        </w:tc>
        <w:tc>
          <w:tcPr>
            <w:tcW w:w="120" w:type="dxa"/>
            <w:vAlign w:val="bottom"/>
            <w:tcBorders>
              <w:bottom w:val="single" w:sz="8" w:color="CFF0FC"/>
            </w:tcBorders>
          </w:tcPr>
          <w:p>
            <w:pPr>
              <w:spacing w:after="0"/>
              <w:rPr>
                <w:sz w:val="18"/>
                <w:szCs w:val="18"/>
                <w:color w:val="auto"/>
              </w:rPr>
            </w:pPr>
          </w:p>
        </w:tc>
      </w:tr>
      <w:tr>
        <w:trPr>
          <w:trHeight w:val="210"/>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1,045,704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887,172</w:t>
            </w:r>
          </w:p>
        </w:tc>
        <w:tc>
          <w:tcPr>
            <w:tcW w:w="120" w:type="dxa"/>
            <w:vAlign w:val="bottom"/>
            <w:shd w:val="clear" w:color="auto" w:fill="CFF0FC"/>
          </w:tcPr>
          <w:p>
            <w:pPr>
              <w:spacing w:after="0"/>
              <w:rPr>
                <w:sz w:val="18"/>
                <w:szCs w:val="18"/>
                <w:color w:val="auto"/>
              </w:rPr>
            </w:pPr>
          </w:p>
        </w:tc>
      </w:tr>
      <w:tr>
        <w:trPr>
          <w:trHeight w:val="135"/>
        </w:trPr>
        <w:tc>
          <w:tcPr>
            <w:tcW w:w="8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Property, equipment and satellites, net</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2,586,735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2,125,290</w:t>
            </w: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308,441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Other acquired intangible assets, net</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22,301</w:t>
            </w: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121,197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121,719</w:t>
            </w: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807,352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758,805</w:t>
            </w:r>
          </w:p>
        </w:tc>
        <w:tc>
          <w:tcPr>
            <w:tcW w:w="120" w:type="dxa"/>
            <w:vAlign w:val="bottom"/>
            <w:shd w:val="clear" w:color="auto" w:fill="CFF0FC"/>
          </w:tcPr>
          <w:p>
            <w:pPr>
              <w:spacing w:after="0"/>
              <w:rPr>
                <w:sz w:val="18"/>
                <w:szCs w:val="18"/>
                <w:color w:val="auto"/>
              </w:rPr>
            </w:pPr>
          </w:p>
        </w:tc>
      </w:tr>
      <w:tr>
        <w:trPr>
          <w:trHeight w:val="249"/>
        </w:trPr>
        <w:tc>
          <w:tcPr>
            <w:tcW w:w="80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4,883,868</w:t>
            </w:r>
          </w:p>
        </w:tc>
        <w:tc>
          <w:tcPr>
            <w:tcW w:w="16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3,915,287</w:t>
            </w:r>
          </w:p>
        </w:tc>
        <w:tc>
          <w:tcPr>
            <w:tcW w:w="120" w:type="dxa"/>
            <w:vAlign w:val="bottom"/>
          </w:tcPr>
          <w:p>
            <w:pPr>
              <w:spacing w:after="0"/>
              <w:rPr>
                <w:sz w:val="21"/>
                <w:szCs w:val="21"/>
                <w:color w:val="auto"/>
              </w:rPr>
            </w:pPr>
          </w:p>
        </w:tc>
      </w:tr>
      <w:tr>
        <w:trPr>
          <w:trHeight w:val="116"/>
        </w:trPr>
        <w:tc>
          <w:tcPr>
            <w:tcW w:w="80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28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2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216"/>
        </w:trPr>
        <w:tc>
          <w:tcPr>
            <w:tcW w:w="8020" w:type="dxa"/>
            <w:vAlign w:val="bottom"/>
          </w:tcPr>
          <w:p>
            <w:pPr>
              <w:ind w:left="28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183,601</w:t>
            </w:r>
          </w:p>
        </w:tc>
        <w:tc>
          <w:tcPr>
            <w:tcW w:w="1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157,275</w:t>
            </w: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liabilities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391,190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308,268</w:t>
            </w: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19,937</w:t>
            </w:r>
          </w:p>
        </w:tc>
        <w:tc>
          <w:tcPr>
            <w:tcW w:w="120" w:type="dxa"/>
            <w:vAlign w:val="bottom"/>
            <w:tcBorders>
              <w:bottom w:val="single" w:sz="8" w:color="CFF0FC"/>
            </w:tcBorders>
          </w:tcPr>
          <w:p>
            <w:pPr>
              <w:spacing w:after="0"/>
              <w:rPr>
                <w:sz w:val="18"/>
                <w:szCs w:val="18"/>
                <w:color w:val="auto"/>
              </w:rPr>
            </w:pPr>
          </w:p>
        </w:tc>
      </w:tr>
      <w:tr>
        <w:trPr>
          <w:trHeight w:val="210"/>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604,579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485,480</w:t>
            </w:r>
          </w:p>
        </w:tc>
        <w:tc>
          <w:tcPr>
            <w:tcW w:w="120" w:type="dxa"/>
            <w:vAlign w:val="bottom"/>
            <w:shd w:val="clear" w:color="auto" w:fill="CFF0FC"/>
          </w:tcPr>
          <w:p>
            <w:pPr>
              <w:spacing w:after="0"/>
              <w:rPr>
                <w:sz w:val="18"/>
                <w:szCs w:val="18"/>
                <w:color w:val="auto"/>
              </w:rPr>
            </w:pPr>
          </w:p>
        </w:tc>
      </w:tr>
      <w:tr>
        <w:trPr>
          <w:trHeight w:val="135"/>
        </w:trPr>
        <w:tc>
          <w:tcPr>
            <w:tcW w:w="8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1,285,497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1,282,898</w:t>
            </w: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Other long-term debt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536,166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110,005</w:t>
            </w: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120,934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120,826</w:t>
            </w:r>
          </w:p>
        </w:tc>
        <w:tc>
          <w:tcPr>
            <w:tcW w:w="120" w:type="dxa"/>
            <w:vAlign w:val="bottom"/>
            <w:tcBorders>
              <w:bottom w:val="single" w:sz="8" w:color="CFF0FC"/>
            </w:tcBorders>
          </w:tcPr>
          <w:p>
            <w:pPr>
              <w:spacing w:after="0"/>
              <w:rPr>
                <w:sz w:val="18"/>
                <w:szCs w:val="18"/>
                <w:color w:val="auto"/>
              </w:rPr>
            </w:pPr>
          </w:p>
        </w:tc>
      </w:tr>
      <w:tr>
        <w:trPr>
          <w:trHeight w:val="210"/>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2,833,726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1,999,209</w:t>
            </w:r>
          </w:p>
        </w:tc>
        <w:tc>
          <w:tcPr>
            <w:tcW w:w="120" w:type="dxa"/>
            <w:vAlign w:val="bottom"/>
            <w:shd w:val="clear" w:color="auto" w:fill="CFF0FC"/>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Commitments and contingencies (Notes 12 and 13)</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5,000,000 shares authorized;</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802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no shares issued and outstanding at March 31, 2020 and 2019,</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respectively</w:t>
            </w:r>
          </w:p>
        </w:tc>
        <w:tc>
          <w:tcPr>
            <w:tcW w:w="1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5"/>
        </w:trPr>
        <w:tc>
          <w:tcPr>
            <w:tcW w:w="802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020" w:type="dxa"/>
            <w:vAlign w:val="bottom"/>
          </w:tcPr>
          <w:p>
            <w:pPr>
              <w:ind w:left="400"/>
              <w:spacing w:after="0" w:line="202" w:lineRule="exact"/>
              <w:rPr>
                <w:sz w:val="20"/>
                <w:szCs w:val="20"/>
                <w:color w:val="auto"/>
              </w:rPr>
            </w:pPr>
            <w:r>
              <w:rPr>
                <w:rFonts w:ascii="Arial" w:cs="Arial" w:eastAsia="Arial" w:hAnsi="Arial"/>
                <w:sz w:val="18"/>
                <w:szCs w:val="18"/>
                <w:color w:val="auto"/>
              </w:rPr>
              <w:t>62,147,140 and 60,550,093 shares outstanding at March 31, 2020 and 2019,</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20" w:type="dxa"/>
            <w:vAlign w:val="bottom"/>
          </w:tcPr>
          <w:p>
            <w:pPr>
              <w:ind w:left="400"/>
              <w:spacing w:after="0" w:line="203" w:lineRule="exact"/>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r>
      <w:tr>
        <w:trPr>
          <w:trHeight w:val="216"/>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1,788,456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1,656,819</w:t>
            </w: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245,373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245,585</w:t>
            </w: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(6,048)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5,338</w:t>
            </w:r>
          </w:p>
        </w:tc>
        <w:tc>
          <w:tcPr>
            <w:tcW w:w="120" w:type="dxa"/>
            <w:vAlign w:val="bottom"/>
            <w:shd w:val="clear" w:color="auto" w:fill="CFF0FC"/>
          </w:tcPr>
          <w:p>
            <w:pPr>
              <w:spacing w:after="0"/>
              <w:rPr>
                <w:sz w:val="18"/>
                <w:szCs w:val="18"/>
                <w:color w:val="auto"/>
              </w:rPr>
            </w:pPr>
          </w:p>
        </w:tc>
      </w:tr>
      <w:tr>
        <w:trPr>
          <w:trHeight w:val="210"/>
        </w:trPr>
        <w:tc>
          <w:tcPr>
            <w:tcW w:w="8020" w:type="dxa"/>
            <w:vAlign w:val="bottom"/>
          </w:tcPr>
          <w:p>
            <w:pPr>
              <w:ind w:left="260"/>
              <w:spacing w:after="0"/>
              <w:rPr>
                <w:sz w:val="20"/>
                <w:szCs w:val="20"/>
                <w:color w:val="auto"/>
              </w:rPr>
            </w:pPr>
            <w:r>
              <w:rPr>
                <w:rFonts w:ascii="Arial" w:cs="Arial" w:eastAsia="Arial" w:hAnsi="Arial"/>
                <w:sz w:val="18"/>
                <w:szCs w:val="18"/>
                <w:color w:val="auto"/>
              </w:rPr>
              <w:t>Total Viasat, Inc. stockholders’ equity</w:t>
            </w: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2,027,787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1,907,748</w:t>
            </w: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 in subsidiary</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8,330</w:t>
            </w:r>
          </w:p>
        </w:tc>
        <w:tc>
          <w:tcPr>
            <w:tcW w:w="120" w:type="dxa"/>
            <w:vAlign w:val="bottom"/>
            <w:shd w:val="clear" w:color="auto" w:fill="CFF0FC"/>
          </w:tcPr>
          <w:p>
            <w:pPr>
              <w:spacing w:after="0"/>
              <w:rPr>
                <w:sz w:val="18"/>
                <w:szCs w:val="18"/>
                <w:color w:val="auto"/>
              </w:rPr>
            </w:pPr>
          </w:p>
        </w:tc>
      </w:tr>
      <w:tr>
        <w:trPr>
          <w:trHeight w:val="210"/>
        </w:trPr>
        <w:tc>
          <w:tcPr>
            <w:tcW w:w="8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2,050,142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1,916,078</w:t>
            </w:r>
          </w:p>
        </w:tc>
        <w:tc>
          <w:tcPr>
            <w:tcW w:w="120" w:type="dxa"/>
            <w:vAlign w:val="bottom"/>
            <w:tcBorders>
              <w:bottom w:val="single" w:sz="8" w:color="CFF0FC"/>
            </w:tcBorders>
          </w:tcPr>
          <w:p>
            <w:pPr>
              <w:spacing w:after="0"/>
              <w:rPr>
                <w:sz w:val="18"/>
                <w:szCs w:val="18"/>
                <w:color w:val="auto"/>
              </w:rPr>
            </w:pPr>
          </w:p>
        </w:tc>
      </w:tr>
      <w:tr>
        <w:trPr>
          <w:trHeight w:val="210"/>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 and equity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4,883,868</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3,915,287</w:t>
            </w:r>
          </w:p>
        </w:tc>
        <w:tc>
          <w:tcPr>
            <w:tcW w:w="120" w:type="dxa"/>
            <w:vAlign w:val="bottom"/>
            <w:shd w:val="clear" w:color="auto" w:fill="CFF0FC"/>
          </w:tcPr>
          <w:p>
            <w:pPr>
              <w:spacing w:after="0"/>
              <w:rPr>
                <w:sz w:val="18"/>
                <w:szCs w:val="18"/>
                <w:color w:val="auto"/>
              </w:rPr>
            </w:pPr>
          </w:p>
        </w:tc>
      </w:tr>
      <w:tr>
        <w:trPr>
          <w:trHeight w:val="20"/>
        </w:trPr>
        <w:tc>
          <w:tcPr>
            <w:tcW w:w="80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Fiscal Years Ended</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620"/>
              <w:spacing w:after="0" w:line="156"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400" w:type="dxa"/>
            <w:vAlign w:val="bottom"/>
            <w:gridSpan w:val="2"/>
          </w:tcPr>
          <w:p>
            <w:pPr>
              <w:jc w:val="center"/>
              <w:ind w:right="500"/>
              <w:spacing w:after="0" w:line="156" w:lineRule="exact"/>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3"/>
                <w:szCs w:val="13"/>
                <w:color w:val="auto"/>
              </w:rPr>
            </w:pPr>
          </w:p>
        </w:tc>
        <w:tc>
          <w:tcPr>
            <w:tcW w:w="1160" w:type="dxa"/>
            <w:vAlign w:val="bottom"/>
            <w:gridSpan w:val="2"/>
          </w:tcPr>
          <w:p>
            <w:pPr>
              <w:jc w:val="right"/>
              <w:ind w:right="480"/>
              <w:spacing w:after="0" w:line="156"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gridSpan w:val="6"/>
          </w:tcPr>
          <w:p>
            <w:pPr>
              <w:jc w:val="center"/>
              <w:ind w:left="732"/>
              <w:spacing w:after="0"/>
              <w:rPr>
                <w:sz w:val="20"/>
                <w:szCs w:val="20"/>
                <w:color w:val="auto"/>
              </w:rPr>
            </w:pPr>
            <w:r>
              <w:rPr>
                <w:rFonts w:ascii="Arial" w:cs="Arial" w:eastAsia="Arial" w:hAnsi="Arial"/>
                <w:sz w:val="14"/>
                <w:szCs w:val="14"/>
                <w:b w:val="1"/>
                <w:bCs w:val="1"/>
                <w:color w:val="auto"/>
              </w:rPr>
              <w:t>(In thousands, except per share data)</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1,172,541</w:t>
            </w:r>
          </w:p>
        </w:tc>
        <w:tc>
          <w:tcPr>
            <w:tcW w:w="24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1,092,691</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755,547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10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1,136,697</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975,567</w:t>
            </w:r>
          </w:p>
        </w:tc>
        <w:tc>
          <w:tcPr>
            <w:tcW w:w="2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839,078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8"/>
                <w:szCs w:val="18"/>
                <w:color w:val="auto"/>
              </w:rPr>
              <w:t>Total revenues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2,309,238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2,068,258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1,594,625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60"/>
              <w:spacing w:after="0"/>
              <w:rPr>
                <w:sz w:val="20"/>
                <w:szCs w:val="20"/>
                <w:color w:val="auto"/>
              </w:rPr>
            </w:pPr>
            <w:r>
              <w:rPr>
                <w:rFonts w:ascii="Arial" w:cs="Arial" w:eastAsia="Arial" w:hAnsi="Arial"/>
                <w:sz w:val="18"/>
                <w:szCs w:val="18"/>
                <w:color w:val="auto"/>
              </w:rPr>
              <w:t>Cost of product revenues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845,757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834,472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553,677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revenues</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763,930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703,249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567,137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523,085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458,458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Independent research and development</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130,434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123,044</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10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9,655</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38,421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(60,620)</w:t>
            </w: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(92,187)</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(38,641)</w:t>
            </w:r>
          </w:p>
        </w:tc>
        <w:tc>
          <w:tcPr>
            <w:tcW w:w="2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(50,010)</w:t>
            </w:r>
          </w:p>
        </w:tc>
        <w:tc>
          <w:tcPr>
            <w:tcW w:w="3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(10,217)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(110,481)</w:t>
            </w:r>
          </w:p>
        </w:tc>
        <w:tc>
          <w:tcPr>
            <w:tcW w:w="3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(105,470)</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41,014</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in income of unconsolidated affiliate, net</w:t>
            </w:r>
          </w:p>
        </w:tc>
        <w:tc>
          <w:tcPr>
            <w:tcW w:w="10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(66,469)</w:t>
            </w: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(68,275)</w:t>
            </w:r>
          </w:p>
        </w:tc>
        <w:tc>
          <w:tcPr>
            <w:tcW w:w="0" w:type="dxa"/>
            <w:vAlign w:val="bottom"/>
          </w:tcPr>
          <w:p>
            <w:pPr>
              <w:spacing w:after="0"/>
              <w:rPr>
                <w:sz w:val="1"/>
                <w:szCs w:val="1"/>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Less: net income (loss) attributable to noncontrolling</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160"/>
              <w:spacing w:after="0" w:line="203" w:lineRule="exact"/>
              <w:rPr>
                <w:sz w:val="20"/>
                <w:szCs w:val="20"/>
                <w:color w:val="auto"/>
              </w:rPr>
            </w:pPr>
            <w:r>
              <w:rPr>
                <w:rFonts w:ascii="Arial" w:cs="Arial" w:eastAsia="Arial" w:hAnsi="Arial"/>
                <w:sz w:val="18"/>
                <w:szCs w:val="18"/>
                <w:color w:val="auto"/>
              </w:rPr>
              <w:t>interests, net of tax</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14,025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1,154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Viasat, Inc.</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(67,623)</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(67,305)</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Viasat, Inc.</w:t>
            </w:r>
          </w:p>
        </w:tc>
        <w:tc>
          <w:tcPr>
            <w:tcW w:w="10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160"/>
              <w:spacing w:after="0" w:line="203" w:lineRule="exact"/>
              <w:rPr>
                <w:sz w:val="20"/>
                <w:szCs w:val="20"/>
                <w:color w:val="auto"/>
              </w:rPr>
            </w:pPr>
            <w:r>
              <w:rPr>
                <w:rFonts w:ascii="Arial" w:cs="Arial" w:eastAsia="Arial" w:hAnsi="Arial"/>
                <w:sz w:val="18"/>
                <w:szCs w:val="18"/>
                <w:color w:val="auto"/>
              </w:rPr>
              <w:t>common stockholders:</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net loss per share attributable to Viasat, Inc.</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common stockholders</w:t>
            </w:r>
          </w:p>
        </w:tc>
        <w:tc>
          <w:tcPr>
            <w:tcW w:w="126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(0.00)</w:t>
            </w:r>
          </w:p>
        </w:tc>
        <w:tc>
          <w:tcPr>
            <w:tcW w:w="240" w:type="dxa"/>
            <w:vAlign w:val="bottom"/>
            <w:shd w:val="clear" w:color="auto" w:fill="CFF0FC"/>
          </w:tcPr>
          <w:p>
            <w:pPr>
              <w:jc w:val="right"/>
              <w:ind w:right="53"/>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(1.13)</w:t>
            </w:r>
          </w:p>
        </w:tc>
        <w:tc>
          <w:tcPr>
            <w:tcW w:w="340" w:type="dxa"/>
            <w:vAlign w:val="bottom"/>
            <w:shd w:val="clear" w:color="auto" w:fill="CFF0FC"/>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5"/>
        </w:trPr>
        <w:tc>
          <w:tcPr>
            <w:tcW w:w="5440" w:type="dxa"/>
            <w:vAlign w:val="bottom"/>
          </w:tcPr>
          <w:p>
            <w:pPr>
              <w:ind w:left="260"/>
              <w:spacing w:after="0"/>
              <w:rPr>
                <w:sz w:val="20"/>
                <w:szCs w:val="20"/>
                <w:color w:val="auto"/>
              </w:rPr>
            </w:pPr>
            <w:r>
              <w:rPr>
                <w:rFonts w:ascii="Arial" w:cs="Arial" w:eastAsia="Arial" w:hAnsi="Arial"/>
                <w:sz w:val="18"/>
                <w:szCs w:val="18"/>
                <w:color w:val="auto"/>
              </w:rPr>
              <w:t>Diluted net loss per share attributable to Viasat, Inc.</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400"/>
              <w:spacing w:after="0" w:line="203" w:lineRule="exact"/>
              <w:rPr>
                <w:sz w:val="20"/>
                <w:szCs w:val="20"/>
                <w:color w:val="auto"/>
              </w:rPr>
            </w:pPr>
            <w:r>
              <w:rPr>
                <w:rFonts w:ascii="Arial" w:cs="Arial" w:eastAsia="Arial" w:hAnsi="Arial"/>
                <w:sz w:val="18"/>
                <w:szCs w:val="18"/>
                <w:color w:val="auto"/>
              </w:rPr>
              <w:t>common stockholders</w:t>
            </w:r>
          </w:p>
        </w:tc>
        <w:tc>
          <w:tcPr>
            <w:tcW w:w="12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(0.00)</w:t>
            </w:r>
          </w:p>
        </w:tc>
        <w:tc>
          <w:tcPr>
            <w:tcW w:w="240" w:type="dxa"/>
            <w:vAlign w:val="bottom"/>
          </w:tcPr>
          <w:p>
            <w:pPr>
              <w:jc w:val="right"/>
              <w:ind w:right="53"/>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(1.13)</w:t>
            </w:r>
          </w:p>
        </w:tc>
        <w:tc>
          <w:tcPr>
            <w:tcW w:w="34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used in computing basic net loss per share</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61,632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59,942</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60"/>
              <w:spacing w:after="0"/>
              <w:rPr>
                <w:sz w:val="20"/>
                <w:szCs w:val="20"/>
                <w:color w:val="auto"/>
              </w:rPr>
            </w:pPr>
            <w:r>
              <w:rPr>
                <w:rFonts w:ascii="Arial" w:cs="Arial" w:eastAsia="Arial" w:hAnsi="Arial"/>
                <w:sz w:val="18"/>
                <w:szCs w:val="18"/>
                <w:color w:val="auto"/>
              </w:rPr>
              <w:t>Shares used in computing diluted net loss per share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59,942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(66,469)</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(68,275)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hedging, net of tax</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(242)</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 net of tax</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(11,621)</w:t>
            </w:r>
          </w:p>
        </w:tc>
        <w:tc>
          <w:tcPr>
            <w:tcW w:w="2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(9,985)</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 net of tax</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(11,386)</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(10,227)</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(76,696)</w:t>
            </w:r>
          </w:p>
        </w:tc>
        <w:tc>
          <w:tcPr>
            <w:tcW w:w="3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(52,423)</w:t>
            </w: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comprehensive income (loss) attributable to</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noncontrolling interests, net of tax</w:t>
            </w: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14,025</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1,154</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8"/>
                <w:szCs w:val="18"/>
                <w:color w:val="auto"/>
              </w:rPr>
              <w:t>Comprehensive loss attributable to</w:t>
            </w:r>
          </w:p>
        </w:tc>
        <w:tc>
          <w:tcPr>
            <w:tcW w:w="1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160"/>
              <w:spacing w:after="0" w:line="203" w:lineRule="exact"/>
              <w:rPr>
                <w:sz w:val="20"/>
                <w:szCs w:val="20"/>
                <w:color w:val="auto"/>
              </w:rPr>
            </w:pPr>
            <w:r>
              <w:rPr>
                <w:rFonts w:ascii="Arial" w:cs="Arial" w:eastAsia="Arial" w:hAnsi="Arial"/>
                <w:sz w:val="18"/>
                <w:szCs w:val="18"/>
                <w:color w:val="auto"/>
              </w:rPr>
              <w:t>Viasat, Inc.</w:t>
            </w:r>
          </w:p>
        </w:tc>
        <w:tc>
          <w:tcPr>
            <w:tcW w:w="12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(11,598)</w:t>
            </w:r>
          </w:p>
        </w:tc>
        <w:tc>
          <w:tcPr>
            <w:tcW w:w="240" w:type="dxa"/>
            <w:vAlign w:val="bottom"/>
          </w:tcPr>
          <w:p>
            <w:pPr>
              <w:jc w:val="right"/>
              <w:ind w:right="53"/>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(77,850)</w:t>
            </w:r>
          </w:p>
        </w:tc>
        <w:tc>
          <w:tcPr>
            <w:tcW w:w="34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(51,453)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5"/>
              </w:rPr>
              <w:t>Fiscal Years Ended</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55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tcPr>
          <w:p>
            <w:pPr>
              <w:jc w:val="right"/>
              <w:ind w:right="520"/>
              <w:spacing w:after="0" w:line="120"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tcPr>
          <w:p>
            <w:pPr>
              <w:jc w:val="center"/>
              <w:ind w:right="340"/>
              <w:spacing w:after="0" w:line="120" w:lineRule="exact"/>
              <w:rPr>
                <w:sz w:val="20"/>
                <w:szCs w:val="20"/>
                <w:color w:val="auto"/>
              </w:rPr>
            </w:pPr>
            <w:r>
              <w:rPr>
                <w:rFonts w:ascii="Arial" w:cs="Arial" w:eastAsia="Arial" w:hAnsi="Arial"/>
                <w:sz w:val="13"/>
                <w:szCs w:val="13"/>
                <w:b w:val="1"/>
                <w:bCs w:val="1"/>
                <w:color w:val="auto"/>
                <w:w w:val="96"/>
              </w:rPr>
              <w:t>March 31,</w:t>
            </w:r>
          </w:p>
        </w:tc>
        <w:tc>
          <w:tcPr>
            <w:tcW w:w="220" w:type="dxa"/>
            <w:vAlign w:val="bottom"/>
          </w:tcPr>
          <w:p>
            <w:pPr>
              <w:spacing w:after="0"/>
              <w:rPr>
                <w:sz w:val="10"/>
                <w:szCs w:val="10"/>
                <w:color w:val="auto"/>
              </w:rPr>
            </w:pPr>
          </w:p>
        </w:tc>
        <w:tc>
          <w:tcPr>
            <w:tcW w:w="1120" w:type="dxa"/>
            <w:vAlign w:val="bottom"/>
          </w:tcPr>
          <w:p>
            <w:pPr>
              <w:jc w:val="right"/>
              <w:ind w:right="313"/>
              <w:spacing w:after="0" w:line="120"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(In thousands)</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260"/>
              <w:spacing w:after="0"/>
              <w:rPr>
                <w:sz w:val="20"/>
                <w:szCs w:val="20"/>
                <w:color w:val="auto"/>
              </w:rPr>
            </w:pPr>
            <w:r>
              <w:rPr>
                <w:rFonts w:ascii="Arial" w:cs="Arial" w:eastAsia="Arial" w:hAnsi="Arial"/>
                <w:sz w:val="13"/>
                <w:szCs w:val="13"/>
                <w:color w:val="auto"/>
              </w:rPr>
              <w:t>Net income (loss)</w:t>
            </w:r>
          </w:p>
        </w:tc>
        <w:tc>
          <w:tcPr>
            <w:tcW w:w="13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13,813</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3"/>
                <w:szCs w:val="13"/>
                <w:color w:val="auto"/>
              </w:rPr>
              <w:t>(66,469)</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(68,275)</w:t>
            </w:r>
          </w:p>
        </w:tc>
        <w:tc>
          <w:tcPr>
            <w:tcW w:w="0" w:type="dxa"/>
            <w:vAlign w:val="bottom"/>
          </w:tcPr>
          <w:p>
            <w:pPr>
              <w:spacing w:after="0"/>
              <w:rPr>
                <w:sz w:val="1"/>
                <w:szCs w:val="1"/>
                <w:color w:val="auto"/>
              </w:rPr>
            </w:pPr>
          </w:p>
        </w:tc>
      </w:tr>
      <w:tr>
        <w:trPr>
          <w:trHeight w:val="145"/>
        </w:trPr>
        <w:tc>
          <w:tcPr>
            <w:tcW w:w="5580" w:type="dxa"/>
            <w:vAlign w:val="bottom"/>
            <w:shd w:val="clear" w:color="auto" w:fill="CFF0FC"/>
          </w:tcPr>
          <w:p>
            <w:pPr>
              <w:spacing w:after="0" w:line="146" w:lineRule="exact"/>
              <w:rPr>
                <w:sz w:val="20"/>
                <w:szCs w:val="20"/>
                <w:color w:val="auto"/>
              </w:rPr>
            </w:pPr>
            <w:r>
              <w:rPr>
                <w:rFonts w:ascii="Arial" w:cs="Arial" w:eastAsia="Arial" w:hAnsi="Arial"/>
                <w:sz w:val="13"/>
                <w:szCs w:val="13"/>
                <w:b w:val="1"/>
                <w:bCs w:val="1"/>
                <w:color w:val="auto"/>
              </w:rPr>
              <w:t>Adjustments to reconcile net income (loss) to net cash provided</w:t>
            </w: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58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by operating activities: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Depreciation</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279,733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262,289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210,441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intangible assets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62,445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56,324</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45,211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86,553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79,599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68,545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disposition of fixed assets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45,622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41,957</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Loss on extinguishment of debt</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10,217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non-cash adjustments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(3,154)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(25,330)</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(29,675)</w:t>
            </w:r>
          </w:p>
        </w:tc>
        <w:tc>
          <w:tcPr>
            <w:tcW w:w="0" w:type="dxa"/>
            <w:vAlign w:val="bottom"/>
          </w:tcPr>
          <w:p>
            <w:pPr>
              <w:spacing w:after="0"/>
              <w:rPr>
                <w:sz w:val="1"/>
                <w:szCs w:val="1"/>
                <w:color w:val="auto"/>
              </w:rPr>
            </w:pPr>
          </w:p>
        </w:tc>
      </w:tr>
      <w:tr>
        <w:trPr>
          <w:trHeight w:val="161"/>
        </w:trPr>
        <w:tc>
          <w:tcPr>
            <w:tcW w:w="5580" w:type="dxa"/>
            <w:vAlign w:val="bottom"/>
          </w:tcPr>
          <w:p>
            <w:pPr>
              <w:ind w:left="260"/>
              <w:spacing w:after="0"/>
              <w:rPr>
                <w:sz w:val="20"/>
                <w:szCs w:val="20"/>
                <w:color w:val="auto"/>
              </w:rPr>
            </w:pPr>
            <w:r>
              <w:rPr>
                <w:rFonts w:ascii="Arial" w:cs="Arial" w:eastAsia="Arial" w:hAnsi="Arial"/>
                <w:sz w:val="13"/>
                <w:szCs w:val="13"/>
                <w:color w:val="auto"/>
              </w:rPr>
              <w:t>Increase (decrease) in cash resulting from changes in operating assets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ind w:left="360"/>
              <w:spacing w:after="0"/>
              <w:rPr>
                <w:sz w:val="20"/>
                <w:szCs w:val="20"/>
                <w:color w:val="auto"/>
              </w:rPr>
            </w:pPr>
            <w:r>
              <w:rPr>
                <w:rFonts w:ascii="Arial" w:cs="Arial" w:eastAsia="Arial" w:hAnsi="Arial"/>
                <w:sz w:val="13"/>
                <w:szCs w:val="13"/>
                <w:color w:val="auto"/>
              </w:rPr>
              <w:t>and liabilities, net of effect of acquisition:</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Accounts receivable</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(44,807)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(46,108)</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(12,439)</w:t>
            </w: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Inventories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(58,997)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3"/>
                <w:szCs w:val="13"/>
                <w:color w:val="auto"/>
              </w:rPr>
              <w:t>(36,593)</w:t>
            </w: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(37,562)</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assets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(3,313)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(2,349)</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(25,975)</w:t>
            </w: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Accounts payable</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28,175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3"/>
                <w:szCs w:val="13"/>
                <w:color w:val="auto"/>
              </w:rPr>
              <w:t>(5,714)</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32,503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Accrued liabilities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55,126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71,478</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Other liabilities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(24,260)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3"/>
                <w:szCs w:val="13"/>
                <w:color w:val="auto"/>
              </w:rPr>
              <w:t>(1,533)</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72,622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3"/>
                <w:szCs w:val="13"/>
                <w:color w:val="auto"/>
              </w:rPr>
              <w:t>Net cash provided by operating activities</w:t>
            </w:r>
          </w:p>
        </w:tc>
        <w:tc>
          <w:tcPr>
            <w:tcW w:w="10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436,936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327,551</w:t>
            </w: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358,633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property, equipment and satellites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(693,966)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(636,855)</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(511,634)</w:t>
            </w:r>
          </w:p>
        </w:tc>
        <w:tc>
          <w:tcPr>
            <w:tcW w:w="0" w:type="dxa"/>
            <w:vAlign w:val="bottom"/>
          </w:tcPr>
          <w:p>
            <w:pPr>
              <w:spacing w:after="0"/>
              <w:rPr>
                <w:sz w:val="1"/>
                <w:szCs w:val="1"/>
                <w:color w:val="auto"/>
              </w:rPr>
            </w:pPr>
          </w:p>
        </w:tc>
      </w:tr>
      <w:tr>
        <w:trPr>
          <w:trHeight w:val="162"/>
        </w:trPr>
        <w:tc>
          <w:tcPr>
            <w:tcW w:w="5580" w:type="dxa"/>
            <w:vAlign w:val="bottom"/>
          </w:tcPr>
          <w:p>
            <w:pPr>
              <w:ind w:left="260"/>
              <w:spacing w:after="0"/>
              <w:rPr>
                <w:sz w:val="20"/>
                <w:szCs w:val="20"/>
                <w:color w:val="auto"/>
              </w:rPr>
            </w:pPr>
            <w:r>
              <w:rPr>
                <w:rFonts w:ascii="Arial" w:cs="Arial" w:eastAsia="Arial" w:hAnsi="Arial"/>
                <w:sz w:val="13"/>
                <w:szCs w:val="13"/>
                <w:color w:val="auto"/>
              </w:rPr>
              <w:t>Cash paid for patents, licenses and other assets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(67,112)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3"/>
                <w:szCs w:val="13"/>
                <w:color w:val="auto"/>
              </w:rPr>
              <w:t>(49,965)</w:t>
            </w: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(72,853)</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insurance claims on ViaSat-2 satellite</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185,706</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580" w:type="dxa"/>
            <w:vAlign w:val="bottom"/>
          </w:tcPr>
          <w:p>
            <w:pPr>
              <w:ind w:left="260"/>
              <w:spacing w:after="0"/>
              <w:rPr>
                <w:sz w:val="20"/>
                <w:szCs w:val="20"/>
                <w:color w:val="auto"/>
              </w:rPr>
            </w:pPr>
            <w:r>
              <w:rPr>
                <w:rFonts w:ascii="Arial" w:cs="Arial" w:eastAsia="Arial" w:hAnsi="Arial"/>
                <w:sz w:val="13"/>
                <w:szCs w:val="13"/>
                <w:color w:val="auto"/>
              </w:rPr>
              <w:t>Proceeds from sale of real property</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14,034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related to acquisition of business, net of cash acquired</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(2,339)</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80" w:type="dxa"/>
            <w:vAlign w:val="bottom"/>
          </w:tcPr>
          <w:p>
            <w:pPr>
              <w:ind w:left="740"/>
              <w:spacing w:after="0"/>
              <w:rPr>
                <w:sz w:val="20"/>
                <w:szCs w:val="20"/>
                <w:color w:val="auto"/>
              </w:rPr>
            </w:pPr>
            <w:r>
              <w:rPr>
                <w:rFonts w:ascii="Arial" w:cs="Arial" w:eastAsia="Arial" w:hAnsi="Arial"/>
                <w:sz w:val="13"/>
                <w:szCs w:val="13"/>
                <w:color w:val="auto"/>
              </w:rPr>
              <w:t>Net cash used in investing activities</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(758,801)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3"/>
                <w:szCs w:val="13"/>
                <w:color w:val="auto"/>
              </w:rPr>
              <w:t>(489,419)</w:t>
            </w:r>
          </w:p>
        </w:tc>
        <w:tc>
          <w:tcPr>
            <w:tcW w:w="22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(584,487)</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Proceeds from debt borrowings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1,110,000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752,503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Payments of debt borrowings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(59,691)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(732,840)</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(575,000)</w:t>
            </w: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Payment of debt issuance costs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(2,479)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3"/>
                <w:szCs w:val="13"/>
                <w:color w:val="auto"/>
              </w:rPr>
              <w:t>(9,767)</w:t>
            </w: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(9,759)</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Payment of debt extinguishment costs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(10,602)</w:t>
            </w: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Proceeds from issuance of common stock under equity plans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38,410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26,330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26,165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Purchase of common stock in treasury (immediately retired)</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shd w:val="clear" w:color="auto" w:fill="CFF0FC"/>
          </w:tcPr>
          <w:p>
            <w:pPr>
              <w:ind w:left="620"/>
              <w:spacing w:after="0"/>
              <w:rPr>
                <w:sz w:val="20"/>
                <w:szCs w:val="20"/>
                <w:color w:val="auto"/>
              </w:rPr>
            </w:pPr>
            <w:r>
              <w:rPr>
                <w:rFonts w:ascii="Arial" w:cs="Arial" w:eastAsia="Arial" w:hAnsi="Arial"/>
                <w:sz w:val="13"/>
                <w:szCs w:val="13"/>
                <w:color w:val="auto"/>
              </w:rPr>
              <w:t>related to tax withholdings for stock-based compensation</w:t>
            </w: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(28,802)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(28,826)</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(24,206)</w:t>
            </w: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Proceeds from noncontrolling interest capital contribution</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8,491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financing activities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(2,253)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(10,280)</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(1,816)</w:t>
            </w:r>
          </w:p>
        </w:tc>
        <w:tc>
          <w:tcPr>
            <w:tcW w:w="0" w:type="dxa"/>
            <w:vAlign w:val="bottom"/>
          </w:tcPr>
          <w:p>
            <w:pPr>
              <w:spacing w:after="0"/>
              <w:rPr>
                <w:sz w:val="1"/>
                <w:szCs w:val="1"/>
                <w:color w:val="auto"/>
              </w:rPr>
            </w:pPr>
          </w:p>
        </w:tc>
      </w:tr>
      <w:tr>
        <w:trPr>
          <w:trHeight w:val="155"/>
        </w:trPr>
        <w:tc>
          <w:tcPr>
            <w:tcW w:w="5580" w:type="dxa"/>
            <w:vAlign w:val="bottom"/>
          </w:tcPr>
          <w:p>
            <w:pPr>
              <w:ind w:left="740"/>
              <w:spacing w:after="0"/>
              <w:rPr>
                <w:sz w:val="20"/>
                <w:szCs w:val="20"/>
                <w:color w:val="auto"/>
              </w:rPr>
            </w:pPr>
            <w:r>
              <w:rPr>
                <w:rFonts w:ascii="Arial" w:cs="Arial" w:eastAsia="Arial" w:hAnsi="Arial"/>
                <w:sz w:val="13"/>
                <w:szCs w:val="13"/>
                <w:color w:val="auto"/>
              </w:rPr>
              <w:t>Net cash provided by financing activities</w:t>
            </w:r>
          </w:p>
        </w:tc>
        <w:tc>
          <w:tcPr>
            <w:tcW w:w="10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365,185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354,617</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165,776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spacing w:after="0"/>
              <w:rPr>
                <w:sz w:val="20"/>
                <w:szCs w:val="20"/>
                <w:color w:val="auto"/>
              </w:rPr>
            </w:pPr>
            <w:r>
              <w:rPr>
                <w:rFonts w:ascii="Arial" w:cs="Arial" w:eastAsia="Arial" w:hAnsi="Arial"/>
                <w:sz w:val="13"/>
                <w:szCs w:val="13"/>
                <w:color w:val="auto"/>
              </w:rPr>
              <w:t>Effect of exchange rate changes on cash</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(712)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(2,494)</w:t>
            </w: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80" w:type="dxa"/>
            <w:vAlign w:val="bottom"/>
          </w:tcPr>
          <w:p>
            <w:pPr>
              <w:spacing w:after="0"/>
              <w:rPr>
                <w:sz w:val="20"/>
                <w:szCs w:val="20"/>
                <w:color w:val="auto"/>
              </w:rPr>
            </w:pPr>
            <w:r>
              <w:rPr>
                <w:rFonts w:ascii="Arial" w:cs="Arial" w:eastAsia="Arial" w:hAnsi="Arial"/>
                <w:sz w:val="13"/>
                <w:szCs w:val="13"/>
                <w:color w:val="auto"/>
              </w:rPr>
              <w:t>Net increase (decrease) in cash and cash equivalents</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42,608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190,255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(58,652)</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spacing w:after="0"/>
              <w:rPr>
                <w:sz w:val="20"/>
                <w:szCs w:val="20"/>
                <w:color w:val="auto"/>
              </w:rPr>
            </w:pPr>
            <w:r>
              <w:rPr>
                <w:rFonts w:ascii="Arial" w:cs="Arial" w:eastAsia="Arial" w:hAnsi="Arial"/>
                <w:sz w:val="13"/>
                <w:szCs w:val="13"/>
                <w:color w:val="auto"/>
              </w:rPr>
              <w:t>Cash and cash equivalents at beginning of fiscal year</w:t>
            </w:r>
          </w:p>
        </w:tc>
        <w:tc>
          <w:tcPr>
            <w:tcW w:w="10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261,701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71,446</w:t>
            </w:r>
          </w:p>
        </w:tc>
        <w:tc>
          <w:tcPr>
            <w:tcW w:w="24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130,098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580" w:type="dxa"/>
            <w:vAlign w:val="bottom"/>
          </w:tcPr>
          <w:p>
            <w:pPr>
              <w:spacing w:after="0"/>
              <w:rPr>
                <w:sz w:val="20"/>
                <w:szCs w:val="20"/>
                <w:color w:val="auto"/>
              </w:rPr>
            </w:pPr>
            <w:r>
              <w:rPr>
                <w:rFonts w:ascii="Arial" w:cs="Arial" w:eastAsia="Arial" w:hAnsi="Arial"/>
                <w:sz w:val="13"/>
                <w:szCs w:val="13"/>
                <w:color w:val="auto"/>
              </w:rPr>
              <w:t>Cash and cash equivalents at end of fiscal year</w:t>
            </w:r>
          </w:p>
        </w:tc>
        <w:tc>
          <w:tcPr>
            <w:tcW w:w="13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304,309</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261,701</w:t>
            </w:r>
          </w:p>
        </w:tc>
        <w:tc>
          <w:tcPr>
            <w:tcW w:w="240" w:type="dxa"/>
            <w:vAlign w:val="bottom"/>
          </w:tcPr>
          <w:p>
            <w:pPr>
              <w:spacing w:after="0"/>
              <w:rPr>
                <w:sz w:val="17"/>
                <w:szCs w:val="17"/>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71,446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5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Supplemental information:</w:t>
            </w:r>
          </w:p>
        </w:tc>
        <w:tc>
          <w:tcPr>
            <w:tcW w:w="10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58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Cash paid for interest (net of amounts capitalized)</w:t>
            </w:r>
          </w:p>
        </w:tc>
        <w:tc>
          <w:tcPr>
            <w:tcW w:w="10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27,805</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35,119</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580" w:type="dxa"/>
            <w:vAlign w:val="bottom"/>
            <w:shd w:val="clear" w:color="auto" w:fill="CFF0FC"/>
          </w:tcPr>
          <w:p>
            <w:pPr>
              <w:ind w:left="260"/>
              <w:spacing w:after="0" w:line="143" w:lineRule="exact"/>
              <w:rPr>
                <w:sz w:val="20"/>
                <w:szCs w:val="20"/>
                <w:color w:val="auto"/>
              </w:rPr>
            </w:pPr>
            <w:r>
              <w:rPr>
                <w:rFonts w:ascii="Arial" w:cs="Arial" w:eastAsia="Arial" w:hAnsi="Arial"/>
                <w:sz w:val="13"/>
                <w:szCs w:val="13"/>
                <w:color w:val="auto"/>
              </w:rPr>
              <w:t>Cash paid for income taxes, net</w:t>
            </w:r>
          </w:p>
        </w:tc>
        <w:tc>
          <w:tcPr>
            <w:tcW w:w="1300" w:type="dxa"/>
            <w:vAlign w:val="bottom"/>
            <w:gridSpan w:val="2"/>
            <w:shd w:val="clear" w:color="auto" w:fill="CFF0FC"/>
          </w:tcPr>
          <w:p>
            <w:pPr>
              <w:jc w:val="right"/>
              <w:ind w:right="73"/>
              <w:spacing w:after="0" w:line="143" w:lineRule="exact"/>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10,950</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2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1,758</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73"/>
              <w:spacing w:after="0" w:line="143" w:lineRule="exact"/>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4,021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10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Issuance of common stock in satisfaction of certain accrued</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shd w:val="clear" w:color="auto" w:fill="CFF0FC"/>
          </w:tcPr>
          <w:p>
            <w:pPr>
              <w:ind w:left="620"/>
              <w:spacing w:after="0"/>
              <w:rPr>
                <w:sz w:val="20"/>
                <w:szCs w:val="20"/>
                <w:color w:val="auto"/>
              </w:rPr>
            </w:pPr>
            <w:r>
              <w:rPr>
                <w:rFonts w:ascii="Arial" w:cs="Arial" w:eastAsia="Arial" w:hAnsi="Arial"/>
                <w:sz w:val="13"/>
                <w:szCs w:val="13"/>
                <w:color w:val="auto"/>
              </w:rPr>
              <w:t>employee compensation liabilities</w:t>
            </w:r>
          </w:p>
        </w:tc>
        <w:tc>
          <w:tcPr>
            <w:tcW w:w="1300" w:type="dxa"/>
            <w:vAlign w:val="bottom"/>
            <w:gridSpan w:val="2"/>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22,829</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32,129</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Capital expenditures not paid for</w:t>
            </w:r>
          </w:p>
        </w:tc>
        <w:tc>
          <w:tcPr>
            <w:tcW w:w="13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43,606</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40,619</w:t>
            </w:r>
          </w:p>
        </w:tc>
        <w:tc>
          <w:tcPr>
            <w:tcW w:w="240" w:type="dxa"/>
            <w:vAlign w:val="bottom"/>
          </w:tcPr>
          <w:p>
            <w:pPr>
              <w:spacing w:after="0"/>
              <w:rPr>
                <w:sz w:val="14"/>
                <w:szCs w:val="14"/>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41,149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Debt issuance costs not paid for</w:t>
            </w:r>
          </w:p>
        </w:tc>
        <w:tc>
          <w:tcPr>
            <w:tcW w:w="1300" w:type="dxa"/>
            <w:vAlign w:val="bottom"/>
            <w:gridSpan w:val="2"/>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2,479</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580" w:type="dxa"/>
            <w:vAlign w:val="bottom"/>
          </w:tcPr>
          <w:p>
            <w:pPr>
              <w:ind w:left="500"/>
              <w:spacing w:after="0"/>
              <w:rPr>
                <w:sz w:val="20"/>
                <w:szCs w:val="20"/>
                <w:color w:val="auto"/>
              </w:rPr>
            </w:pPr>
            <w:r>
              <w:rPr>
                <w:rFonts w:ascii="Arial" w:cs="Arial" w:eastAsia="Arial" w:hAnsi="Arial"/>
                <w:sz w:val="13"/>
                <w:szCs w:val="13"/>
                <w:color w:val="auto"/>
              </w:rPr>
              <w:t>Exposure fees on Ex-Im credit facility financed through</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620"/>
              <w:spacing w:after="0"/>
              <w:rPr>
                <w:sz w:val="20"/>
                <w:szCs w:val="20"/>
                <w:color w:val="auto"/>
              </w:rPr>
            </w:pPr>
            <w:r>
              <w:rPr>
                <w:rFonts w:ascii="Arial" w:cs="Arial" w:eastAsia="Arial" w:hAnsi="Arial"/>
                <w:sz w:val="13"/>
                <w:szCs w:val="13"/>
                <w:color w:val="auto"/>
              </w:rPr>
              <w:t>Ex-Im credit facility</w:t>
            </w:r>
          </w:p>
        </w:tc>
        <w:tc>
          <w:tcPr>
            <w:tcW w:w="13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5,764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auto"/>
        </w:rPr>
        <w:t>Viasat, Inc.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8890</wp:posOffset>
            </wp:positionV>
            <wp:extent cx="32143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Common Stock</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9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300"/>
              <w:spacing w:after="0" w:line="13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rPr>
              <w:t>Other</w:t>
            </w: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Noncontrolling</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Retained</w:t>
            </w:r>
          </w:p>
        </w:tc>
        <w:tc>
          <w:tcPr>
            <w:tcW w:w="1320" w:type="dxa"/>
            <w:vAlign w:val="bottom"/>
            <w:gridSpan w:val="5"/>
          </w:tcPr>
          <w:p>
            <w:pPr>
              <w:ind w:left="100"/>
              <w:spacing w:after="0"/>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Interest in</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39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Issued</w:t>
            </w:r>
          </w:p>
        </w:tc>
        <w:tc>
          <w:tcPr>
            <w:tcW w:w="1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Income (Loss)</w:t>
            </w:r>
          </w:p>
        </w:tc>
        <w:tc>
          <w:tcPr>
            <w:tcW w:w="1080" w:type="dxa"/>
            <w:vAlign w:val="bottom"/>
            <w:gridSpan w:val="3"/>
          </w:tcPr>
          <w:p>
            <w:pPr>
              <w:ind w:left="80"/>
              <w:spacing w:after="0"/>
              <w:rPr>
                <w:sz w:val="20"/>
                <w:szCs w:val="20"/>
                <w:color w:val="auto"/>
              </w:rPr>
            </w:pPr>
            <w:r>
              <w:rPr>
                <w:rFonts w:ascii="Arial" w:cs="Arial" w:eastAsia="Arial" w:hAnsi="Arial"/>
                <w:sz w:val="13"/>
                <w:szCs w:val="13"/>
                <w:b w:val="1"/>
                <w:bCs w:val="1"/>
                <w:color w:val="auto"/>
              </w:rPr>
              <w:t>Subsidiaries</w:t>
            </w: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156"/>
        </w:trPr>
        <w:tc>
          <w:tcPr>
            <w:tcW w:w="39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20" w:type="dxa"/>
            <w:vAlign w:val="bottom"/>
            <w:tcBorders>
              <w:top w:val="single" w:sz="8" w:color="auto"/>
            </w:tcBorders>
            <w:gridSpan w:val="11"/>
          </w:tcPr>
          <w:p>
            <w:pPr>
              <w:ind w:left="500"/>
              <w:spacing w:after="0"/>
              <w:rPr>
                <w:sz w:val="20"/>
                <w:szCs w:val="20"/>
                <w:color w:val="auto"/>
              </w:rPr>
            </w:pPr>
            <w:r>
              <w:rPr>
                <w:rFonts w:ascii="Arial" w:cs="Arial" w:eastAsia="Arial" w:hAnsi="Arial"/>
                <w:sz w:val="13"/>
                <w:szCs w:val="13"/>
                <w:b w:val="1"/>
                <w:bCs w:val="1"/>
                <w:color w:val="auto"/>
              </w:rPr>
              <w:t>(In thousands, except share data)</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2017</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57,600,609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$ 1,439,645</w:t>
            </w:r>
          </w:p>
        </w:tc>
        <w:tc>
          <w:tcPr>
            <w:tcW w:w="1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297,471</w:t>
            </w: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(2,504)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3,313</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$ 1,737,931</w:t>
            </w:r>
          </w:p>
        </w:tc>
        <w:tc>
          <w:tcPr>
            <w:tcW w:w="100" w:type="dxa"/>
            <w:vAlign w:val="bottom"/>
            <w:shd w:val="clear" w:color="auto" w:fill="CFF0FC"/>
          </w:tcPr>
          <w:p>
            <w:pPr>
              <w:spacing w:after="0"/>
              <w:rPr>
                <w:sz w:val="15"/>
                <w:szCs w:val="15"/>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287,012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13,371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13,371</w:t>
            </w:r>
          </w:p>
        </w:tc>
        <w:tc>
          <w:tcPr>
            <w:tcW w:w="100" w:type="dxa"/>
            <w:vAlign w:val="bottom"/>
          </w:tcPr>
          <w:p>
            <w:pPr>
              <w:spacing w:after="0"/>
              <w:rPr>
                <w:sz w:val="15"/>
                <w:szCs w:val="15"/>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under Employee Stock</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Purchase Plan</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227,381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spacing w:after="0" w:line="157" w:lineRule="exact"/>
              <w:rPr>
                <w:sz w:val="20"/>
                <w:szCs w:val="20"/>
                <w:color w:val="auto"/>
              </w:rPr>
            </w:pPr>
            <w:r>
              <w:rPr>
                <w:rFonts w:ascii="Arial" w:cs="Arial" w:eastAsia="Arial" w:hAnsi="Arial"/>
                <w:sz w:val="14"/>
                <w:szCs w:val="14"/>
                <w:color w:val="auto"/>
              </w:rPr>
              <w:t>12,794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12,794</w:t>
            </w:r>
          </w:p>
        </w:tc>
        <w:tc>
          <w:tcPr>
            <w:tcW w:w="100" w:type="dxa"/>
            <w:vAlign w:val="bottom"/>
            <w:shd w:val="clear" w:color="auto" w:fill="CFF0FC"/>
          </w:tcPr>
          <w:p>
            <w:pPr>
              <w:spacing w:after="0"/>
              <w:rPr>
                <w:sz w:val="13"/>
                <w:szCs w:val="13"/>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76,512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76,512</w:t>
            </w:r>
          </w:p>
        </w:tc>
        <w:tc>
          <w:tcPr>
            <w:tcW w:w="100" w:type="dxa"/>
            <w:vAlign w:val="bottom"/>
          </w:tcPr>
          <w:p>
            <w:pPr>
              <w:spacing w:after="0"/>
              <w:rPr>
                <w:sz w:val="15"/>
                <w:szCs w:val="15"/>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228,791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spacing w:after="0" w:line="157" w:lineRule="exact"/>
              <w:rPr>
                <w:sz w:val="20"/>
                <w:szCs w:val="20"/>
                <w:color w:val="auto"/>
              </w:rPr>
            </w:pPr>
            <w:r>
              <w:rPr>
                <w:rFonts w:ascii="Arial" w:cs="Arial" w:eastAsia="Arial" w:hAnsi="Arial"/>
                <w:sz w:val="14"/>
                <w:szCs w:val="14"/>
                <w:color w:val="auto"/>
              </w:rPr>
              <w:t>16,409</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16,409</w:t>
            </w:r>
          </w:p>
        </w:tc>
        <w:tc>
          <w:tcPr>
            <w:tcW w:w="100" w:type="dxa"/>
            <w:vAlign w:val="bottom"/>
            <w:shd w:val="clear" w:color="auto" w:fill="CFF0FC"/>
          </w:tcPr>
          <w:p>
            <w:pPr>
              <w:spacing w:after="0"/>
              <w:rPr>
                <w:sz w:val="13"/>
                <w:szCs w:val="13"/>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3900" w:type="dxa"/>
            <w:vAlign w:val="bottom"/>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561,481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4"/>
          </w:tcPr>
          <w:p>
            <w:pPr>
              <w:jc w:val="right"/>
              <w:ind w:right="60"/>
              <w:spacing w:after="0" w:line="157" w:lineRule="exact"/>
              <w:rPr>
                <w:sz w:val="20"/>
                <w:szCs w:val="20"/>
                <w:color w:val="auto"/>
              </w:rPr>
            </w:pPr>
            <w:r>
              <w:rPr>
                <w:rFonts w:ascii="Arial" w:cs="Arial" w:eastAsia="Arial" w:hAnsi="Arial"/>
                <w:sz w:val="14"/>
                <w:szCs w:val="14"/>
                <w:color w:val="auto"/>
              </w:rPr>
              <w:t>(24,206)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(24,206)</w:t>
            </w: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Cumulative effect adjustment upon adoption of new</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stock compensation guidance (ASU 2016-09)</w:t>
            </w:r>
          </w:p>
        </w:tc>
        <w:tc>
          <w:tcPr>
            <w:tcW w:w="1040" w:type="dxa"/>
            <w:vAlign w:val="bottom"/>
            <w:gridSpan w:val="3"/>
            <w:shd w:val="clear" w:color="auto" w:fill="CFF0FC"/>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spacing w:after="0" w:line="157" w:lineRule="exact"/>
              <w:rPr>
                <w:sz w:val="20"/>
                <w:szCs w:val="20"/>
                <w:color w:val="auto"/>
              </w:rPr>
            </w:pPr>
            <w:r>
              <w:rPr>
                <w:rFonts w:ascii="Arial" w:cs="Arial" w:eastAsia="Arial" w:hAnsi="Arial"/>
                <w:sz w:val="14"/>
                <w:szCs w:val="14"/>
                <w:color w:val="auto"/>
              </w:rPr>
              <w:t>1,110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58,011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59,121</w:t>
            </w:r>
          </w:p>
        </w:tc>
        <w:tc>
          <w:tcPr>
            <w:tcW w:w="100" w:type="dxa"/>
            <w:vAlign w:val="bottom"/>
            <w:shd w:val="clear" w:color="auto" w:fill="CFF0FC"/>
          </w:tcPr>
          <w:p>
            <w:pPr>
              <w:spacing w:after="0"/>
              <w:rPr>
                <w:sz w:val="13"/>
                <w:szCs w:val="13"/>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Reclassification of stranded tax effects in OCI due to</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3900" w:type="dxa"/>
            <w:vAlign w:val="bottom"/>
          </w:tcPr>
          <w:p>
            <w:pPr>
              <w:ind w:left="120"/>
              <w:spacing w:after="0" w:line="157" w:lineRule="exact"/>
              <w:rPr>
                <w:sz w:val="20"/>
                <w:szCs w:val="20"/>
                <w:color w:val="auto"/>
              </w:rPr>
            </w:pPr>
            <w:r>
              <w:rPr>
                <w:rFonts w:ascii="Arial" w:cs="Arial" w:eastAsia="Arial" w:hAnsi="Arial"/>
                <w:sz w:val="14"/>
                <w:szCs w:val="14"/>
                <w:color w:val="auto"/>
              </w:rPr>
              <w:t>Tax Reform Revaluation</w:t>
            </w:r>
          </w:p>
        </w:tc>
        <w:tc>
          <w:tcPr>
            <w:tcW w:w="1040" w:type="dxa"/>
            <w:vAlign w:val="bottom"/>
            <w:gridSpan w:val="3"/>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(2,217)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2,217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r>
      <w:tr>
        <w:trPr>
          <w:trHeight w:val="175"/>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Proceeds from noncontrolling interest capital contribution</w:t>
            </w: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8,491</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8,491</w:t>
            </w:r>
          </w:p>
        </w:tc>
        <w:tc>
          <w:tcPr>
            <w:tcW w:w="100" w:type="dxa"/>
            <w:vAlign w:val="bottom"/>
            <w:shd w:val="clear" w:color="auto" w:fill="CFF0FC"/>
          </w:tcPr>
          <w:p>
            <w:pPr>
              <w:spacing w:after="0"/>
              <w:rPr>
                <w:sz w:val="15"/>
                <w:szCs w:val="15"/>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Other noncontrolling interest activity</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r>
      <w:tr>
        <w:trPr>
          <w:trHeight w:val="175"/>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(67,305)</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(970)</w:t>
            </w: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(68,275)</w:t>
            </w:r>
          </w:p>
        </w:tc>
      </w:tr>
      <w:tr>
        <w:trPr>
          <w:trHeight w:val="176"/>
        </w:trPr>
        <w:tc>
          <w:tcPr>
            <w:tcW w:w="39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15,852</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15,852</w:t>
            </w:r>
          </w:p>
        </w:tc>
        <w:tc>
          <w:tcPr>
            <w:tcW w:w="100" w:type="dxa"/>
            <w:vAlign w:val="bottom"/>
            <w:tcBorders>
              <w:bottom w:val="single" w:sz="8" w:color="CFF0FC"/>
            </w:tcBorders>
          </w:tcPr>
          <w:p>
            <w:pPr>
              <w:spacing w:after="0"/>
              <w:rPr>
                <w:sz w:val="15"/>
                <w:szCs w:val="15"/>
                <w:color w:val="auto"/>
              </w:rPr>
            </w:pPr>
          </w:p>
        </w:tc>
      </w:tr>
      <w:tr>
        <w:trPr>
          <w:trHeight w:val="169"/>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2018</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58,905,274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$ 1,535,635</w:t>
            </w: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285,960</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15,565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10,841</w:t>
            </w: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$ 1,848,007</w:t>
            </w:r>
          </w:p>
        </w:tc>
        <w:tc>
          <w:tcPr>
            <w:tcW w:w="100" w:type="dxa"/>
            <w:vAlign w:val="bottom"/>
            <w:shd w:val="clear" w:color="auto" w:fill="CFF0FC"/>
          </w:tcPr>
          <w:p>
            <w:pPr>
              <w:spacing w:after="0"/>
              <w:rPr>
                <w:sz w:val="14"/>
                <w:szCs w:val="14"/>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275,000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11,087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11,087</w:t>
            </w:r>
          </w:p>
        </w:tc>
        <w:tc>
          <w:tcPr>
            <w:tcW w:w="100" w:type="dxa"/>
            <w:vAlign w:val="bottom"/>
          </w:tcPr>
          <w:p>
            <w:pPr>
              <w:spacing w:after="0"/>
              <w:rPr>
                <w:sz w:val="15"/>
                <w:szCs w:val="15"/>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under Employee Stock</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Purchase Plan</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289,024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spacing w:after="0" w:line="157" w:lineRule="exact"/>
              <w:rPr>
                <w:sz w:val="20"/>
                <w:szCs w:val="20"/>
                <w:color w:val="auto"/>
              </w:rPr>
            </w:pPr>
            <w:r>
              <w:rPr>
                <w:rFonts w:ascii="Arial" w:cs="Arial" w:eastAsia="Arial" w:hAnsi="Arial"/>
                <w:sz w:val="14"/>
                <w:szCs w:val="14"/>
                <w:color w:val="auto"/>
              </w:rPr>
              <w:t>15,243</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15,243</w:t>
            </w:r>
          </w:p>
        </w:tc>
        <w:tc>
          <w:tcPr>
            <w:tcW w:w="100" w:type="dxa"/>
            <w:vAlign w:val="bottom"/>
            <w:shd w:val="clear" w:color="auto" w:fill="CFF0FC"/>
          </w:tcPr>
          <w:p>
            <w:pPr>
              <w:spacing w:after="0"/>
              <w:rPr>
                <w:sz w:val="13"/>
                <w:szCs w:val="13"/>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91,470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91,470</w:t>
            </w:r>
          </w:p>
        </w:tc>
        <w:tc>
          <w:tcPr>
            <w:tcW w:w="100" w:type="dxa"/>
            <w:vAlign w:val="bottom"/>
          </w:tcPr>
          <w:p>
            <w:pPr>
              <w:spacing w:after="0"/>
              <w:rPr>
                <w:sz w:val="15"/>
                <w:szCs w:val="15"/>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Shares and fully-vested RSUs issued in settlement of</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2"/>
        </w:trPr>
        <w:tc>
          <w:tcPr>
            <w:tcW w:w="39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certain accrued employee compensation liabilities,</w:t>
            </w: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9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of shares withheld for taxes which have been</w:t>
            </w: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retired</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438,433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spacing w:after="0" w:line="157" w:lineRule="exact"/>
              <w:rPr>
                <w:sz w:val="20"/>
                <w:szCs w:val="20"/>
                <w:color w:val="auto"/>
              </w:rPr>
            </w:pPr>
            <w:r>
              <w:rPr>
                <w:rFonts w:ascii="Arial" w:cs="Arial" w:eastAsia="Arial" w:hAnsi="Arial"/>
                <w:sz w:val="14"/>
                <w:szCs w:val="14"/>
                <w:color w:val="auto"/>
              </w:rPr>
              <w:t>27,701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27,701</w:t>
            </w:r>
          </w:p>
        </w:tc>
        <w:tc>
          <w:tcPr>
            <w:tcW w:w="100" w:type="dxa"/>
            <w:vAlign w:val="bottom"/>
            <w:shd w:val="clear" w:color="auto" w:fill="CFF0FC"/>
          </w:tcPr>
          <w:p>
            <w:pPr>
              <w:spacing w:after="0"/>
              <w:rPr>
                <w:sz w:val="13"/>
                <w:szCs w:val="13"/>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3900" w:type="dxa"/>
            <w:vAlign w:val="bottom"/>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642,362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4"/>
          </w:tcPr>
          <w:p>
            <w:pPr>
              <w:jc w:val="right"/>
              <w:ind w:right="60"/>
              <w:spacing w:after="0" w:line="157" w:lineRule="exact"/>
              <w:rPr>
                <w:sz w:val="20"/>
                <w:szCs w:val="20"/>
                <w:color w:val="auto"/>
              </w:rPr>
            </w:pPr>
            <w:r>
              <w:rPr>
                <w:rFonts w:ascii="Arial" w:cs="Arial" w:eastAsia="Arial" w:hAnsi="Arial"/>
                <w:sz w:val="14"/>
                <w:szCs w:val="14"/>
                <w:color w:val="auto"/>
              </w:rPr>
              <w:t>(24,398)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(24,398)</w:t>
            </w: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Cumulative effect adjustment upon adoption of new</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revenue recognition guidance (ASU 2014-09)</w:t>
            </w:r>
          </w:p>
        </w:tc>
        <w:tc>
          <w:tcPr>
            <w:tcW w:w="1040" w:type="dxa"/>
            <w:vAlign w:val="bottom"/>
            <w:gridSpan w:val="3"/>
            <w:shd w:val="clear" w:color="auto" w:fill="CFF0FC"/>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27,248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27,248</w:t>
            </w:r>
          </w:p>
        </w:tc>
        <w:tc>
          <w:tcPr>
            <w:tcW w:w="100" w:type="dxa"/>
            <w:vAlign w:val="bottom"/>
            <w:shd w:val="clear" w:color="auto" w:fill="CFF0FC"/>
          </w:tcPr>
          <w:p>
            <w:pPr>
              <w:spacing w:after="0"/>
              <w:rPr>
                <w:sz w:val="13"/>
                <w:szCs w:val="13"/>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4"/>
                <w:szCs w:val="14"/>
                <w:color w:val="auto"/>
              </w:rPr>
              <w:t>Other noncontrolling interest activity</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(3,665)</w:t>
            </w: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(3,584)</w:t>
            </w:r>
          </w:p>
        </w:tc>
      </w:tr>
      <w:tr>
        <w:trPr>
          <w:trHeight w:val="175"/>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Net (loss) income</w:t>
            </w: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(67,623)</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1,154</w:t>
            </w:r>
          </w:p>
        </w:tc>
        <w:tc>
          <w:tcPr>
            <w:tcW w:w="10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(66,469)</w:t>
            </w:r>
          </w:p>
        </w:tc>
      </w:tr>
      <w:tr>
        <w:trPr>
          <w:trHeight w:val="175"/>
        </w:trPr>
        <w:tc>
          <w:tcPr>
            <w:tcW w:w="3900" w:type="dxa"/>
            <w:vAlign w:val="bottom"/>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(10,227)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(10,227)</w:t>
            </w:r>
          </w:p>
        </w:tc>
      </w:tr>
      <w:tr>
        <w:trPr>
          <w:trHeight w:val="169"/>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March 31, 2019</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60,550,093</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$ 1,656,819</w:t>
            </w:r>
          </w:p>
        </w:tc>
        <w:tc>
          <w:tcPr>
            <w:tcW w:w="1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245,585</w:t>
            </w:r>
          </w:p>
        </w:tc>
        <w:tc>
          <w:tcPr>
            <w:tcW w:w="12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gridSpan w:val="2"/>
            <w:shd w:val="clear" w:color="auto" w:fill="CFF0FC"/>
          </w:tcPr>
          <w:p>
            <w:pPr>
              <w:ind w:left="10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5,338</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8,330</w:t>
            </w:r>
          </w:p>
        </w:tc>
        <w:tc>
          <w:tcPr>
            <w:tcW w:w="10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$ 1,916,078</w:t>
            </w:r>
          </w:p>
        </w:tc>
        <w:tc>
          <w:tcPr>
            <w:tcW w:w="100" w:type="dxa"/>
            <w:vAlign w:val="bottom"/>
            <w:tcBorders>
              <w:top w:val="single" w:sz="8" w:color="CFF0FC"/>
            </w:tcBorders>
            <w:shd w:val="clear" w:color="auto" w:fill="CFF0FC"/>
          </w:tcPr>
          <w:p>
            <w:pPr>
              <w:spacing w:after="0"/>
              <w:rPr>
                <w:sz w:val="14"/>
                <w:szCs w:val="14"/>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340,373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21,060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21,060</w:t>
            </w:r>
          </w:p>
        </w:tc>
        <w:tc>
          <w:tcPr>
            <w:tcW w:w="100" w:type="dxa"/>
            <w:vAlign w:val="bottom"/>
          </w:tcPr>
          <w:p>
            <w:pPr>
              <w:spacing w:after="0"/>
              <w:rPr>
                <w:sz w:val="15"/>
                <w:szCs w:val="15"/>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under Employee Stock</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Purchase Plan</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311,137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spacing w:after="0" w:line="157" w:lineRule="exact"/>
              <w:rPr>
                <w:sz w:val="20"/>
                <w:szCs w:val="20"/>
                <w:color w:val="auto"/>
              </w:rPr>
            </w:pPr>
            <w:r>
              <w:rPr>
                <w:rFonts w:ascii="Arial" w:cs="Arial" w:eastAsia="Arial" w:hAnsi="Arial"/>
                <w:sz w:val="14"/>
                <w:szCs w:val="14"/>
                <w:color w:val="auto"/>
              </w:rPr>
              <w:t>17,350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17,350</w:t>
            </w:r>
          </w:p>
        </w:tc>
        <w:tc>
          <w:tcPr>
            <w:tcW w:w="100" w:type="dxa"/>
            <w:vAlign w:val="bottom"/>
            <w:shd w:val="clear" w:color="auto" w:fill="CFF0FC"/>
          </w:tcPr>
          <w:p>
            <w:pPr>
              <w:spacing w:after="0"/>
              <w:rPr>
                <w:sz w:val="13"/>
                <w:szCs w:val="13"/>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99,200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99,200</w:t>
            </w:r>
          </w:p>
        </w:tc>
        <w:tc>
          <w:tcPr>
            <w:tcW w:w="100" w:type="dxa"/>
            <w:vAlign w:val="bottom"/>
          </w:tcPr>
          <w:p>
            <w:pPr>
              <w:spacing w:after="0"/>
              <w:rPr>
                <w:sz w:val="15"/>
                <w:szCs w:val="15"/>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255,615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spacing w:after="0" w:line="157" w:lineRule="exact"/>
              <w:rPr>
                <w:sz w:val="20"/>
                <w:szCs w:val="20"/>
                <w:color w:val="auto"/>
              </w:rPr>
            </w:pPr>
            <w:r>
              <w:rPr>
                <w:rFonts w:ascii="Arial" w:cs="Arial" w:eastAsia="Arial" w:hAnsi="Arial"/>
                <w:sz w:val="14"/>
                <w:szCs w:val="14"/>
                <w:color w:val="auto"/>
              </w:rPr>
              <w:t>22,829</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22,829</w:t>
            </w:r>
          </w:p>
        </w:tc>
        <w:tc>
          <w:tcPr>
            <w:tcW w:w="100" w:type="dxa"/>
            <w:vAlign w:val="bottom"/>
            <w:shd w:val="clear" w:color="auto" w:fill="CFF0FC"/>
          </w:tcPr>
          <w:p>
            <w:pPr>
              <w:spacing w:after="0"/>
              <w:rPr>
                <w:sz w:val="13"/>
                <w:szCs w:val="13"/>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3900" w:type="dxa"/>
            <w:vAlign w:val="bottom"/>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689,922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4"/>
          </w:tcPr>
          <w:p>
            <w:pPr>
              <w:jc w:val="right"/>
              <w:ind w:right="60"/>
              <w:spacing w:after="0" w:line="157" w:lineRule="exact"/>
              <w:rPr>
                <w:sz w:val="20"/>
                <w:szCs w:val="20"/>
                <w:color w:val="auto"/>
              </w:rPr>
            </w:pPr>
            <w:r>
              <w:rPr>
                <w:rFonts w:ascii="Arial" w:cs="Arial" w:eastAsia="Arial" w:hAnsi="Arial"/>
                <w:sz w:val="14"/>
                <w:szCs w:val="14"/>
                <w:color w:val="auto"/>
              </w:rPr>
              <w:t>(28,802)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(28,802)</w:t>
            </w:r>
          </w:p>
        </w:tc>
      </w:tr>
      <w:tr>
        <w:trPr>
          <w:trHeight w:val="175"/>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Net (loss) income</w:t>
            </w: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14,025</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13,813</w:t>
            </w:r>
          </w:p>
        </w:tc>
        <w:tc>
          <w:tcPr>
            <w:tcW w:w="100" w:type="dxa"/>
            <w:vAlign w:val="bottom"/>
            <w:shd w:val="clear" w:color="auto" w:fill="CFF0FC"/>
          </w:tcPr>
          <w:p>
            <w:pPr>
              <w:spacing w:after="0"/>
              <w:rPr>
                <w:sz w:val="15"/>
                <w:szCs w:val="15"/>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(11,386)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(11,386)</w:t>
            </w:r>
          </w:p>
        </w:tc>
      </w:tr>
      <w:tr>
        <w:trPr>
          <w:trHeight w:val="20"/>
        </w:trPr>
        <w:tc>
          <w:tcPr>
            <w:tcW w:w="39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2020</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62,147,140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$ 1,788,456</w:t>
            </w: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245,373</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(6,048)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22,355</w:t>
            </w: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$ 2,050,142</w:t>
            </w:r>
          </w:p>
        </w:tc>
        <w:tc>
          <w:tcPr>
            <w:tcW w:w="100" w:type="dxa"/>
            <w:vAlign w:val="bottom"/>
            <w:shd w:val="clear" w:color="auto" w:fill="CFF0FC"/>
          </w:tcPr>
          <w:p>
            <w:pPr>
              <w:spacing w:after="0"/>
              <w:rPr>
                <w:sz w:val="14"/>
                <w:szCs w:val="14"/>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a Summary of Its Significant Accounting Policies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Company</w:t>
      </w:r>
    </w:p>
    <w:p>
      <w:pPr>
        <w:spacing w:after="0" w:line="99" w:lineRule="exact"/>
        <w:rPr>
          <w:sz w:val="20"/>
          <w:szCs w:val="20"/>
          <w:color w:val="auto"/>
        </w:rPr>
      </w:pPr>
    </w:p>
    <w:p>
      <w:pPr>
        <w:ind w:right="360" w:firstLine="510"/>
        <w:spacing w:after="0" w:line="246" w:lineRule="auto"/>
        <w:rPr>
          <w:sz w:val="20"/>
          <w:szCs w:val="20"/>
          <w:color w:val="auto"/>
        </w:rPr>
      </w:pPr>
      <w:r>
        <w:rPr>
          <w:rFonts w:ascii="Arial" w:cs="Arial" w:eastAsia="Arial" w:hAnsi="Arial"/>
          <w:sz w:val="18"/>
          <w:szCs w:val="18"/>
          <w:color w:val="auto"/>
        </w:rPr>
        <w:t>Viasat, Inc. (also referred to hereafter as the “Company” or “Viasat”) is an innovator in communications technologies and services, including high-speed and cost-effective broadband and advanced communications products and services.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85"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The Company’s consolidated financial statements include the assets, liabilities and results of operations of Viasat, its wholly owned subsidiaries and its majority-owned subsidiary, TrellisWare Technologies, Inc. (TrellisWare). During the third quarter of fiscal year 2019, Viasat Europe Sàrl (formerly known as Euro Broadband Retail Sàrl), which was previously a majority-owned subsidiary, became a wholly owned subsidiary when the Company purchased the remaining 49% interest in the company for an insignificant amount.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consolidated balance sheets.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 estimates and assumptions</w:t>
      </w:r>
    </w:p>
    <w:p>
      <w:pPr>
        <w:spacing w:after="0" w:line="85" w:lineRule="exact"/>
        <w:rPr>
          <w:sz w:val="20"/>
          <w:szCs w:val="20"/>
          <w:color w:val="auto"/>
        </w:rPr>
      </w:pPr>
    </w:p>
    <w:p>
      <w:pPr>
        <w:ind w:firstLine="510"/>
        <w:spacing w:after="0" w:line="25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contingencies and income taxes including the valuation allowance on deferred tax assets.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85"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The Company records any unconditional rights to consideration as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 experience, credit quality, the age of accounts receivable balances and current economic conditions that may affect a customer’s ability to pay. Amounts determined to be uncollectible are charged or written off against the reserve. Historically, the Company’s allowance for doubtful accounts has been minimal primarily because a significant portion of its sales has been to the U.S. government or with respect to its satellite services commercial business, the Company bills and collects in advance.</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9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equivalents and accounts receivable which are generally not collateralized. The Company limits its exposure to credit loss by placing its cash equivalents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historical past due amounts and any specific information that the Company becomes aware of such as bankruptcy or liquidity issues of customers.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40" w:firstLine="510"/>
        <w:spacing w:after="0" w:line="255" w:lineRule="auto"/>
        <w:rPr>
          <w:sz w:val="20"/>
          <w:szCs w:val="20"/>
          <w:color w:val="auto"/>
        </w:rPr>
      </w:pPr>
      <w:r>
        <w:rPr>
          <w:rFonts w:ascii="Arial" w:cs="Arial" w:eastAsia="Arial" w:hAnsi="Arial"/>
          <w:sz w:val="17"/>
          <w:szCs w:val="17"/>
          <w:color w:val="auto"/>
        </w:rPr>
        <w:t>Revenues from the U.S. government as an individual customer comprised approximately 30%, 26% and 31% of total revenues for fiscal years 2020, 2019 and 2018, respectively. Billed accounts receivable to the U.S. government as of March 31, 2020 and 2019 were approximately 35% and 32%, respectively, of total billed receivables. In addition, none of the Company’s commercial customers comprised 10% or more of total revenues for fiscal years 2020, 2019 and 2018. The Company’s five largest contracts generated approximately 18%, 20% and 20% of the Company’s total revenues for the fiscal years ended March 31, 2020, March 31, 2019 and March 31, 2018, respectively.</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relies on a limited number of contract manufacturers to produce its products.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is valued at the lower of cost and net realizable value, cost being determined by the weighted average cost method.</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17 years. Leasehold improvements are capitalized and amortized using the straight-line method over the shorter of the lease term or the life of the improvement.</w:t>
      </w:r>
    </w:p>
    <w:p>
      <w:pPr>
        <w:spacing w:after="0" w:line="200" w:lineRule="exact"/>
        <w:rPr>
          <w:sz w:val="20"/>
          <w:szCs w:val="20"/>
          <w:color w:val="auto"/>
        </w:rPr>
      </w:pPr>
    </w:p>
    <w:p>
      <w:pPr>
        <w:ind w:right="200" w:firstLine="510"/>
        <w:spacing w:after="0"/>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consolidated balance sheets.</w:t>
      </w:r>
    </w:p>
    <w:p>
      <w:pPr>
        <w:spacing w:after="0" w:line="149"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(Accounting Standards Codification (ASC) 835-20). With respect to the ViaSat-3 class satellites, gateway and networking equipment and other assets under construction, the Company capitalized $54.1 million and $39.5 million of interest expense for the fiscal years ended March 31, 2020 and March 31, 2019, respectively. With respect to the ViaSat-2 satellite, ViaSat-3 class satellites, gateway and networking equipment and other assets under construction, the Company capitalized $58.9 million of interest expense during the fiscal year ended March 31, 2018.</w:t>
      </w:r>
    </w:p>
    <w:p>
      <w:pPr>
        <w:spacing w:after="0" w:line="151"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The Company owns three satellites in service (ViaSat-2, ViaSat-1 and WildBlue-1) and has lifetime leases of Ka-band capacity on two satellites. The Company also has a global constellation of three third-generation ViaSat-3 class satellites under construction. In addition, the Company owns related earth stations and networking equipment for all of its satellites. The Company procures indoor and outdoor CPE units leased to subscribers under a retail leasing program as part of the Company’s satellite services segment, which are reflected in investing activities and property, equipment and satellites, net in the accompanying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March 31, 2020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were $399.3 million and $165.7 million, respectively. The total cost and accumulated depreciation of CPE units included in property, equipment and satellites, net, as of March 31, 2019 were $373.4 million and $142.6 million, respectively.</w:t>
      </w:r>
    </w:p>
    <w:p>
      <w:pPr>
        <w:spacing w:after="0" w:line="143"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On June 1, 2017, the Company’s second-generation ViaSat-2 satellite was successfully launched into orbit. In the fourth quarter of fiscal year 2018, shortly before the launch of commercial broadband services on the satellite, the Company reported an antenna deployment issue. The Company worked with the satellite manufacturer to determine the root cause of the antenna deployment issue, potential corrective measures, and resulting damage. In the second quarter of fiscal year 2019, the root cause analysis was completed. Based on that analysis, during the second quarter of fiscal year 2019, the Company recorded a reduction to the carrying value of the ViaSat-2 satellite of $177.4 million, with a corresponding insurance receivable of $177.4 million, based on the Company’s estimated ViaSat-2 output capabilities as compared to the anticipated, potential and configured capacity of the ViaSat-2 satellite. During the first three months of fiscal year 2020, the Company received the remaining insurance proceeds of $2.3 million, which were in addition to the $185.7 million of insurance proceeds received in fiscal year 2019 related to the ViaSat-2 satellite. The ViaSat-2 satellite was primarily financed by the Company’s direct loan facility with the Export-Import Bank of the United States for ViaSat-2 (the Ex-Im Credit Facility) (see Note 6 — Senior Notes and Other Long-Term Debt for more information). Pursuant to the terms of the Ex-Im Credit Facility, the proceeds received from the insurance claims for ViaSat-2 were used to pay down outstanding borrowings under the Ex-Im Credit Facility.</w:t>
      </w:r>
    </w:p>
    <w:p>
      <w:pPr>
        <w:spacing w:after="0" w:line="150"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(see Note 1 — The Company and a Summary of Its Significant Accounting Policies – Leases and Note 5 – Leases for more information).</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99"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The Company adopted ASU 2016-02, Leases, as amended, commonly referred to as ASC 842, on April 1, 2019 using the optional transition method. Under the optional transition method, the Company applied the new guidance to all leases that commenced before and were existing as of April 1, 2019. Accordingly, the Company did not adjust comparative periods or make the new required lease disclosures for periods before the adoption date of April 1, 2019. The primary impact of ASC 842 on the Company’s consolidated financial statements is the recognition of right-of-use assets and related liabilities on its consolidated balance sheet for operating leases where the Company is the lessee. The Company’s adoption of ASC 842 did not have a material impact on its results of operations for fiscal year ended March 31, 2020, or on its cash flow for the fiscal year ended March 31, 2020.</w:t>
      </w:r>
    </w:p>
    <w:p>
      <w:pPr>
        <w:spacing w:after="0" w:line="149"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The Company elected certain practical expedients under its transition method, including the practical expedient package to not reassess (i) whether any expired or existing contracts are or contain leases, (ii) the classification of existing leases, and (iii) initial direct costs for any existing leases. The Company also elected the land easement transition practical expedient, and did not reassess whether an existing or expired land easement is a lease or contains a lease if it has not historically been accounted for as a lease. In addition, for real estate leases, the Company has elected not to separate non-lease components from lease components and instead will account for each separate lease and non-lease component as a single lease component.</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summary of the impact of adopting the new standard: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74"/>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280" w:type="dxa"/>
            <w:vAlign w:val="bottom"/>
          </w:tcPr>
          <w:p>
            <w:pPr>
              <w:jc w:val="center"/>
              <w:ind w:right="155"/>
              <w:spacing w:after="0"/>
              <w:rPr>
                <w:sz w:val="20"/>
                <w:szCs w:val="20"/>
                <w:color w:val="auto"/>
              </w:rPr>
            </w:pPr>
            <w:r>
              <w:rPr>
                <w:rFonts w:ascii="Arial" w:cs="Arial" w:eastAsia="Arial" w:hAnsi="Arial"/>
                <w:sz w:val="14"/>
                <w:szCs w:val="14"/>
                <w:b w:val="1"/>
                <w:bCs w:val="1"/>
                <w:color w:val="auto"/>
              </w:rPr>
              <w:t>Impact of</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 of</w:t>
            </w:r>
          </w:p>
        </w:tc>
        <w:tc>
          <w:tcPr>
            <w:tcW w:w="1120" w:type="dxa"/>
            <w:vAlign w:val="bottom"/>
          </w:tcPr>
          <w:p>
            <w:pPr>
              <w:spacing w:after="0"/>
              <w:rPr>
                <w:sz w:val="14"/>
                <w:szCs w:val="14"/>
                <w:color w:val="auto"/>
              </w:rPr>
            </w:pPr>
          </w:p>
        </w:tc>
      </w:tr>
      <w:tr>
        <w:trPr>
          <w:trHeight w:val="175"/>
        </w:trPr>
        <w:tc>
          <w:tcPr>
            <w:tcW w:w="11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134"/>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15"/>
                <w:szCs w:val="15"/>
                <w:color w:val="auto"/>
              </w:rPr>
            </w:pPr>
          </w:p>
        </w:tc>
        <w:tc>
          <w:tcPr>
            <w:tcW w:w="1280" w:type="dxa"/>
            <w:vAlign w:val="bottom"/>
          </w:tcPr>
          <w:p>
            <w:pPr>
              <w:jc w:val="center"/>
              <w:ind w:right="175"/>
              <w:spacing w:after="0"/>
              <w:rPr>
                <w:sz w:val="20"/>
                <w:szCs w:val="20"/>
                <w:color w:val="auto"/>
              </w:rPr>
            </w:pPr>
            <w:r>
              <w:rPr>
                <w:rFonts w:ascii="Arial" w:cs="Arial" w:eastAsia="Arial" w:hAnsi="Arial"/>
                <w:sz w:val="14"/>
                <w:szCs w:val="14"/>
                <w:b w:val="1"/>
                <w:bCs w:val="1"/>
                <w:color w:val="auto"/>
              </w:rPr>
              <w:t>ASC 842</w:t>
            </w:r>
          </w:p>
        </w:tc>
        <w:tc>
          <w:tcPr>
            <w:tcW w:w="22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April 1, 2019</w:t>
            </w:r>
          </w:p>
        </w:tc>
        <w:tc>
          <w:tcPr>
            <w:tcW w:w="1120" w:type="dxa"/>
            <w:vAlign w:val="bottom"/>
          </w:tcPr>
          <w:p>
            <w:pPr>
              <w:spacing w:after="0"/>
              <w:rPr>
                <w:sz w:val="15"/>
                <w:szCs w:val="15"/>
                <w:color w:val="auto"/>
              </w:rPr>
            </w:pPr>
          </w:p>
        </w:tc>
      </w:tr>
      <w:tr>
        <w:trPr>
          <w:trHeight w:val="169"/>
        </w:trPr>
        <w:tc>
          <w:tcPr>
            <w:tcW w:w="1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6"/>
        </w:trPr>
        <w:tc>
          <w:tcPr>
            <w:tcW w:w="114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Sheets:</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00" w:type="dxa"/>
            <w:vAlign w:val="bottom"/>
            <w:gridSpan w:val="2"/>
          </w:tcPr>
          <w:p>
            <w:pPr>
              <w:ind w:left="114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90,646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90,179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327,329</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327,329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00" w:type="dxa"/>
            <w:vAlign w:val="bottom"/>
            <w:gridSpan w:val="2"/>
          </w:tcPr>
          <w:p>
            <w:pPr>
              <w:ind w:left="1140"/>
              <w:spacing w:after="0"/>
              <w:rPr>
                <w:sz w:val="20"/>
                <w:szCs w:val="20"/>
                <w:color w:val="auto"/>
              </w:rPr>
            </w:pPr>
            <w:r>
              <w:rPr>
                <w:rFonts w:ascii="Arial" w:cs="Arial" w:eastAsia="Arial" w:hAnsi="Arial"/>
                <w:sz w:val="18"/>
                <w:szCs w:val="18"/>
                <w:color w:val="auto"/>
              </w:rPr>
              <w:t>Total assets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3,915,287</w:t>
            </w:r>
          </w:p>
        </w:tc>
        <w:tc>
          <w:tcPr>
            <w:tcW w:w="22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326,862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4,242,149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Accrued and other liabilities</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308,268</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38,406</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346,674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00" w:type="dxa"/>
            <w:vAlign w:val="bottom"/>
            <w:gridSpan w:val="2"/>
          </w:tcPr>
          <w:p>
            <w:pPr>
              <w:ind w:left="1140"/>
              <w:spacing w:after="0"/>
              <w:rPr>
                <w:sz w:val="20"/>
                <w:szCs w:val="20"/>
                <w:color w:val="auto"/>
              </w:rPr>
            </w:pPr>
            <w:r>
              <w:rPr>
                <w:rFonts w:ascii="Arial" w:cs="Arial" w:eastAsia="Arial" w:hAnsi="Arial"/>
                <w:sz w:val="18"/>
                <w:szCs w:val="18"/>
                <w:color w:val="auto"/>
              </w:rPr>
              <w:t>Non-current operating lease liabilities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305,167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305,167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120,826</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104,115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00" w:type="dxa"/>
            <w:vAlign w:val="bottom"/>
            <w:gridSpan w:val="2"/>
          </w:tcPr>
          <w:p>
            <w:pPr>
              <w:ind w:left="1140"/>
              <w:spacing w:after="0"/>
              <w:rPr>
                <w:sz w:val="20"/>
                <w:szCs w:val="20"/>
                <w:color w:val="auto"/>
              </w:rPr>
            </w:pPr>
            <w:r>
              <w:rPr>
                <w:rFonts w:ascii="Arial" w:cs="Arial" w:eastAsia="Arial" w:hAnsi="Arial"/>
                <w:sz w:val="18"/>
                <w:szCs w:val="18"/>
                <w:color w:val="auto"/>
              </w:rPr>
              <w:t>Total liabilities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1,999,209</w:t>
            </w:r>
          </w:p>
        </w:tc>
        <w:tc>
          <w:tcPr>
            <w:tcW w:w="22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326,862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2,326,071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3,915,287</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326,862</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4,242,149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634"/>
        </w:trPr>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F-10</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8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9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For contracts entered into on or after April 1, 2019, the Company assesses at contract inception whether the contract is, or contains, a lease. Generally, the Company determines that a lease exists when (i) the contract involves the use of a distinct identified asset, (ii) the Company obtains the right to substantially all economic benefits from use of the asset, and (iii) the Company has the right to direct the use of the asset. 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such a specialized nature that it is expected to have no alternative use to the lessor at the end of the lease term. A lease is classified as an operating lease if it does not meet any of these criteria.</w:t>
      </w:r>
    </w:p>
    <w:p>
      <w:pPr>
        <w:spacing w:after="0" w:line="154"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(i) fixed lease payments for the noncancelable lease term,</w:t>
      </w:r>
    </w:p>
    <w:p>
      <w:pPr>
        <w:ind w:right="180" w:firstLine="8"/>
        <w:spacing w:after="0" w:line="238" w:lineRule="auto"/>
        <w:tabs>
          <w:tab w:leader="none" w:pos="2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(iii)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8" w:lineRule="exact"/>
        <w:rPr>
          <w:sz w:val="20"/>
          <w:szCs w:val="20"/>
          <w:color w:val="auto"/>
        </w:rPr>
      </w:pPr>
    </w:p>
    <w:p>
      <w:pPr>
        <w:jc w:val="both"/>
        <w:ind w:right="80" w:firstLine="510"/>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81"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authoritative guidance for business combinations (ASC 805) requires that all business combinations be accounted for using the purchase method. The authoritative guidance for business combinations also specifies criteria for recognizing and reporting intangible assets apart from goodwill; however, acquired workforce must be recognized and reported in goodwill. The authoritative guidance for goodwill and other intangible assets (ASC 350) requires that intangible assets with an indefinite life should not be amortized until their life is determined to be finite. All other intangible assets must be amortized over their useful life. The authoritative guidance for goodwill and other intangible assets prohibits the amortization of goodwill and indefinite-lived intangible assets, but instead requires these assets to be tested for impairment at least annually and more frequently upon the occurrence of specified events. In addition, all goodwill must be assigned to reporting units for purposes of impairment testing.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9"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$3.3 million and $3.2 million related to patents were included in other assets as of March 31, 2020 and 2019, respectively. The Company capitalized costs of $39.5 million and $22.9 million related to acquiring and obtaining orbital slots and other licenses included in other assets as of March 31, 2020 and 2019, respectively. Accumulated amortization related to these assets was $3.7 million and $3.0 million as of March 31, 2020 and 2019, respectively. Amortization expense related to these assets was an insignificant amount for the fiscal years ended March 31, 2020, 2019 and 2018. If a patent, orbital slot or other license is rejected, abandoned or otherwise invalidated, the unamortized cost is expensed in that period. During fiscal years 2020, 2019 and 2018, the Company did not write off any significant costs due to abandonment or impairment.</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fiscal year 2020 no debt issuance costs were capitalized, and in 2019 and 2018, $12.2 million and $9.8 million, respectively, of debt issuance costs were capitalized. Unamortized debt issuance costs related to extinguished debt are expensed at the time the debt is extinguished and recorded in loss on extinguishment of debt in the consolidated statements of operations and comprehensive income (loss). Debt issuance costs related to the Revolving Credit Facility are recorded in prepaid expenses and other current assets and in other long-term assets in the consolidated balance sheets in accordance with the authoritative guidance for imputation of interest (ASC 835-30). Debt issuance costs related to the Company’s 5.625% Senior Notes due 2025 (the 2025 Notes), the Company’s 5.625% Senior Secured Notes due 2027 (the 2027 Notes) and the Ex-Im Credit Facility are recorded as a direct deduction from the carrying amount of the related debt, consistent with debt discounts, in accordance with the authoritative guidance for imputation of interest (ASC 835-30).</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$242.7 million and $244.4 million related to software developed for resale were included in other assets as of March 31, 2020 and 2019, respectively. The Company capitalized $51.3 million and $43.5 million of costs related to software developed for resale for the fiscal years ended March 31, 2020 and 2019, respectively. Amortization expense for software development costs was $53.0 million, $45.9 million and $32.5 million during fiscal years 2020, 2019 and 2018, respectively.</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85"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the Company assesses potential impairments to long-lived assets, including property, equipment and satellites, and other assets, when there is evidence that events or changes in circumstances indicate that the carrying value may not be recoverable. An impairment loss is recognized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the Company for fiscal years 2020, 2019 and 2018.</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The Company accounts for its goodwill under the authoritative guidance for goodwill and other intangible assets (ASC 350) and the provisions of ASU 2017-04, Simplifying the Test for Goodwill Impairment, which the Company early adopted in the third quarter of fiscal year 2020. ASU 2017-04 simplifies how the Company tests goodwill for impairment by removing Step 2 from the goodwill impairment test. Current authoritative guidance allows the Company to first assess qualitative factors to determine whether it is necessary to perform the quantitative goodwill impairment test. If, after completing the qualitative assessment, the Company determines that it is more likely than not that the estimated fair value is greater than the carrying value, the Company concludes that no impairment exists. If it is more likely than not that the carrying value of the reporting unit exceeds its estimated fair value, the Company compares the fair value of the reporting unit to its carrying value. If the estimated fair value of the reporting unit is less than the carrying value, then a goodwill impairment charge will be recognized in the amount by which the carrying amount exceeds the fair value, limited to the total amount of goodwill allocated to that reporting unit. The Company tests goodwill for impairment during the fourth quarter every fiscal year and when an event occurs or circumstances change such that it is reasonably possible that an impairment may exist.</w:t>
      </w:r>
    </w:p>
    <w:p>
      <w:pPr>
        <w:spacing w:after="0" w:line="151"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In accordance with ASC 350, the Company assesses qualitative factors to determine whether goodwill is impaired. The qualitative analysis includes assessing the impact of changes in certain factors including (1) changes in forecasted operating results and comparing actual results to projections, (2) changes in the industry or its competitive environment since the acquisition date, (3) changes in the overall economy, its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5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Furthermore, in addition to qualitative analysis, the Company believes it is appropriate to conduct a quantitative analysis periodically as a prudent review of its reporting unit goodwill fair values. The Company performed this analysis as of December 31, 2019, the Company’s annual impairment test date. The Company’s quantitative analysis estimates the fair values of the reporting units using discounted cash flows and other indicators of fair value. The forecast of future cash flow is based on the Company’s best estimate of each reporting unit’s future revenue and operating costs, based primarily on existing firm orders, expected future orders, contracts with suppliers, labor resources, general market conditions, and other relevant factors. Based on a quantitative analysis for fiscal year 2020, the Company concluded that estimated fair values of the Company’s reporting units significantly exceed their respective carrying values.</w:t>
      </w:r>
    </w:p>
    <w:p>
      <w:pPr>
        <w:spacing w:after="0" w:line="149" w:lineRule="exact"/>
        <w:rPr>
          <w:sz w:val="20"/>
          <w:szCs w:val="20"/>
          <w:color w:val="auto"/>
        </w:rPr>
      </w:pPr>
    </w:p>
    <w:p>
      <w:pPr>
        <w:ind w:right="200" w:firstLine="510"/>
        <w:spacing w:after="0" w:line="238" w:lineRule="auto"/>
        <w:rPr>
          <w:sz w:val="20"/>
          <w:szCs w:val="20"/>
          <w:color w:val="auto"/>
        </w:rPr>
      </w:pPr>
      <w:r>
        <w:rPr>
          <w:rFonts w:ascii="Arial" w:cs="Arial" w:eastAsia="Arial" w:hAnsi="Arial"/>
          <w:sz w:val="18"/>
          <w:szCs w:val="18"/>
          <w:color w:val="auto"/>
        </w:rPr>
        <w:t>Based on the Company’s qualitative and quantitative assessment performed during the fourth quarter of fiscal year 2020 and the additional qualitative and quantitative consideration as of March 31, 2020 in light of the significant decline in the Company’s market capitalization following the COVID-19 outbreak, the Company concluded that it was more likely than not that the estimated fair value of the Company’s reporting units exceeded their carrying values as of March 31, 2020. No impairments were recorded by the Company related to goodwill and other intangible assets for fiscal years 2020, 2019 and 2018.</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9"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the Company ships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the Company estimates the warranty costs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the Company will make future adjustments to the recorded warranty obligation (see Note 14 – Product Warranty).</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85"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The carrying amounts of the Company’s financial instruments, including cash equivalents, receivables, accounts payable and accrued liabilities, approximate their fair values due to their short-term maturities. The estimated fair value of the Company’s long-term borrowings and other long-term interest bearing liabilities is determined by using available market information for those securities or similar financial instruments (see Note 3 – Fair Value Measurements).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85"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$6.2 million and $5.4 million in accrued and other liabilities in the consolidated balance sheets as of March 31, 2020 and 2019,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March 31, 2020 and 2019, no such amounts were accrued related to the aforementioned provisions.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9"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consolidated financial statements at the consolidated amounts, which include the amounts attributable to both the controlling and noncontrolling interest.</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8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consolidated balance sheets. The Company records its share of the results of such entities within equity in income (loss) of unconsolidated affiliate, net on the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2020 and 2019, the Company had no shares of common stock held in treasury.</w:t>
      </w:r>
    </w:p>
    <w:p>
      <w:pPr>
        <w:spacing w:after="0" w:line="198"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During fiscal years 2020, 2019 and 2018, the Company issued 1,075,526, 1,201,502 and 896,776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385,604, 427,088 and 335,295 shares of common stock at cost and with a total value of $28.8 million, $28.8 million and $24.2 million during fiscal years 2020, 2019 and 2018,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restricted stock units. These retired shares remain as authorized stock and are considered to be unissued. The retirement of treasury stock had no impact on the Company’s total consolidated stockholders’ equity.</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9" w:lineRule="exact"/>
        <w:rPr>
          <w:sz w:val="20"/>
          <w:szCs w:val="20"/>
          <w:color w:val="auto"/>
        </w:rPr>
      </w:pPr>
    </w:p>
    <w:p>
      <w:pPr>
        <w:ind w:right="460" w:firstLine="510"/>
        <w:spacing w:after="0" w:line="261" w:lineRule="auto"/>
        <w:rPr>
          <w:sz w:val="20"/>
          <w:szCs w:val="20"/>
          <w:color w:val="auto"/>
        </w:rPr>
      </w:pPr>
      <w:r>
        <w:rPr>
          <w:rFonts w:ascii="Arial" w:cs="Arial" w:eastAsia="Arial" w:hAnsi="Arial"/>
          <w:sz w:val="17"/>
          <w:szCs w:val="17"/>
          <w:color w:val="auto"/>
        </w:rPr>
        <w:t>In general, the functional currency of a foreign operation is deemed to be the local country’s currency. Consequently, assets and liabilities of operations outside the United States are generally translated into U.S. dollars, and the effects of foreign currency translation adjustments are included as a component of accumulated other comprehensive income within Viasat, Inc. stockholders’ equity.</w:t>
      </w:r>
    </w:p>
    <w:p>
      <w:pPr>
        <w:spacing w:after="0" w:line="132"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Other comprehensive loss related to the effects of foreign currency translation adjustments attributable to Viasat, Inc. during fiscal year 2020 was $12.8 million, or $11.6 million net of tax. Other comprehensive loss related to the effects of foreign currency translation adjustments attributable to Viasat, Inc. during fiscal year 2019 was $11.8 million, or $10.0 million net of tax. Other comprehensive income related to the effects of foreign currency translation adjustments attributed to Viasat, Inc. during fiscal year 2018 was $22.8 million, or $15.8 million net of tax.</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80" w:firstLine="510"/>
        <w:spacing w:after="0"/>
        <w:rPr>
          <w:sz w:val="20"/>
          <w:szCs w:val="20"/>
          <w:color w:val="auto"/>
        </w:rPr>
      </w:pPr>
      <w:r>
        <w:rPr>
          <w:rFonts w:ascii="Arial" w:cs="Arial" w:eastAsia="Arial" w:hAnsi="Arial"/>
          <w:sz w:val="18"/>
          <w:szCs w:val="18"/>
          <w:color w:val="auto"/>
        </w:rPr>
        <w:t>Effective April 1, 2018, the Company adopted Accounting Standards Update (ASU) 2014-09, Revenue from Contracts with Customers (commonly referred to as ASC 606) using the modified retrospective method of adoption. This update established ASC 606, Revenue from Contracts with Customers and ASC 340-40, Other Assets and Deferred Costs – Contracts with Customers.</w:t>
      </w:r>
    </w:p>
    <w:p>
      <w:pPr>
        <w:spacing w:after="0" w:line="189" w:lineRule="exact"/>
        <w:rPr>
          <w:sz w:val="20"/>
          <w:szCs w:val="20"/>
          <w:color w:val="auto"/>
        </w:rPr>
      </w:pPr>
    </w:p>
    <w:p>
      <w:pPr>
        <w:ind w:right="440" w:firstLine="510"/>
        <w:spacing w:after="0" w:line="237" w:lineRule="auto"/>
        <w:rPr>
          <w:sz w:val="20"/>
          <w:szCs w:val="20"/>
          <w:color w:val="auto"/>
        </w:rPr>
      </w:pPr>
      <w:r>
        <w:rPr>
          <w:rFonts w:ascii="Arial" w:cs="Arial" w:eastAsia="Arial" w:hAnsi="Arial"/>
          <w:sz w:val="18"/>
          <w:szCs w:val="18"/>
          <w:color w:val="auto"/>
        </w:rPr>
        <w:t>The Company applied the five-step model under ASC 606 to its contracts with its customers to determine the impact of the new standard.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95" w:lineRule="exact"/>
        <w:rPr>
          <w:sz w:val="20"/>
          <w:szCs w:val="20"/>
          <w:color w:val="auto"/>
        </w:rPr>
      </w:pPr>
    </w:p>
    <w:p>
      <w:pPr>
        <w:ind w:right="40" w:firstLine="510"/>
        <w:spacing w:after="0" w:line="234"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ASC</w:t>
      </w:r>
    </w:p>
    <w:p>
      <w:pPr>
        <w:spacing w:after="0" w:line="4" w:lineRule="exact"/>
        <w:rPr>
          <w:sz w:val="20"/>
          <w:szCs w:val="20"/>
          <w:color w:val="auto"/>
        </w:rPr>
      </w:pPr>
    </w:p>
    <w:p>
      <w:pPr>
        <w:jc w:val="both"/>
        <w:ind w:right="60" w:firstLine="8"/>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discussed further above under “Leases - Lessor accounting”, for broadband equipment leased to consumer broadband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89"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4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200"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190" w:lineRule="exact"/>
        <w:rPr>
          <w:sz w:val="20"/>
          <w:szCs w:val="20"/>
          <w:color w:val="auto"/>
        </w:rPr>
      </w:pPr>
    </w:p>
    <w:p>
      <w:pPr>
        <w:ind w:right="220" w:firstLine="510"/>
        <w:spacing w:after="0" w:line="248" w:lineRule="auto"/>
        <w:rPr>
          <w:sz w:val="20"/>
          <w:szCs w:val="20"/>
          <w:color w:val="auto"/>
        </w:rPr>
      </w:pPr>
      <w:r>
        <w:rPr>
          <w:rFonts w:ascii="Arial" w:cs="Arial" w:eastAsia="Arial" w:hAnsi="Arial"/>
          <w:sz w:val="17"/>
          <w:szCs w:val="17"/>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years 2019 or 2020. As of</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March 31, 2020, the DCAA had completed its incurred cost audit for fiscal years 2004 and 2016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2020 and March 31, 2019, the Company had $7.8 million and $4.9 million, respectively, in contract-related reserves for its estimate of potential refunds to customers for potential cost adjustments on several multi-year U.S. government cost reimbursable contracts (see Note 13 – Contingencies).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95"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92" w:lineRule="exact"/>
        <w:rPr>
          <w:sz w:val="20"/>
          <w:szCs w:val="20"/>
          <w:color w:val="auto"/>
        </w:rPr>
      </w:pPr>
    </w:p>
    <w:p>
      <w:pPr>
        <w:ind w:right="320" w:firstLine="510"/>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95"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satellite services segment do not have minimum service purchase requirements and therefore are not included in the Company’s remaining performance obligations. As of March 31, 2020, the aggregate amount of the transaction price allocated to remaining performance obligations was $1.9 billion, of which the Company expects to recognize a little over half over the next twelve months, with the balance recognized thereafter.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95"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disaggregated reported revenue by segment and product and services for the fiscal years ended</w:t>
      </w:r>
    </w:p>
    <w:p>
      <w:pPr>
        <w:spacing w:after="0"/>
        <w:rPr>
          <w:sz w:val="20"/>
          <w:szCs w:val="20"/>
          <w:color w:val="auto"/>
        </w:rPr>
      </w:pPr>
      <w:r>
        <w:rPr>
          <w:rFonts w:ascii="Arial" w:cs="Arial" w:eastAsia="Arial" w:hAnsi="Arial"/>
          <w:sz w:val="18"/>
          <w:szCs w:val="18"/>
          <w:color w:val="auto"/>
        </w:rPr>
        <w:t>March 31, 2020 and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jc w:val="center"/>
              <w:ind w:left="160"/>
              <w:spacing w:after="0"/>
              <w:rPr>
                <w:sz w:val="20"/>
                <w:szCs w:val="20"/>
                <w:color w:val="auto"/>
              </w:rPr>
            </w:pPr>
            <w:r>
              <w:rPr>
                <w:rFonts w:ascii="Arial" w:cs="Arial" w:eastAsia="Arial" w:hAnsi="Arial"/>
                <w:sz w:val="14"/>
                <w:szCs w:val="14"/>
                <w:b w:val="1"/>
                <w:bCs w:val="1"/>
                <w:color w:val="auto"/>
              </w:rPr>
              <w:t>Fiscal Year Ended March 31, 2020</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ind w:left="100"/>
              <w:spacing w:after="0" w:line="156" w:lineRule="exact"/>
              <w:rPr>
                <w:sz w:val="20"/>
                <w:szCs w:val="20"/>
                <w:color w:val="auto"/>
              </w:rPr>
            </w:pPr>
            <w:r>
              <w:rPr>
                <w:rFonts w:ascii="Arial" w:cs="Arial" w:eastAsia="Arial" w:hAnsi="Arial"/>
                <w:sz w:val="14"/>
                <w:szCs w:val="14"/>
                <w:b w:val="1"/>
                <w:bCs w:val="1"/>
                <w:color w:val="auto"/>
              </w:rPr>
              <w:t>Satellite</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500"/>
              <w:spacing w:after="0" w:line="156" w:lineRule="exact"/>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Government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4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Services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Networks</w:t>
            </w:r>
          </w:p>
        </w:tc>
        <w:tc>
          <w:tcPr>
            <w:tcW w:w="1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Systems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Revenues</w:t>
            </w:r>
          </w:p>
        </w:tc>
      </w:tr>
      <w:tr>
        <w:trPr>
          <w:trHeight w:val="169"/>
        </w:trPr>
        <w:tc>
          <w:tcPr>
            <w:tcW w:w="47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gridSpan w:val="5"/>
          </w:tcPr>
          <w:p>
            <w:pPr>
              <w:jc w:val="center"/>
              <w:ind w:left="1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289,959</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882,582</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1,172,541</w:t>
            </w:r>
          </w:p>
        </w:tc>
        <w:tc>
          <w:tcPr>
            <w:tcW w:w="120" w:type="dxa"/>
            <w:vAlign w:val="bottom"/>
            <w:shd w:val="clear" w:color="auto" w:fill="CFF0FC"/>
          </w:tcPr>
          <w:p>
            <w:pPr>
              <w:spacing w:after="0"/>
              <w:rPr>
                <w:sz w:val="18"/>
                <w:szCs w:val="18"/>
                <w:color w:val="auto"/>
              </w:rPr>
            </w:pPr>
          </w:p>
        </w:tc>
      </w:tr>
      <w:tr>
        <w:trPr>
          <w:trHeight w:val="216"/>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826,583</w:t>
            </w:r>
          </w:p>
        </w:tc>
        <w:tc>
          <w:tcPr>
            <w:tcW w:w="3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54,598</w:t>
            </w:r>
          </w:p>
        </w:tc>
        <w:tc>
          <w:tcPr>
            <w:tcW w:w="3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255,516</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1,136,697</w:t>
            </w:r>
          </w:p>
        </w:tc>
        <w:tc>
          <w:tcPr>
            <w:tcW w:w="120" w:type="dxa"/>
            <w:vAlign w:val="bottom"/>
            <w:tcBorders>
              <w:bottom w:val="single" w:sz="8" w:color="CFF0FC"/>
            </w:tcBorders>
          </w:tcPr>
          <w:p>
            <w:pPr>
              <w:spacing w:after="0"/>
              <w:rPr>
                <w:sz w:val="18"/>
                <w:szCs w:val="18"/>
                <w:color w:val="auto"/>
              </w:rPr>
            </w:pPr>
          </w:p>
        </w:tc>
      </w:tr>
      <w:tr>
        <w:trPr>
          <w:trHeight w:val="20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826,583</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344,557</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1,138,098</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2,309,238</w:t>
            </w:r>
          </w:p>
        </w:tc>
        <w:tc>
          <w:tcPr>
            <w:tcW w:w="120" w:type="dxa"/>
            <w:vAlign w:val="bottom"/>
            <w:shd w:val="clear" w:color="auto" w:fill="CFF0FC"/>
          </w:tcPr>
          <w:p>
            <w:pPr>
              <w:spacing w:after="0"/>
              <w:rPr>
                <w:sz w:val="18"/>
                <w:szCs w:val="18"/>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399"/>
        </w:trPr>
        <w:tc>
          <w:tcPr>
            <w:tcW w:w="4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left="160"/>
              <w:spacing w:after="0"/>
              <w:rPr>
                <w:sz w:val="20"/>
                <w:szCs w:val="20"/>
                <w:color w:val="auto"/>
              </w:rPr>
            </w:pPr>
            <w:r>
              <w:rPr>
                <w:rFonts w:ascii="Arial" w:cs="Arial" w:eastAsia="Arial" w:hAnsi="Arial"/>
                <w:sz w:val="14"/>
                <w:szCs w:val="14"/>
                <w:b w:val="1"/>
                <w:bCs w:val="1"/>
                <w:color w:val="auto"/>
              </w:rPr>
              <w:t>Fiscal Year Ended March 31, 2019</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ind w:left="100"/>
              <w:spacing w:after="0" w:line="156" w:lineRule="exact"/>
              <w:rPr>
                <w:sz w:val="20"/>
                <w:szCs w:val="20"/>
                <w:color w:val="auto"/>
              </w:rPr>
            </w:pPr>
            <w:r>
              <w:rPr>
                <w:rFonts w:ascii="Arial" w:cs="Arial" w:eastAsia="Arial" w:hAnsi="Arial"/>
                <w:sz w:val="14"/>
                <w:szCs w:val="14"/>
                <w:b w:val="1"/>
                <w:bCs w:val="1"/>
                <w:color w:val="auto"/>
              </w:rPr>
              <w:t>Satellite</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500"/>
              <w:spacing w:after="0" w:line="156" w:lineRule="exact"/>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Government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4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Services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Networks</w:t>
            </w:r>
          </w:p>
        </w:tc>
        <w:tc>
          <w:tcPr>
            <w:tcW w:w="1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Systems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Revenues</w:t>
            </w:r>
          </w:p>
        </w:tc>
      </w:tr>
      <w:tr>
        <w:trPr>
          <w:trHeight w:val="169"/>
        </w:trPr>
        <w:tc>
          <w:tcPr>
            <w:tcW w:w="47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gridSpan w:val="5"/>
          </w:tcPr>
          <w:p>
            <w:pPr>
              <w:jc w:val="center"/>
              <w:ind w:left="1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383,547</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709,144</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1,092,691</w:t>
            </w:r>
          </w:p>
        </w:tc>
        <w:tc>
          <w:tcPr>
            <w:tcW w:w="120" w:type="dxa"/>
            <w:vAlign w:val="bottom"/>
            <w:shd w:val="clear" w:color="auto" w:fill="CFF0FC"/>
          </w:tcPr>
          <w:p>
            <w:pPr>
              <w:spacing w:after="0"/>
              <w:rPr>
                <w:sz w:val="18"/>
                <w:szCs w:val="18"/>
                <w:color w:val="auto"/>
              </w:rPr>
            </w:pPr>
          </w:p>
        </w:tc>
      </w:tr>
      <w:tr>
        <w:trPr>
          <w:trHeight w:val="216"/>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684,205</w:t>
            </w:r>
          </w:p>
        </w:tc>
        <w:tc>
          <w:tcPr>
            <w:tcW w:w="3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44,857</w:t>
            </w:r>
          </w:p>
        </w:tc>
        <w:tc>
          <w:tcPr>
            <w:tcW w:w="3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246,505</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975,567</w:t>
            </w:r>
          </w:p>
        </w:tc>
        <w:tc>
          <w:tcPr>
            <w:tcW w:w="120" w:type="dxa"/>
            <w:vAlign w:val="bottom"/>
            <w:tcBorders>
              <w:bottom w:val="single" w:sz="8" w:color="CFF0FC"/>
            </w:tcBorders>
          </w:tcPr>
          <w:p>
            <w:pPr>
              <w:spacing w:after="0"/>
              <w:rPr>
                <w:sz w:val="18"/>
                <w:szCs w:val="18"/>
                <w:color w:val="auto"/>
              </w:rPr>
            </w:pPr>
          </w:p>
        </w:tc>
      </w:tr>
      <w:tr>
        <w:trPr>
          <w:trHeight w:val="21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684,205</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428,404</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955,649</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2,068,258</w:t>
            </w:r>
          </w:p>
        </w:tc>
        <w:tc>
          <w:tcPr>
            <w:tcW w:w="120" w:type="dxa"/>
            <w:vAlign w:val="bottom"/>
            <w:shd w:val="clear" w:color="auto" w:fill="CFF0FC"/>
          </w:tcPr>
          <w:p>
            <w:pPr>
              <w:spacing w:after="0"/>
              <w:rPr>
                <w:sz w:val="18"/>
                <w:szCs w:val="18"/>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jc w:val="both"/>
        <w:ind w:right="100" w:firstLine="510"/>
        <w:spacing w:after="0" w:line="238" w:lineRule="auto"/>
        <w:rPr>
          <w:sz w:val="20"/>
          <w:szCs w:val="20"/>
          <w:color w:val="auto"/>
        </w:rPr>
      </w:pPr>
      <w:r>
        <w:rPr>
          <w:rFonts w:ascii="Arial" w:cs="Arial" w:eastAsia="Arial" w:hAnsi="Arial"/>
          <w:sz w:val="18"/>
          <w:szCs w:val="18"/>
          <w:color w:val="auto"/>
        </w:rPr>
        <w:t>Revenues from the U.S. government as an individual customer comprised approximately 30% and 26% of total revenues for the fiscal years ended March 31, 2020 and 2019, respectively, mainly reported within the government systems segment. The Company’s commercial customers, mainly reported within the commercial networks and satellite services segments, comprised approximately 70% and 74% of total revenues for the fiscal years ended March 31, 2020 and 2019, respectively.</w:t>
      </w:r>
    </w:p>
    <w:p>
      <w:pPr>
        <w:spacing w:after="0" w:line="191" w:lineRule="exact"/>
        <w:rPr>
          <w:sz w:val="20"/>
          <w:szCs w:val="20"/>
          <w:color w:val="auto"/>
        </w:rPr>
      </w:pPr>
    </w:p>
    <w:p>
      <w:pPr>
        <w:ind w:right="500" w:firstLine="510"/>
        <w:spacing w:after="0" w:line="24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in-flight services and worldwide L-band managed services.</w:t>
      </w:r>
    </w:p>
    <w:p>
      <w:pPr>
        <w:spacing w:after="0" w:line="183" w:lineRule="exact"/>
        <w:rPr>
          <w:sz w:val="20"/>
          <w:szCs w:val="20"/>
          <w:color w:val="auto"/>
        </w:rPr>
      </w:pPr>
    </w:p>
    <w:p>
      <w:pPr>
        <w:ind w:right="180" w:firstLine="510"/>
        <w:spacing w:after="0" w:line="236"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88% and 90% of the Company’s total revenues for these segments for the fiscal years ended March 31, 2020 and March 31, 2019,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94"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24% and 19% of its total revenues for the fiscal years ended March 31, 2020 and March 31, 2019,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95"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March 31, 2020 and March 31,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tcPr>
          <w:p>
            <w:pPr>
              <w:jc w:val="center"/>
              <w:ind w:right="440"/>
              <w:spacing w:after="0"/>
              <w:rPr>
                <w:sz w:val="20"/>
                <w:szCs w:val="20"/>
                <w:color w:val="auto"/>
              </w:rPr>
            </w:pPr>
            <w:r>
              <w:rPr>
                <w:rFonts w:ascii="Arial" w:cs="Arial" w:eastAsia="Arial" w:hAnsi="Arial"/>
                <w:sz w:val="14"/>
                <w:szCs w:val="14"/>
                <w:b w:val="1"/>
                <w:bCs w:val="1"/>
                <w:color w:val="auto"/>
              </w:rPr>
              <w:t>As of</w:t>
            </w:r>
          </w:p>
        </w:tc>
        <w:tc>
          <w:tcPr>
            <w:tcW w:w="660" w:type="dxa"/>
            <w:vAlign w:val="bottom"/>
          </w:tcPr>
          <w:p>
            <w:pPr>
              <w:spacing w:after="0"/>
              <w:rPr>
                <w:sz w:val="14"/>
                <w:szCs w:val="14"/>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As of</w:t>
            </w:r>
          </w:p>
        </w:tc>
      </w:tr>
      <w:tr>
        <w:trPr>
          <w:trHeight w:val="162"/>
        </w:trPr>
        <w:tc>
          <w:tcPr>
            <w:tcW w:w="5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tcPr>
          <w:p>
            <w:pPr>
              <w:jc w:val="center"/>
              <w:ind w:right="460"/>
              <w:spacing w:after="0"/>
              <w:rPr>
                <w:sz w:val="20"/>
                <w:szCs w:val="20"/>
                <w:color w:val="auto"/>
              </w:rPr>
            </w:pPr>
            <w:r>
              <w:rPr>
                <w:rFonts w:ascii="Arial" w:cs="Arial" w:eastAsia="Arial" w:hAnsi="Arial"/>
                <w:sz w:val="14"/>
                <w:szCs w:val="14"/>
                <w:b w:val="1"/>
                <w:bCs w:val="1"/>
                <w:color w:val="auto"/>
              </w:rPr>
              <w:t>March 31,</w:t>
            </w:r>
          </w:p>
        </w:tc>
        <w:tc>
          <w:tcPr>
            <w:tcW w:w="660" w:type="dxa"/>
            <w:vAlign w:val="bottom"/>
          </w:tcPr>
          <w:p>
            <w:pPr>
              <w:spacing w:after="0"/>
              <w:rPr>
                <w:sz w:val="14"/>
                <w:szCs w:val="14"/>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5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44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169"/>
        </w:trPr>
        <w:tc>
          <w:tcPr>
            <w:tcW w:w="5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Unbilled accounts receivable</w:t>
            </w: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75,661</w:t>
            </w:r>
          </w:p>
        </w:tc>
        <w:tc>
          <w:tcPr>
            <w:tcW w:w="6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83,743</w:t>
            </w:r>
          </w:p>
        </w:tc>
        <w:tc>
          <w:tcPr>
            <w:tcW w:w="12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Collections in excess of revenues and deferred revenues</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jc w:val="right"/>
              <w:ind w:right="80"/>
              <w:spacing w:after="0"/>
              <w:rPr>
                <w:sz w:val="20"/>
                <w:szCs w:val="20"/>
                <w:color w:val="auto"/>
              </w:rPr>
            </w:pPr>
            <w:r>
              <w:rPr>
                <w:rFonts w:ascii="Arial" w:cs="Arial" w:eastAsia="Arial" w:hAnsi="Arial"/>
                <w:sz w:val="18"/>
                <w:szCs w:val="18"/>
                <w:color w:val="auto"/>
              </w:rPr>
              <w:t>123,019</w:t>
            </w:r>
          </w:p>
        </w:tc>
        <w:tc>
          <w:tcPr>
            <w:tcW w:w="6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125,540</w:t>
            </w:r>
          </w:p>
        </w:tc>
        <w:tc>
          <w:tcPr>
            <w:tcW w:w="120" w:type="dxa"/>
            <w:vAlign w:val="bottom"/>
          </w:tcPr>
          <w:p>
            <w:pPr>
              <w:spacing w:after="0"/>
              <w:rPr>
                <w:sz w:val="18"/>
                <w:szCs w:val="18"/>
                <w:color w:val="auto"/>
              </w:rPr>
            </w:pPr>
          </w:p>
        </w:tc>
      </w:tr>
      <w:tr>
        <w:trPr>
          <w:trHeight w:val="216"/>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 long-term portion</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80,802</w:t>
            </w:r>
          </w:p>
        </w:tc>
        <w:tc>
          <w:tcPr>
            <w:tcW w:w="6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71,230</w:t>
            </w:r>
          </w:p>
        </w:tc>
        <w:tc>
          <w:tcPr>
            <w:tcW w:w="12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900" w:firstLine="510"/>
        <w:spacing w:after="0" w:line="246" w:lineRule="auto"/>
        <w:rPr>
          <w:sz w:val="20"/>
          <w:szCs w:val="20"/>
          <w:color w:val="auto"/>
        </w:rPr>
      </w:pPr>
      <w:r>
        <w:rPr>
          <w:rFonts w:ascii="Arial" w:cs="Arial" w:eastAsia="Arial" w:hAnsi="Arial"/>
          <w:sz w:val="18"/>
          <w:szCs w:val="18"/>
          <w:color w:val="auto"/>
        </w:rPr>
        <w:t>Unbilled accounts receivable decreased $8.1 million during fiscal year 2020, primarily driven by an increase in billings in the Company’s satellite services and commercial networks segments.</w:t>
      </w:r>
    </w:p>
    <w:p>
      <w:pPr>
        <w:spacing w:after="0" w:line="183" w:lineRule="exact"/>
        <w:rPr>
          <w:sz w:val="20"/>
          <w:szCs w:val="20"/>
          <w:color w:val="auto"/>
        </w:rPr>
      </w:pPr>
    </w:p>
    <w:p>
      <w:pPr>
        <w:ind w:right="220" w:firstLine="510"/>
        <w:spacing w:after="0" w:line="246" w:lineRule="auto"/>
        <w:rPr>
          <w:sz w:val="20"/>
          <w:szCs w:val="20"/>
          <w:color w:val="auto"/>
        </w:rPr>
      </w:pPr>
      <w:r>
        <w:rPr>
          <w:rFonts w:ascii="Arial" w:cs="Arial" w:eastAsia="Arial" w:hAnsi="Arial"/>
          <w:sz w:val="18"/>
          <w:szCs w:val="18"/>
          <w:color w:val="auto"/>
        </w:rPr>
        <w:t>Collections in excess of revenues and deferred revenues decreased $2.5 million during fiscal year 2020, primarily driven by revenue recognized in excess of advances on goods or services received in the Company’s government systems segment.</w:t>
      </w:r>
    </w:p>
    <w:p>
      <w:pPr>
        <w:spacing w:after="0" w:line="183" w:lineRule="exact"/>
        <w:rPr>
          <w:sz w:val="20"/>
          <w:szCs w:val="20"/>
          <w:color w:val="auto"/>
        </w:rPr>
      </w:pPr>
    </w:p>
    <w:p>
      <w:pPr>
        <w:ind w:right="180" w:firstLine="510"/>
        <w:spacing w:after="0" w:line="246" w:lineRule="auto"/>
        <w:rPr>
          <w:sz w:val="20"/>
          <w:szCs w:val="20"/>
          <w:color w:val="auto"/>
        </w:rPr>
      </w:pPr>
      <w:r>
        <w:rPr>
          <w:rFonts w:ascii="Arial" w:cs="Arial" w:eastAsia="Arial" w:hAnsi="Arial"/>
          <w:sz w:val="18"/>
          <w:szCs w:val="18"/>
          <w:color w:val="auto"/>
        </w:rPr>
        <w:t>During the fiscal year ended March 31, 2020, the Company recognized revenue of $93.1 million related to the Company’s collections in excess of revenues and deferred revenues at March 31,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 and deferred costs – contracts with customers</w:t>
      </w:r>
    </w:p>
    <w:p>
      <w:pPr>
        <w:spacing w:after="0" w:line="95" w:lineRule="exact"/>
        <w:rPr>
          <w:sz w:val="20"/>
          <w:szCs w:val="20"/>
          <w:color w:val="auto"/>
        </w:rPr>
      </w:pPr>
    </w:p>
    <w:p>
      <w:pPr>
        <w:ind w:right="20" w:firstLine="510"/>
        <w:spacing w:after="0" w:line="235" w:lineRule="auto"/>
        <w:rPr>
          <w:sz w:val="20"/>
          <w:szCs w:val="20"/>
          <w:color w:val="auto"/>
        </w:rPr>
      </w:pPr>
      <w:r>
        <w:rPr>
          <w:rFonts w:ascii="Arial" w:cs="Arial" w:eastAsia="Arial" w:hAnsi="Arial"/>
          <w:sz w:val="18"/>
          <w:szCs w:val="18"/>
          <w:color w:val="auto"/>
        </w:rPr>
        <w:t>Per ASC 340-40, Other Assets and Deferred Costs – Contracts with Customers, the Company recognizes an asset from the incremental costs of obtaining a contract with a customer, if the Company expects to recover those costs. The incremental costs of obtaining a contract are those costs that the Company incurs to obtain a contract with a customer that it would not have incurred if the contract had not been obtained. ASC 340-40 also requires the recognition of an asset from the costs incurred to fulfill a contract when (1) the costs relate directly to a contract or to an anticipated contract that the Company can specifically identify, (2) the costs generate or enhance resources of the Company that will be used in satisfying (or in continuing to satisfy) performance obligations in the future, and (3) the costs are expected to be recovered. Adoption of the standard has resulted in the recognition of an asset related to commission costs incurred primarily in the Company’s satellite services segment, and recognition of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the Company elected the practical expedient and expenses incremental costs immediately. The Company’s deferred customer contract acquisition costs and costs to fulfill contract balances were $ 58.1 million and $18.9 million as of March 31, 2020, respectively. Of the Company’s total deferred customer contract acquisition costs and costs to fulfill contracts, $23.5 million was included in prepaid expenses and other current assets and $53.5 million was included in other assets on the Company’s consolidated balance sheet as of March 31, 2020. For total deferred customer contract acquisition costs and contract fulfillment costs, the Company’s amortization and reduction of carrying value associated with contract termination was $46.4 million for the fiscal year ended March 31, 2020. The Company’s deferred customer contract acquisition costs and costs to fulfill contract balances were $52.0 million and $9.9 million as of March 31, 2019, respectively. Of the Company’s total deferred customer contract acquisition costs and costs to fulfill contracts, $20.6 million was included in prepaid expenses and other current assets and $41.3 million was included in other assets on the Company’s consolidated balance sheet as of March 31, 2019. For total deferred customer contract acquisition costs and contract fulfillment costs, the Company’s amortization and reduction of carrying value associated with contract termination was $41.6 million for the fiscal year ended March 31,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9" w:lineRule="exact"/>
        <w:rPr>
          <w:sz w:val="20"/>
          <w:szCs w:val="20"/>
          <w:color w:val="auto"/>
        </w:rPr>
      </w:pPr>
    </w:p>
    <w:p>
      <w:pPr>
        <w:jc w:val="both"/>
        <w:ind w:right="440" w:firstLine="510"/>
        <w:spacing w:after="0"/>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expenses. Advertising expenses for fiscal years 2020, 2019 and 2018 were $25.8 million, $37.8 million and $14.4 million, respectively.</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5" w:lineRule="exact"/>
        <w:rPr>
          <w:sz w:val="20"/>
          <w:szCs w:val="20"/>
          <w:color w:val="auto"/>
        </w:rPr>
      </w:pPr>
    </w:p>
    <w:p>
      <w:pPr>
        <w:ind w:right="180" w:firstLine="510"/>
        <w:spacing w:after="0" w:line="238"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 Company accounts for forfeitures as they occur.</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85" w:lineRule="exact"/>
        <w:rPr>
          <w:sz w:val="20"/>
          <w:szCs w:val="20"/>
          <w:color w:val="auto"/>
        </w:rPr>
      </w:pPr>
    </w:p>
    <w:p>
      <w:pPr>
        <w:jc w:val="both"/>
        <w:ind w:right="60" w:firstLine="510"/>
        <w:spacing w:after="0"/>
        <w:rPr>
          <w:sz w:val="20"/>
          <w:szCs w:val="20"/>
          <w:color w:val="auto"/>
        </w:rPr>
      </w:pPr>
      <w:r>
        <w:rPr>
          <w:rFonts w:ascii="Arial" w:cs="Arial" w:eastAsia="Arial" w:hAnsi="Arial"/>
          <w:sz w:val="18"/>
          <w:szCs w:val="18"/>
          <w:color w:val="auto"/>
        </w:rPr>
        <w:t>Independent research and development (IR&amp;D), which is not directly funded by a third party, is expensed as incurred. IR&amp;D expenses consist primarily of salaries and other personnel-related expenses, supplies, prototype materials and other expenses related to research and development programs.</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99"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54" w:lineRule="exact"/>
        <w:rPr>
          <w:sz w:val="20"/>
          <w:szCs w:val="20"/>
          <w:color w:val="auto"/>
        </w:rPr>
      </w:pPr>
    </w:p>
    <w:p>
      <w:pPr>
        <w:ind w:right="160" w:firstLine="510"/>
        <w:spacing w:after="0" w:line="238"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91"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Company’s analysis of the need for a valuation allowance on deferred tax assets considered historical as well as forecasted future operating results. In addition, the Company’s evaluation considered other factors, including the Company’s contractual backlog, history of positive earnings, current earnings trends assuming the Company’s satellite services segment continues to grow, taxable income adjusted for certain items, and forecasted income by jurisdiction. The Company also considered the period over which these net deferred tax assets can be realized and the Company’s history of not having federal tax loss carryforwards expire unused.</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85" w:lineRule="exact"/>
        <w:rPr>
          <w:sz w:val="20"/>
          <w:szCs w:val="20"/>
          <w:color w:val="auto"/>
        </w:rPr>
      </w:pPr>
    </w:p>
    <w:p>
      <w:pPr>
        <w:ind w:right="160" w:firstLine="510"/>
        <w:spacing w:after="0" w:line="237" w:lineRule="auto"/>
        <w:rPr>
          <w:sz w:val="20"/>
          <w:szCs w:val="20"/>
          <w:color w:val="auto"/>
        </w:rPr>
      </w:pPr>
      <w:r>
        <w:rPr>
          <w:rFonts w:ascii="Arial" w:cs="Arial" w:eastAsia="Arial" w:hAnsi="Arial"/>
          <w:sz w:val="18"/>
          <w:szCs w:val="18"/>
          <w:color w:val="auto"/>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Potential common stock includes options granted (including TSR performance stock options) and restricted stock units awarded under the Company’s equity compensation plan which are included in the earnings per share calculations using the treasury stock method, common shares expected to be issued under the Company’s employee stock purchase plan, and shares potentially issuable under the ViaSat 401(k) Profit Sharing Plan in connection with the Company’s decision to pay a discretionary match in common stock or cash.</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8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The Company’s reporting segments, namely its satellite services, commercial networks and government systems segments, are primarily distinguished by the type of customer and the related contractual requirements. The Company’s satellite services segment provides satellite-based broadband services to customers, enterprises, commercial airlines and mobile broadband customers. The Company’s commercial networks segment develops and offers advanced satellite and wireless broadband platforms, ground networking equipment, radio frequency and advanced microwave solutions, Application-Specific Integrated Circuit (ASIC) chip design, satellite payload development and space-to-earth connectivity systems, some of which are ultimately used by the Company’s satellite services segment. The Company’s government systems segment develops and offers network-centric, Internet Protocol (IP)-based fixed and mobile secure government communications systems, products, services and solutions and provides global mobile broadband service and product offerings. The more regulated government environment is subject to unique contractual requirements and possesses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 (see Note 15 – Segment Information).</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9" w:lineRule="exact"/>
        <w:rPr>
          <w:sz w:val="20"/>
          <w:szCs w:val="20"/>
          <w:color w:val="auto"/>
        </w:rPr>
      </w:pPr>
    </w:p>
    <w:p>
      <w:pPr>
        <w:ind w:right="40" w:firstLine="510"/>
        <w:spacing w:after="0" w:line="235" w:lineRule="auto"/>
        <w:rPr>
          <w:sz w:val="20"/>
          <w:szCs w:val="20"/>
          <w:color w:val="auto"/>
        </w:rPr>
      </w:pPr>
      <w:r>
        <w:rPr>
          <w:rFonts w:ascii="Arial" w:cs="Arial" w:eastAsia="Arial" w:hAnsi="Arial"/>
          <w:sz w:val="18"/>
          <w:szCs w:val="18"/>
          <w:color w:val="auto"/>
        </w:rPr>
        <w:t>In February 2016, the Financial Accounting Standards Board (FASB) issued ASU 2016-02, Leases (ASC 842). ASU 2016-02 requires lessees to recognize most leases on their balance sheets as lease liabilities with corresponding right-of-use assets and eliminates certain real estate-specific provisions. In January 2018, the FASB issued ASU 2018-01, Leases (ASC 842). ASU 2018-01 permits an entity to elect an optional transition practical expedient to not evaluate land easements that exist or expired before the entity’s adoption of ASC 842 and that were not previously accounted for as leases under ASC 840. In July 2018, the FASB issued ASU 2018-10, Codification Improvements to ASC 842, Leases, which was issued to provide more detailed guidance and additional clarification for implementing ASU 2016-02. In July 2018, the FASB issued ASU 2018-11, Leases (ASC 842): Targeted Improvements, which provides an additional (and optional) transition method whereby the new lease standard is applied at the adoption date and recognized as an adjustment to retained earnings. In December 2018, the FASB issued ASU 2018-20, Leases (ASC 842): Narrow-Scope Improvements for Lessors, and in March 2019, the FASB issued ASU 2019-01 (ASC 842): Codification Improvements, both of which provide certain amendments that affect narrow aspects of the guidance issued in ASU 2016-02. The Company adopted the new guidance using the optional transition method in the first quarter of fiscal year 2020. Therefore, the periods prior to the effective date of adoption continue to be reported under the current authoritative guidance for leases (ASC 840). The adoption of this guidance materially impacted the Company’s consolidated balance sheet upon adoption due to the recognition of lease liabilities and right-of-use assets. The new guidance did not have a material impact on the Company’s consolidated statements of operations and comprehensive income (loss) or consolidated statements of cash flows (see Note 1 – The Company and a Summary of Its Significant Accounting Policies – Leases and Note 5 – Leases for more information).</w:t>
      </w:r>
    </w:p>
    <w:p>
      <w:pPr>
        <w:spacing w:after="0" w:line="200" w:lineRule="exact"/>
        <w:rPr>
          <w:sz w:val="20"/>
          <w:szCs w:val="20"/>
          <w:color w:val="auto"/>
        </w:rPr>
      </w:pPr>
    </w:p>
    <w:p>
      <w:pPr>
        <w:ind w:right="40" w:firstLine="510"/>
        <w:spacing w:after="0" w:line="235" w:lineRule="auto"/>
        <w:rPr>
          <w:sz w:val="20"/>
          <w:szCs w:val="20"/>
          <w:color w:val="auto"/>
        </w:rPr>
      </w:pPr>
      <w:r>
        <w:rPr>
          <w:rFonts w:ascii="Arial" w:cs="Arial" w:eastAsia="Arial" w:hAnsi="Arial"/>
          <w:sz w:val="18"/>
          <w:szCs w:val="18"/>
          <w:color w:val="auto"/>
        </w:rPr>
        <w:t>In June 2016, the FASB issued ASU 2016-13, Financial Instruments — Credit Losses (ASC 326). ASU 2016-13 requires credit losses on most financial assets measured at amortized cost and certain other instruments to be measured using an expected credit loss model (referred to as the current expected credit loss model). It also modifies the impairment model for available-for-sale debt securities and provides for a simplified accounting model for purchased financial assets with credit deterioration since their origination. In November 2018, the FASB issued ASU 2018-19, Codification Improvements to ASC 326, Financial Instruments — Credit Losses (ASC 326), which clarifies that impairment of receivables arising from operating leases should be accounted for in accordance with ASC 842, Leases. In April 2019, the FASB issued ASU 2019-04, Codification Improvements to ASC 326, Financial Instruments – Credit Losses, in May 2019, the FASB issued ASU 2019-05, Financial Instruments — Credit Losses (ASC 326) Targeted Relief, and in November 2019, the FASB issued ASU 2019-11, Codification Improvements to ASC 326, Financial Instruments – Credit Losses. These recently issued ASUs do not change the core principle of the guidance in ASU 2016-13 but rather are intended to clarify and improve operability of certain topics included within ASU 2016-13. ASU 2018-19, ASU 2019-04, ASU 2019-05 and ASU 2019-11 have the same effective date and transition requirements as ASU 2016-13. The new guidance will become effective for the Company beginning in fiscal year 2021, with early adoption permitted. The new guidance is required to be applied on a modified-retrospective basis. The Company is currently evaluating the impact of this standard on its consolidated financial statements and disclosures.</w:t>
      </w:r>
    </w:p>
    <w:p>
      <w:pPr>
        <w:spacing w:after="0" w:line="200"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In January 2017, the FASB issued ASU 2017-04, Intangibles — Goodwill and Other: Simplifying the Test for Goodwill Impairment (ASC 350). ASU 2017-04 removes Step 2 from the goodwill impairment test. The standard will become effective for the Company beginning in fiscal year 2021, with early adoption permitted. The Company early adopted this guidance beginning in the third quarter of fiscal year 2020 and the guidance did not have a material impact on the Company’s consolidated financial statements and disclosures.</w:t>
      </w:r>
    </w:p>
    <w:p>
      <w:pPr>
        <w:spacing w:after="0" w:line="191"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In March 2017, the FASB issued ASU 2017-08, Receivables — Nonrefundable Fees and Other Costs (ASC 310-20): Premium Amortization on Purchased Callable Debt Securities. ASU 2017-08 amends the amortization period for certain callable debt securities held at a premium. The amendments require the premium to be amortized to the earliest call date. The Company adopted this guidance beginning in the first quarter of fiscal year 2020 and the guidance did not have a material impact on the Company’s consolidated financial statements and disclosures.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firstLine="510"/>
        <w:spacing w:after="0" w:line="248" w:lineRule="auto"/>
        <w:rPr>
          <w:sz w:val="20"/>
          <w:szCs w:val="20"/>
          <w:color w:val="auto"/>
        </w:rPr>
      </w:pPr>
      <w:r>
        <w:rPr>
          <w:rFonts w:ascii="Arial" w:cs="Arial" w:eastAsia="Arial" w:hAnsi="Arial"/>
          <w:sz w:val="17"/>
          <w:szCs w:val="17"/>
          <w:color w:val="auto"/>
        </w:rPr>
        <w:t>In August 2017, the FASB issued ASU 2017-12, Derivatives and Hedging (ASC 815): Targeted Improvements to Accounting for Hedging Activities. ASU 2017-12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In October 2018, the FASB issued ASU 2018-16, Derivatives and Hedging (ASC 815): Inclusion of the Secured Overnight Financing Rate (SOFR) Overnight Index SWAP (OIS) Rate as a Benchmark Interest Rate for Hedge Accounting Purposes, which permits use of the OIS rate based on SOFR as a U.S. benchmark interest rate for hedge accounting purposes and has the same effective date as ASU 2017-</w:t>
      </w:r>
    </w:p>
    <w:p>
      <w:pPr>
        <w:spacing w:after="0" w:line="4" w:lineRule="exact"/>
        <w:rPr>
          <w:sz w:val="20"/>
          <w:szCs w:val="20"/>
          <w:color w:val="auto"/>
        </w:rPr>
      </w:pPr>
    </w:p>
    <w:p>
      <w:pPr>
        <w:ind w:right="380" w:firstLine="8"/>
        <w:spacing w:after="0" w:line="261" w:lineRule="auto"/>
        <w:tabs>
          <w:tab w:leader="none" w:pos="293"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April 2019, the FASB issued ASU 2019-04, Codification Improvements to ASC 815, Derivatives and Hedging, which clarifies certain aspects of ASC 815 and has the same effective date as ASU 2017-12. The Company adopted this guidance beginning in the first quarter of fiscal year 2020 and the guidance did not have a material impact on the Company’s consolidated financial statements and disclosures.</w:t>
      </w:r>
    </w:p>
    <w:p>
      <w:pPr>
        <w:spacing w:after="0" w:line="172"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In July 2018, the FASB issued ASU 2018-09, Codification Improvements, which is related to a project by the FASB to facilitate codification updates for technical corrections, clarifications and other minor improvements. The new standard contains amendments that affect a wide variety of topics in the ASC. The effective date of the standard is dependent on the facts and circumstances of each amendment. Some amendments do not require transition guidance and were effective upon the issuance of this standard. A majority of the amendments in ASU 2018-09 became effective for the Company beginning in fiscal year 2020. The Company adopted the remainder of the amendments of this guidance in the first quarter of fiscal year 2020 and the guidance did not have a material impact on its consolidated financial statements and disclosures.</w:t>
      </w:r>
    </w:p>
    <w:p>
      <w:pPr>
        <w:spacing w:after="0" w:line="189" w:lineRule="exact"/>
        <w:rPr>
          <w:sz w:val="20"/>
          <w:szCs w:val="20"/>
          <w:color w:val="auto"/>
        </w:rPr>
      </w:pPr>
    </w:p>
    <w:p>
      <w:pPr>
        <w:ind w:right="20" w:firstLine="510"/>
        <w:spacing w:after="0" w:line="257" w:lineRule="auto"/>
        <w:rPr>
          <w:sz w:val="20"/>
          <w:szCs w:val="20"/>
          <w:color w:val="auto"/>
        </w:rPr>
      </w:pPr>
      <w:r>
        <w:rPr>
          <w:rFonts w:ascii="Arial" w:cs="Arial" w:eastAsia="Arial" w:hAnsi="Arial"/>
          <w:sz w:val="17"/>
          <w:szCs w:val="17"/>
          <w:color w:val="auto"/>
        </w:rPr>
        <w:t>In August 2018, the FASB issued ASU 2018-13, Fair Value Measurement (ASC 820): Disclosure Framework—Changes to the Disclosure Requirements for Fair Value Measurement, which modifies the disclosure requirements for fair value measurements by removing, modifying, or adding certain disclosures. The new standard will become effective for the Company beginning in fiscal year 2021, with early adoption permitted. The Company is currently evaluating the impact of this standard on its consolidated financial statements and disclosures.</w:t>
      </w:r>
    </w:p>
    <w:p>
      <w:pPr>
        <w:spacing w:after="0" w:line="175" w:lineRule="exact"/>
        <w:rPr>
          <w:sz w:val="20"/>
          <w:szCs w:val="20"/>
          <w:color w:val="auto"/>
        </w:rPr>
      </w:pPr>
    </w:p>
    <w:p>
      <w:pPr>
        <w:ind w:right="380" w:firstLine="510"/>
        <w:spacing w:after="0" w:line="238" w:lineRule="auto"/>
        <w:rPr>
          <w:sz w:val="20"/>
          <w:szCs w:val="20"/>
          <w:color w:val="auto"/>
        </w:rPr>
      </w:pPr>
      <w:r>
        <w:rPr>
          <w:rFonts w:ascii="Arial" w:cs="Arial" w:eastAsia="Arial" w:hAnsi="Arial"/>
          <w:sz w:val="18"/>
          <w:szCs w:val="18"/>
          <w:color w:val="auto"/>
        </w:rPr>
        <w:t>In July 2019, the FASB issued ASU 2019-07, Codification Updates to SEC Sections. ASU 2019-07 modifies the disclosure and presentation requirements for a variety of codification topics by aligning them with the Securities and Exchange Commission’s (the SEC) regulations to eliminate redundancies and simplify the application of the codification. The Company adopted this guidance in the second quarter of fiscal year 2020 and the guidance did not have a material impact on the Company’s consolidated financial statements and disclosures.</w:t>
      </w:r>
    </w:p>
    <w:p>
      <w:pPr>
        <w:spacing w:after="0" w:line="148"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In November 2019, the FASB issued ASU 2019-08, Compensation – Stock Compensation (ASC 718) and Revenue from Contracts with Customers (ASC 606): Codification Improvements – Share-Based Consideration Payable to a Customer. ASU 2019-08 expands the scope of ASC 718 to provide guidance for share-based payment awards granted to a customer in conjunction with selling goods or services accounted for under ASC 606. The Company early adopted this guidance beginning in the third quarter of fiscal year 2020 and the guidance did not have a material impact on the Company’s consolidated financial statements and disclosures.</w:t>
      </w:r>
    </w:p>
    <w:p>
      <w:pPr>
        <w:spacing w:after="0" w:line="148"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In December 2019, the FASB issued ASU 2019-12, Income Taxes (ASC 740): Simplifying the Accounting for Income Taxes, which is intended to simplify various areas related to accounting for income taxes. ASU 2019-12 removes certain exceptions to the general principles in ASC 740 and also clarifies and amends existing guidance to improve consistent application. ASU 2019-12 is effective for the Company beginning in fiscal year 2022, with early adoption permitted. The Company is currently evaluating the impact of this standard on its consolidated financial statements and disclosures.</w:t>
      </w:r>
    </w:p>
    <w:p>
      <w:pPr>
        <w:spacing w:after="0" w:line="148"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In January 2020, the FASB issued ASU 2020-01, Investments – Equity Securities (ASC 321), Investments – Equity Method and Joint Ventures (ASC 323) and Derivatives and Hedging (ASC 815). ASU 2020-01 clarifies the interaction of the accounting for equity securities under ASC 321 and investments accounted for under the equity method of accounting under ASC 323, and the accounting for certain forward contracts and purchased options accounted for under ASC 815. The new standard will become effective for the Company beginning in fiscal year 2022, with early adoption permitted. The Company is currently evaluating the impact of this standard on its consolidated financial statements and disclosures.</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right"/>
              <w:ind w:right="900"/>
              <w:spacing w:after="0"/>
              <w:rPr>
                <w:sz w:val="20"/>
                <w:szCs w:val="20"/>
                <w:color w:val="auto"/>
              </w:rPr>
            </w:pPr>
            <w:r>
              <w:rPr>
                <w:rFonts w:ascii="Arial" w:cs="Arial" w:eastAsia="Arial" w:hAnsi="Arial"/>
                <w:sz w:val="13"/>
                <w:szCs w:val="13"/>
                <w:b w:val="1"/>
                <w:bCs w:val="1"/>
                <w:color w:val="auto"/>
              </w:rPr>
              <w:t>As of</w:t>
            </w:r>
          </w:p>
        </w:tc>
        <w:tc>
          <w:tcPr>
            <w:tcW w:w="180" w:type="dxa"/>
            <w:vAlign w:val="bottom"/>
          </w:tcPr>
          <w:p>
            <w:pPr>
              <w:spacing w:after="0"/>
              <w:rPr>
                <w:sz w:val="13"/>
                <w:szCs w:val="13"/>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65"/>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March 31, 2020</w:t>
            </w:r>
          </w:p>
        </w:tc>
        <w:tc>
          <w:tcPr>
            <w:tcW w:w="180" w:type="dxa"/>
            <w:vAlign w:val="bottom"/>
          </w:tcPr>
          <w:p>
            <w:pPr>
              <w:spacing w:after="0"/>
              <w:rPr>
                <w:sz w:val="14"/>
                <w:szCs w:val="14"/>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March 31, 2019</w:t>
            </w: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00" w:type="dxa"/>
            <w:vAlign w:val="bottom"/>
            <w:tcBorders>
              <w:top w:val="single" w:sz="8" w:color="auto"/>
            </w:tcBorders>
            <w:gridSpan w:val="4"/>
          </w:tcPr>
          <w:p>
            <w:pPr>
              <w:jc w:val="right"/>
              <w:ind w:right="1173"/>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3"/>
                <w:szCs w:val="13"/>
                <w:color w:val="auto"/>
              </w:rPr>
              <w:t>Accounts receivable, net:</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Billed</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260,431</w:t>
            </w:r>
          </w:p>
        </w:tc>
        <w:tc>
          <w:tcPr>
            <w:tcW w:w="28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218,276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Unbilled</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75,661</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83,743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Allowance for doubtful accounts</w:t>
            </w:r>
          </w:p>
        </w:tc>
        <w:tc>
          <w:tcPr>
            <w:tcW w:w="20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3"/>
                <w:szCs w:val="13"/>
                <w:color w:val="auto"/>
              </w:rPr>
              <w:t>(5,394)</w:t>
            </w:r>
          </w:p>
        </w:tc>
        <w:tc>
          <w:tcPr>
            <w:tcW w:w="18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(1,712)</w:t>
            </w:r>
          </w:p>
        </w:tc>
        <w:tc>
          <w:tcPr>
            <w:tcW w:w="0" w:type="dxa"/>
            <w:vAlign w:val="bottom"/>
          </w:tcPr>
          <w:p>
            <w:pPr>
              <w:spacing w:after="0"/>
              <w:rPr>
                <w:sz w:val="1"/>
                <w:szCs w:val="1"/>
                <w:color w:val="auto"/>
              </w:rPr>
            </w:pPr>
          </w:p>
        </w:tc>
      </w:tr>
      <w:tr>
        <w:trPr>
          <w:trHeight w:val="155"/>
        </w:trPr>
        <w:tc>
          <w:tcPr>
            <w:tcW w:w="77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330,698</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300,307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3"/>
                <w:szCs w:val="13"/>
                <w:color w:val="auto"/>
              </w:rPr>
              <w:t>Inventories:</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Raw materials</w:t>
            </w: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83,353</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77,834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Work in process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59,429</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52,084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Finished goods</w:t>
            </w: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151,634</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104,600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294,416</w:t>
            </w:r>
          </w:p>
        </w:tc>
        <w:tc>
          <w:tcPr>
            <w:tcW w:w="2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234,518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Prepaid expenses and other current assets:</w:t>
            </w: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Prepaid expenses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84,872</w:t>
            </w:r>
          </w:p>
        </w:tc>
        <w:tc>
          <w:tcPr>
            <w:tcW w:w="28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72,369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31,409</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18,277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116,281</w:t>
            </w:r>
          </w:p>
        </w:tc>
        <w:tc>
          <w:tcPr>
            <w:tcW w:w="2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90,646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Property, equipment and satellites, net:</w:t>
            </w: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Equipment and software (estimated useful life of 3-7 years)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1,229,926</w:t>
            </w:r>
          </w:p>
        </w:tc>
        <w:tc>
          <w:tcPr>
            <w:tcW w:w="28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1,027,293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CPE leased equipment (estimated useful life of 4-5 years)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399,343</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373,357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Furniture and fixtures (estimated useful life of 7 years)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54,688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46,678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Leasehold improvements (estimated useful life of 2-17 years)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137,287</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126,528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Building (estimated useful life of 12 years)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8,923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8,923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Land</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2,291</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Construction in progress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220,703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167,178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Satellites (estimated useful life of 12-17 years)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969,952</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978,118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Satellite Ka-band capacity obtained under finance leases (estimated useful life of 7-11 years)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171,801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99,090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Satellites under construction</w:t>
            </w: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906,720</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590,000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4,101,634</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3,419,456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Less: accumulated depreciation and amortization</w:t>
            </w:r>
          </w:p>
        </w:tc>
        <w:tc>
          <w:tcPr>
            <w:tcW w:w="20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(1,514,899)</w:t>
            </w:r>
          </w:p>
        </w:tc>
        <w:tc>
          <w:tcPr>
            <w:tcW w:w="18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(1,294,166)</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2,586,735</w:t>
            </w:r>
          </w:p>
        </w:tc>
        <w:tc>
          <w:tcPr>
            <w:tcW w:w="28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2,125,290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Other assets:</w:t>
            </w: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Investment in unconsolidated affiliate</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160,204</w:t>
            </w:r>
          </w:p>
        </w:tc>
        <w:tc>
          <w:tcPr>
            <w:tcW w:w="28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160,711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income taxes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276,331</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258,834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Capitalized software costs, net</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242,741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244,368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Patents, orbital slots and other licenses, net</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39,135</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88,941</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71,833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807,352</w:t>
            </w:r>
          </w:p>
        </w:tc>
        <w:tc>
          <w:tcPr>
            <w:tcW w:w="2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758,805</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3"/>
                <w:szCs w:val="13"/>
                <w:color w:val="auto"/>
              </w:rPr>
              <w:t>Accrued and other liabilities:</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Collections in excess of revenues and deferred revenues</w:t>
            </w: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123,019</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125,540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Accrued employee compensation</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72,654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56,454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vacation</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48,963</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43,077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Warranty reserve, current portion</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6,233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5,877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Operating lease liabilities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42,146</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98,175</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77,320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391,190</w:t>
            </w:r>
          </w:p>
        </w:tc>
        <w:tc>
          <w:tcPr>
            <w:tcW w:w="2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308,268</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3"/>
                <w:szCs w:val="13"/>
                <w:color w:val="auto"/>
              </w:rPr>
              <w:t>Other liabilities:</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revenues, long-term portion</w:t>
            </w: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80,802</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71,230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Deferred rent, long-term portion</w:t>
            </w:r>
          </w:p>
        </w:tc>
        <w:tc>
          <w:tcPr>
            <w:tcW w:w="200" w:type="dxa"/>
            <w:vAlign w:val="bottom"/>
          </w:tcPr>
          <w:p>
            <w:pPr>
              <w:spacing w:after="0"/>
              <w:rPr>
                <w:sz w:val="14"/>
                <w:szCs w:val="1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16,810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Warranty reserve, long-term portion</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5,410</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Satellite performance incentive obligations, long-term portion</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24,349</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25,324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10,373</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5,755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120,934</w:t>
            </w:r>
          </w:p>
        </w:tc>
        <w:tc>
          <w:tcPr>
            <w:tcW w:w="280" w:type="dxa"/>
            <w:vAlign w:val="bottom"/>
          </w:tcPr>
          <w:p>
            <w:pPr>
              <w:spacing w:after="0"/>
              <w:rPr>
                <w:sz w:val="13"/>
                <w:szCs w:val="13"/>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120,826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56" w:lineRule="exact"/>
        <w:rPr>
          <w:sz w:val="20"/>
          <w:szCs w:val="20"/>
          <w:color w:val="auto"/>
        </w:rPr>
      </w:pPr>
    </w:p>
    <w:p>
      <w:pPr>
        <w:ind w:left="5440" w:right="380" w:hanging="4933"/>
        <w:spacing w:after="0" w:line="512" w:lineRule="auto"/>
        <w:tabs>
          <w:tab w:leader="none" w:pos="10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 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jc w:val="both"/>
        <w:ind w:left="1000" w:right="4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4" w:lineRule="exact"/>
        <w:rPr>
          <w:rFonts w:ascii="Arial" w:cs="Arial" w:eastAsia="Arial" w:hAnsi="Arial"/>
          <w:sz w:val="18"/>
          <w:szCs w:val="18"/>
          <w:color w:val="auto"/>
        </w:rPr>
      </w:pPr>
    </w:p>
    <w:p>
      <w:pPr>
        <w:ind w:left="1000" w:right="80" w:hanging="493"/>
        <w:spacing w:after="0" w:line="246"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3" w:lineRule="exact"/>
        <w:rPr>
          <w:sz w:val="20"/>
          <w:szCs w:val="20"/>
          <w:color w:val="auto"/>
        </w:rPr>
      </w:pPr>
    </w:p>
    <w:p>
      <w:pPr>
        <w:ind w:right="140" w:firstLine="510"/>
        <w:spacing w:after="0"/>
        <w:rPr>
          <w:sz w:val="20"/>
          <w:szCs w:val="20"/>
          <w:color w:val="auto"/>
        </w:rPr>
      </w:pPr>
      <w:r>
        <w:rPr>
          <w:rFonts w:ascii="Arial" w:cs="Arial" w:eastAsia="Arial" w:hAnsi="Arial"/>
          <w:sz w:val="18"/>
          <w:szCs w:val="18"/>
          <w:color w:val="auto"/>
        </w:rPr>
        <w:t>The Company had $5.0 million in cash equivalents (Level 1) and no liabilities measured at fair value on a recurring basis as of March 31, 2020. The Company had no assets and an insignificant amount of foreign currency forward contract liabilities (Level 2) measured at fair value on a recurring basis as of March 31, 2019.</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220" w:firstLine="510"/>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06" w:lineRule="exact"/>
        <w:rPr>
          <w:sz w:val="20"/>
          <w:szCs w:val="20"/>
          <w:color w:val="auto"/>
        </w:rPr>
      </w:pPr>
    </w:p>
    <w:p>
      <w:pPr>
        <w:ind w:right="180" w:firstLine="510"/>
        <w:spacing w:after="0" w:line="239" w:lineRule="auto"/>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Company uses derivative financial instruments to manage foreign currency risk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33"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and Ex-Im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Credit Facilities), $700.0 million in aggregate principal amount of 2025 Notes, $600.0 million in aggregate principal amount of 2027 Notes and finance lease obligations reported at the present value of future minimum lease payments with current accrued interest. Long-term debt related to the Revolving Credit Facility is reported at the outstanding principal amount of borrowings, while long-term debt related to the Ex-Im Credit Facility, 2025 Notes and 2027 Notes is reported at amortized cost. However, for disclosure purposes, the Company is required to measure the fair value of outstanding debt on a recurring basis. The fair value of the Company’s long-term debt related to the Revolving Credit Facility approximates its carrying amount due to its variable interest rate, which approximates a market interest rate. As of March 31, 2020 and 2019, the fair value of the Company’s long-term debt related to the Ex-Im Credit Facility was determined based on a discounted cash flow analysis using observable market interest rates for instruments with similar terms (Level 2) and was approximately $118.1 million and $134.9 million, respectively. As of March 31, 2020 and 2019, the estimated fair value of the Company’s outstanding long-term debt related to the 2025 Notes was determined based on actual or estimated bids and offers for the 2025 Notes in an over-the-counter market (Level 2) and was $653.6 million and $670.3 million, respectively. As of March 31, 2020, the estimated fair value of the Company’s outstanding long-term debt related to the 2027 Notes was determined based on actual or estimated bids and offers for the 2027 Notes in an over-the -counter market (Level 2) and was $603.2 million. The fair value of the Company’s outstanding long-term debt as of March 31, 2019 related to the 2027 Notes approximated its carrying amount due to the proximity of the closing of the 2027 Notes compared to the reporting date. The fair value of the Company’s finance lease obligations is estimated at the carrying value based on current rates (Level 2).</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4" w:lineRule="exact"/>
        <w:rPr>
          <w:sz w:val="20"/>
          <w:szCs w:val="20"/>
          <w:color w:val="auto"/>
        </w:rPr>
      </w:pPr>
    </w:p>
    <w:p>
      <w:pPr>
        <w:ind w:right="80" w:firstLine="510"/>
        <w:spacing w:after="0" w:line="239" w:lineRule="auto"/>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the manufacturers of the ViaSat-1 and ViaSat-2 satellites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Company to make monthly in-orbit satellite performance incentive payments, including interest, through approximately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March 31, 2020 and 2019, the Company’s estimated satellite performance incentive obligations relating to the ViaSat-1 and ViaSat-2 satellites, including accrued interest, were $27.4 million and $28.2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Acquired Intangible Assets</w:t>
      </w:r>
    </w:p>
    <w:p>
      <w:pPr>
        <w:spacing w:after="0" w:line="99"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During fiscal year 2020, the decrease in the Company’s goodwill related to the effects of foreign currency translation recorded within all three of the Company’s segments. During fiscal year 2019, the increase in the Company’s goodwill related to an insignificant acquisition,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the effects of foreign currency translation recorded within all three of the Company’s segments.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w:t>
      </w:r>
    </w:p>
    <w:p>
      <w:pPr>
        <w:spacing w:after="0" w:line="234" w:lineRule="auto"/>
        <w:rPr>
          <w:sz w:val="20"/>
          <w:szCs w:val="20"/>
          <w:color w:val="auto"/>
        </w:rPr>
      </w:pPr>
      <w:r>
        <w:rPr>
          <w:rFonts w:ascii="Arial" w:cs="Arial" w:eastAsia="Arial" w:hAnsi="Arial"/>
          <w:sz w:val="18"/>
          <w:szCs w:val="18"/>
          <w:color w:val="auto"/>
        </w:rPr>
        <w:t>Amortization expense related to other acquired intangible assets was $7.6 million, $9.7 million and $12.2 million for the fiscal years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31, 2020, March 31, 2019 and March 31, 2018, respectively.</w:t>
      </w:r>
    </w:p>
    <w:p>
      <w:pPr>
        <w:spacing w:after="0" w:line="158" w:lineRule="exact"/>
        <w:rPr>
          <w:sz w:val="20"/>
          <w:szCs w:val="20"/>
          <w:color w:val="auto"/>
        </w:rPr>
      </w:pPr>
    </w:p>
    <w:p>
      <w:pPr>
        <w:ind w:right="320" w:firstLine="510"/>
        <w:spacing w:after="0"/>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Expected amortization expense for acquired intangible assets for each of the following periods is as follows:</w:t>
      </w:r>
    </w:p>
    <w:p>
      <w:pPr>
        <w:spacing w:after="0" w:line="271" w:lineRule="exact"/>
        <w:rPr>
          <w:sz w:val="20"/>
          <w:szCs w:val="20"/>
          <w:color w:val="auto"/>
        </w:rPr>
      </w:pPr>
    </w:p>
    <w:tbl>
      <w:tblPr>
        <w:tblLayout w:type="fixed"/>
        <w:tblInd w:w="226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69"/>
        </w:trPr>
        <w:tc>
          <w:tcPr>
            <w:tcW w:w="3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2021</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5,120</w:t>
            </w:r>
          </w:p>
        </w:tc>
        <w:tc>
          <w:tcPr>
            <w:tcW w:w="6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3,297</w:t>
            </w:r>
          </w:p>
        </w:tc>
        <w:tc>
          <w:tcPr>
            <w:tcW w:w="6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w:t>
            </w:r>
          </w:p>
        </w:tc>
        <w:tc>
          <w:tcPr>
            <w:tcW w:w="6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for fiscal year 2024</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2,472</w:t>
            </w:r>
          </w:p>
        </w:tc>
        <w:tc>
          <w:tcPr>
            <w:tcW w:w="6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2025</w:t>
            </w: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60" w:type="dxa"/>
            <w:vAlign w:val="bottom"/>
            <w:shd w:val="clear" w:color="auto" w:fill="CFF0FC"/>
          </w:tcPr>
          <w:p>
            <w:pPr>
              <w:spacing w:after="0"/>
              <w:rPr>
                <w:sz w:val="18"/>
                <w:szCs w:val="18"/>
                <w:color w:val="auto"/>
              </w:rPr>
            </w:pPr>
          </w:p>
        </w:tc>
      </w:tr>
      <w:tr>
        <w:trPr>
          <w:trHeight w:val="216"/>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8"/>
                <w:szCs w:val="18"/>
                <w:color w:val="auto"/>
              </w:rPr>
            </w:pPr>
          </w:p>
        </w:tc>
      </w:tr>
      <w:tr>
        <w:trPr>
          <w:trHeight w:val="210"/>
        </w:trPr>
        <w:tc>
          <w:tcPr>
            <w:tcW w:w="39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14,439</w:t>
            </w:r>
          </w:p>
        </w:tc>
        <w:tc>
          <w:tcPr>
            <w:tcW w:w="60" w:type="dxa"/>
            <w:vAlign w:val="bottom"/>
            <w:shd w:val="clear" w:color="auto" w:fill="CFF0FC"/>
          </w:tcPr>
          <w:p>
            <w:pPr>
              <w:spacing w:after="0"/>
              <w:rPr>
                <w:sz w:val="18"/>
                <w:szCs w:val="18"/>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00" w:firstLine="510"/>
        <w:spacing w:after="0" w:line="246" w:lineRule="auto"/>
        <w:rPr>
          <w:sz w:val="20"/>
          <w:szCs w:val="20"/>
          <w:color w:val="auto"/>
        </w:rPr>
      </w:pPr>
      <w:r>
        <w:rPr>
          <w:rFonts w:ascii="Arial" w:cs="Arial" w:eastAsia="Arial" w:hAnsi="Arial"/>
          <w:sz w:val="18"/>
          <w:szCs w:val="18"/>
          <w:color w:val="auto"/>
        </w:rPr>
        <w:t>The allocation of the other acquired intangible assets and the related accumulated amortization as of March 31, 2020 and 2019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4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Weighted</w:t>
            </w: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3"/>
                <w:szCs w:val="13"/>
                <w:b w:val="1"/>
                <w:bCs w:val="1"/>
                <w:color w:val="auto"/>
              </w:rPr>
              <w:t>As of March 31, 2020</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As of March 31, 2019</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Average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gridSpan w:val="4"/>
          </w:tcPr>
          <w:p>
            <w:pPr>
              <w:ind w:left="22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Net Book</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Net Book</w:t>
            </w:r>
          </w:p>
        </w:tc>
        <w:tc>
          <w:tcPr>
            <w:tcW w:w="0" w:type="dxa"/>
            <w:vAlign w:val="bottom"/>
          </w:tcPr>
          <w:p>
            <w:pPr>
              <w:spacing w:after="0"/>
              <w:rPr>
                <w:sz w:val="1"/>
                <w:szCs w:val="1"/>
                <w:color w:val="auto"/>
              </w:rPr>
            </w:pPr>
          </w:p>
        </w:tc>
      </w:tr>
      <w:tr>
        <w:trPr>
          <w:trHeight w:val="165"/>
        </w:trPr>
        <w:tc>
          <w:tcPr>
            <w:tcW w:w="424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Useful Life</w:t>
            </w:r>
          </w:p>
        </w:tc>
        <w:tc>
          <w:tcPr>
            <w:tcW w:w="160" w:type="dxa"/>
            <w:vAlign w:val="bottom"/>
          </w:tcPr>
          <w:p>
            <w:pPr>
              <w:spacing w:after="0"/>
              <w:rPr>
                <w:sz w:val="14"/>
                <w:szCs w:val="14"/>
                <w:color w:val="auto"/>
              </w:rPr>
            </w:pPr>
          </w:p>
        </w:tc>
        <w:tc>
          <w:tcPr>
            <w:tcW w:w="620" w:type="dxa"/>
            <w:vAlign w:val="bottom"/>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Value</w:t>
            </w:r>
          </w:p>
        </w:tc>
        <w:tc>
          <w:tcPr>
            <w:tcW w:w="160" w:type="dxa"/>
            <w:vAlign w:val="bottom"/>
          </w:tcPr>
          <w:p>
            <w:pPr>
              <w:spacing w:after="0"/>
              <w:rPr>
                <w:sz w:val="14"/>
                <w:szCs w:val="14"/>
                <w:color w:val="auto"/>
              </w:rPr>
            </w:pPr>
          </w:p>
        </w:tc>
        <w:tc>
          <w:tcPr>
            <w:tcW w:w="640" w:type="dxa"/>
            <w:vAlign w:val="bottom"/>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(In years)</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4"/>
          </w:tcPr>
          <w:p>
            <w:pPr>
              <w:jc w:val="right"/>
              <w:ind w:right="349"/>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spacing w:after="0"/>
              <w:rPr>
                <w:sz w:val="20"/>
                <w:szCs w:val="20"/>
                <w:color w:val="auto"/>
              </w:rPr>
            </w:pPr>
            <w:r>
              <w:rPr>
                <w:rFonts w:ascii="Arial" w:cs="Arial" w:eastAsia="Arial" w:hAnsi="Arial"/>
                <w:sz w:val="14"/>
                <w:szCs w:val="14"/>
                <w:color w:val="auto"/>
              </w:rPr>
              <w:t>Technology</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89,228</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(78,935)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10,293</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89,972</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(73,992)</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15,980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20"/>
                <w:szCs w:val="20"/>
                <w:color w:val="auto"/>
              </w:rPr>
            </w:pPr>
            <w:r>
              <w:rPr>
                <w:rFonts w:ascii="Arial" w:cs="Arial" w:eastAsia="Arial" w:hAnsi="Arial"/>
                <w:sz w:val="14"/>
                <w:szCs w:val="14"/>
                <w:color w:val="auto"/>
              </w:rPr>
              <w:t>Contracts and customer relationships</w:t>
            </w: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103,114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(98,968)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4,146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103,283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(96,970)</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FF0FC"/>
          </w:tcPr>
          <w:p>
            <w:pPr>
              <w:spacing w:after="0"/>
              <w:rPr>
                <w:sz w:val="20"/>
                <w:szCs w:val="20"/>
                <w:color w:val="auto"/>
              </w:rPr>
            </w:pPr>
            <w:r>
              <w:rPr>
                <w:rFonts w:ascii="Arial" w:cs="Arial" w:eastAsia="Arial" w:hAnsi="Arial"/>
                <w:sz w:val="14"/>
                <w:szCs w:val="14"/>
                <w:color w:val="auto"/>
              </w:rPr>
              <w:t>Satellite co-location rights</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(8,600)</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8,600</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(8,592)</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20"/>
                <w:szCs w:val="20"/>
                <w:color w:val="auto"/>
              </w:rPr>
            </w:pPr>
            <w:r>
              <w:rPr>
                <w:rFonts w:ascii="Arial" w:cs="Arial" w:eastAsia="Arial" w:hAnsi="Arial"/>
                <w:sz w:val="14"/>
                <w:szCs w:val="14"/>
                <w:color w:val="auto"/>
              </w:rPr>
              <w:t>Trade name</w:t>
            </w: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5,940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(5,940)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5,940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(5,940)</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6,399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(6,399)</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9,989</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(9,989)</w:t>
            </w: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40" w:type="dxa"/>
            <w:vAlign w:val="bottom"/>
          </w:tcPr>
          <w:p>
            <w:pPr>
              <w:spacing w:after="0"/>
              <w:rPr>
                <w:sz w:val="20"/>
                <w:szCs w:val="20"/>
                <w:color w:val="auto"/>
              </w:rPr>
            </w:pPr>
            <w:r>
              <w:rPr>
                <w:rFonts w:ascii="Arial" w:cs="Arial" w:eastAsia="Arial" w:hAnsi="Arial"/>
                <w:sz w:val="14"/>
                <w:szCs w:val="14"/>
                <w:color w:val="auto"/>
              </w:rPr>
              <w:t>Total other acquired intangible assets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213,281</w:t>
            </w: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(198,842)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14,439</w:t>
            </w:r>
          </w:p>
        </w:tc>
        <w:tc>
          <w:tcPr>
            <w:tcW w:w="2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217,784</w:t>
            </w:r>
          </w:p>
        </w:tc>
        <w:tc>
          <w:tcPr>
            <w:tcW w:w="3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(195,483)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22,301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99" w:lineRule="exact"/>
        <w:rPr>
          <w:sz w:val="20"/>
          <w:szCs w:val="20"/>
          <w:color w:val="auto"/>
        </w:rPr>
      </w:pPr>
    </w:p>
    <w:p>
      <w:pPr>
        <w:ind w:right="80" w:firstLine="510"/>
        <w:spacing w:after="0" w:line="242" w:lineRule="auto"/>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from less than one year to ten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recognized right-of-use assets and lease liabilities for such leases in connection with its adoption of ASC 842 as of April 1, 2019 (see Note 1 — The Company and a Summary of Its Significant Accounting Policies — Leases for more information).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147" w:lineRule="exact"/>
        <w:rPr>
          <w:sz w:val="20"/>
          <w:szCs w:val="20"/>
          <w:color w:val="auto"/>
        </w:rPr>
      </w:pPr>
    </w:p>
    <w:p>
      <w:pPr>
        <w:jc w:val="both"/>
        <w:ind w:right="80" w:firstLine="510"/>
        <w:spacing w:after="0"/>
        <w:rPr>
          <w:sz w:val="20"/>
          <w:szCs w:val="20"/>
          <w:color w:val="auto"/>
        </w:rPr>
      </w:pPr>
      <w:r>
        <w:rPr>
          <w:rFonts w:ascii="Arial" w:cs="Arial" w:eastAsia="Arial" w:hAnsi="Arial"/>
          <w:sz w:val="18"/>
          <w:szCs w:val="18"/>
          <w:color w:val="auto"/>
        </w:rPr>
        <w:t>The Company’s finance leases consist primarily of satellite lifetime Ka-band capacity leases and have remaining terms from one to six years. The Company reports assets obtained under finance leases in property, equipment and satellites, net and the current and non-current portions of its finance lease liabilities in current portion of long-term debt and other long-term debt, respectively.</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lease costs, weighted average lease terms and discount rates are presented in the tables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4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Fiscal Year Ended</w:t>
            </w: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9"/>
        </w:trPr>
        <w:tc>
          <w:tcPr>
            <w:tcW w:w="114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7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00" w:type="dxa"/>
            <w:vAlign w:val="bottom"/>
            <w:gridSpan w:val="3"/>
          </w:tcPr>
          <w:p>
            <w:pPr>
              <w:ind w:left="1140"/>
              <w:spacing w:after="0"/>
              <w:rPr>
                <w:sz w:val="20"/>
                <w:szCs w:val="20"/>
                <w:color w:val="auto"/>
              </w:rPr>
            </w:pPr>
            <w:r>
              <w:rPr>
                <w:rFonts w:ascii="Arial" w:cs="Arial" w:eastAsia="Arial" w:hAnsi="Arial"/>
                <w:sz w:val="18"/>
                <w:szCs w:val="18"/>
                <w:color w:val="auto"/>
              </w:rPr>
              <w:t>Operating lease cost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60,861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7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7060" w:type="dxa"/>
            <w:vAlign w:val="bottom"/>
            <w:gridSpan w:val="2"/>
          </w:tcPr>
          <w:p>
            <w:pPr>
              <w:ind w:left="240"/>
              <w:spacing w:after="0"/>
              <w:rPr>
                <w:sz w:val="20"/>
                <w:szCs w:val="20"/>
                <w:color w:val="auto"/>
              </w:rPr>
            </w:pPr>
            <w:r>
              <w:rPr>
                <w:rFonts w:ascii="Arial" w:cs="Arial" w:eastAsia="Arial" w:hAnsi="Arial"/>
                <w:sz w:val="18"/>
                <w:szCs w:val="18"/>
                <w:color w:val="auto"/>
              </w:rPr>
              <w:t>Depreciation of assets obtained under finance leases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11,328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7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on lease liabilities</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00" w:type="dxa"/>
            <w:vAlign w:val="bottom"/>
            <w:gridSpan w:val="3"/>
          </w:tcPr>
          <w:p>
            <w:pPr>
              <w:ind w:left="1140"/>
              <w:spacing w:after="0"/>
              <w:rPr>
                <w:sz w:val="20"/>
                <w:szCs w:val="20"/>
                <w:color w:val="auto"/>
              </w:rPr>
            </w:pPr>
            <w:r>
              <w:rPr>
                <w:rFonts w:ascii="Arial" w:cs="Arial" w:eastAsia="Arial" w:hAnsi="Arial"/>
                <w:sz w:val="18"/>
                <w:szCs w:val="18"/>
                <w:color w:val="auto"/>
              </w:rPr>
              <w:t>Short-term lease cost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4,750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7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8,608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8200" w:type="dxa"/>
            <w:vAlign w:val="bottom"/>
            <w:gridSpan w:val="3"/>
          </w:tcPr>
          <w:p>
            <w:pPr>
              <w:ind w:left="1140"/>
              <w:spacing w:after="0"/>
              <w:rPr>
                <w:sz w:val="20"/>
                <w:szCs w:val="20"/>
                <w:color w:val="auto"/>
              </w:rPr>
            </w:pPr>
            <w:r>
              <w:rPr>
                <w:rFonts w:ascii="Arial" w:cs="Arial" w:eastAsia="Arial" w:hAnsi="Arial"/>
                <w:sz w:val="18"/>
                <w:szCs w:val="18"/>
                <w:color w:val="auto"/>
              </w:rPr>
              <w:t>Net lease cost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87,691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59"/>
        </w:trPr>
        <w:tc>
          <w:tcPr>
            <w:tcW w:w="11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ind w:left="440"/>
              <w:spacing w:after="0"/>
              <w:rPr>
                <w:sz w:val="20"/>
                <w:szCs w:val="20"/>
                <w:color w:val="auto"/>
              </w:rPr>
            </w:pPr>
            <w:r>
              <w:rPr>
                <w:rFonts w:ascii="Arial" w:cs="Arial" w:eastAsia="Arial" w:hAnsi="Arial"/>
                <w:sz w:val="14"/>
                <w:szCs w:val="14"/>
                <w:b w:val="1"/>
                <w:bCs w:val="1"/>
                <w:color w:val="auto"/>
              </w:rPr>
              <w:t>As of</w:t>
            </w:r>
          </w:p>
        </w:tc>
        <w:tc>
          <w:tcPr>
            <w:tcW w:w="1120" w:type="dxa"/>
            <w:vAlign w:val="bottom"/>
          </w:tcPr>
          <w:p>
            <w:pPr>
              <w:spacing w:after="0"/>
              <w:rPr>
                <w:sz w:val="24"/>
                <w:szCs w:val="24"/>
                <w:color w:val="auto"/>
              </w:rPr>
            </w:pPr>
          </w:p>
        </w:tc>
      </w:tr>
      <w:tr>
        <w:trPr>
          <w:trHeight w:val="175"/>
        </w:trPr>
        <w:tc>
          <w:tcPr>
            <w:tcW w:w="1140" w:type="dxa"/>
            <w:vAlign w:val="bottom"/>
          </w:tcPr>
          <w:p>
            <w:pPr>
              <w:spacing w:after="0"/>
              <w:rPr>
                <w:sz w:val="15"/>
                <w:szCs w:val="15"/>
                <w:color w:val="auto"/>
              </w:rPr>
            </w:pPr>
          </w:p>
        </w:tc>
        <w:tc>
          <w:tcPr>
            <w:tcW w:w="690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CFF0FC"/>
            </w:tcBorders>
            <w:gridSpan w:val="2"/>
          </w:tcPr>
          <w:p>
            <w:pPr>
              <w:spacing w:after="0"/>
              <w:rPr>
                <w:sz w:val="15"/>
                <w:szCs w:val="15"/>
                <w:color w:val="auto"/>
              </w:rPr>
            </w:pPr>
          </w:p>
        </w:tc>
        <w:tc>
          <w:tcPr>
            <w:tcW w:w="1120" w:type="dxa"/>
            <w:vAlign w:val="bottom"/>
          </w:tcPr>
          <w:p>
            <w:pPr>
              <w:spacing w:after="0"/>
              <w:rPr>
                <w:sz w:val="15"/>
                <w:szCs w:val="15"/>
                <w:color w:val="auto"/>
              </w:rPr>
            </w:pPr>
          </w:p>
        </w:tc>
      </w:tr>
      <w:tr>
        <w:trPr>
          <w:trHeight w:val="223"/>
        </w:trPr>
        <w:tc>
          <w:tcPr>
            <w:tcW w:w="1140" w:type="dxa"/>
            <w:vAlign w:val="bottom"/>
          </w:tcPr>
          <w:p>
            <w:pPr>
              <w:spacing w:after="0"/>
              <w:rPr>
                <w:sz w:val="19"/>
                <w:szCs w:val="19"/>
                <w:color w:val="auto"/>
              </w:rPr>
            </w:pPr>
          </w:p>
        </w:tc>
        <w:tc>
          <w:tcPr>
            <w:tcW w:w="70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Lease term and discount rate:</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00" w:type="dxa"/>
            <w:vAlign w:val="bottom"/>
            <w:gridSpan w:val="3"/>
          </w:tcPr>
          <w:p>
            <w:pPr>
              <w:ind w:left="1140"/>
              <w:spacing w:after="0"/>
              <w:rPr>
                <w:sz w:val="20"/>
                <w:szCs w:val="20"/>
                <w:color w:val="auto"/>
              </w:rPr>
            </w:pPr>
            <w:r>
              <w:rPr>
                <w:rFonts w:ascii="Arial" w:cs="Arial" w:eastAsia="Arial" w:hAnsi="Arial"/>
                <w:sz w:val="18"/>
                <w:szCs w:val="18"/>
                <w:color w:val="auto"/>
              </w:rPr>
              <w:t>Weighted average remaining lease term (in years):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7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95"/>
              </w:rPr>
              <w:t>7.0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7060" w:type="dxa"/>
            <w:vAlign w:val="bottom"/>
            <w:gridSpan w:val="2"/>
          </w:tcPr>
          <w:p>
            <w:pPr>
              <w:ind w:left="240"/>
              <w:spacing w:after="0"/>
              <w:rPr>
                <w:sz w:val="20"/>
                <w:szCs w:val="20"/>
                <w:color w:val="auto"/>
              </w:rPr>
            </w:pPr>
            <w:r>
              <w:rPr>
                <w:rFonts w:ascii="Arial" w:cs="Arial" w:eastAsia="Arial" w:hAnsi="Arial"/>
                <w:sz w:val="18"/>
                <w:szCs w:val="18"/>
                <w:color w:val="auto"/>
              </w:rPr>
              <w:t>Finance leases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ind w:left="1240"/>
              <w:spacing w:after="0"/>
              <w:rPr>
                <w:sz w:val="20"/>
                <w:szCs w:val="20"/>
                <w:color w:val="auto"/>
              </w:rPr>
            </w:pPr>
            <w:r>
              <w:rPr>
                <w:rFonts w:ascii="Arial" w:cs="Arial" w:eastAsia="Arial" w:hAnsi="Arial"/>
                <w:sz w:val="18"/>
                <w:szCs w:val="18"/>
                <w:color w:val="auto"/>
                <w:w w:val="95"/>
              </w:rPr>
              <w:t>6.3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00" w:type="dxa"/>
            <w:vAlign w:val="bottom"/>
            <w:gridSpan w:val="3"/>
          </w:tcPr>
          <w:p>
            <w:pPr>
              <w:ind w:left="1140"/>
              <w:spacing w:after="0"/>
              <w:rPr>
                <w:sz w:val="20"/>
                <w:szCs w:val="20"/>
                <w:color w:val="auto"/>
              </w:rPr>
            </w:pPr>
            <w:r>
              <w:rPr>
                <w:rFonts w:ascii="Arial" w:cs="Arial" w:eastAsia="Arial" w:hAnsi="Arial"/>
                <w:sz w:val="18"/>
                <w:szCs w:val="18"/>
                <w:b w:val="1"/>
                <w:bCs w:val="1"/>
                <w:color w:val="auto"/>
              </w:rPr>
              <w:t>Weighted average discount rate: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7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ind w:left="1240"/>
              <w:spacing w:after="0"/>
              <w:rPr>
                <w:sz w:val="20"/>
                <w:szCs w:val="20"/>
                <w:color w:val="auto"/>
              </w:rPr>
            </w:pPr>
            <w:r>
              <w:rPr>
                <w:rFonts w:ascii="Arial" w:cs="Arial" w:eastAsia="Arial" w:hAnsi="Arial"/>
                <w:sz w:val="18"/>
                <w:szCs w:val="18"/>
                <w:color w:val="auto"/>
              </w:rPr>
              <w:t>5.4%</w:t>
            </w:r>
          </w:p>
        </w:tc>
        <w:tc>
          <w:tcPr>
            <w:tcW w:w="1120" w:type="dxa"/>
            <w:vAlign w:val="bottom"/>
          </w:tcPr>
          <w:p>
            <w:pPr>
              <w:spacing w:after="0"/>
              <w:rPr>
                <w:sz w:val="19"/>
                <w:szCs w:val="19"/>
                <w:color w:val="auto"/>
              </w:rPr>
            </w:pPr>
          </w:p>
        </w:tc>
      </w:tr>
      <w:tr>
        <w:trPr>
          <w:trHeight w:val="243"/>
        </w:trPr>
        <w:tc>
          <w:tcPr>
            <w:tcW w:w="1140" w:type="dxa"/>
            <w:vAlign w:val="bottom"/>
          </w:tcPr>
          <w:p>
            <w:pPr>
              <w:spacing w:after="0"/>
              <w:rPr>
                <w:sz w:val="21"/>
                <w:szCs w:val="21"/>
                <w:color w:val="auto"/>
              </w:rPr>
            </w:pPr>
          </w:p>
        </w:tc>
        <w:tc>
          <w:tcPr>
            <w:tcW w:w="7060" w:type="dxa"/>
            <w:vAlign w:val="bottom"/>
            <w:gridSpan w:val="2"/>
          </w:tcPr>
          <w:p>
            <w:pPr>
              <w:ind w:left="240"/>
              <w:spacing w:after="0"/>
              <w:rPr>
                <w:sz w:val="20"/>
                <w:szCs w:val="20"/>
                <w:color w:val="auto"/>
              </w:rPr>
            </w:pPr>
            <w:r>
              <w:rPr>
                <w:rFonts w:ascii="Arial" w:cs="Arial" w:eastAsia="Arial" w:hAnsi="Arial"/>
                <w:sz w:val="18"/>
                <w:szCs w:val="18"/>
                <w:color w:val="auto"/>
              </w:rPr>
              <w:t>Finance leases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3"/>
          </w:tcPr>
          <w:p>
            <w:pPr>
              <w:ind w:left="1240"/>
              <w:spacing w:after="0"/>
              <w:rPr>
                <w:sz w:val="20"/>
                <w:szCs w:val="20"/>
                <w:color w:val="auto"/>
              </w:rPr>
            </w:pPr>
            <w:r>
              <w:rPr>
                <w:rFonts w:ascii="Arial" w:cs="Arial" w:eastAsia="Arial" w:hAnsi="Arial"/>
                <w:sz w:val="18"/>
                <w:szCs w:val="18"/>
                <w:color w:val="auto"/>
              </w:rPr>
              <w:t>5.4%</w:t>
            </w:r>
          </w:p>
        </w:tc>
        <w:tc>
          <w:tcPr>
            <w:tcW w:w="1120" w:type="dxa"/>
            <w:vAlign w:val="bottom"/>
          </w:tcPr>
          <w:p>
            <w:pPr>
              <w:spacing w:after="0"/>
              <w:rPr>
                <w:sz w:val="21"/>
                <w:szCs w:val="21"/>
                <w:color w:val="auto"/>
              </w:rPr>
            </w:pPr>
          </w:p>
        </w:tc>
      </w:tr>
      <w:tr>
        <w:trPr>
          <w:trHeight w:val="621"/>
        </w:trPr>
        <w:tc>
          <w:tcPr>
            <w:tcW w:w="1140" w:type="dxa"/>
            <w:vAlign w:val="bottom"/>
          </w:tcPr>
          <w:p>
            <w:pPr>
              <w:spacing w:after="0"/>
              <w:rPr>
                <w:sz w:val="24"/>
                <w:szCs w:val="24"/>
                <w:color w:val="auto"/>
              </w:rPr>
            </w:pPr>
          </w:p>
        </w:tc>
        <w:tc>
          <w:tcPr>
            <w:tcW w:w="7060" w:type="dxa"/>
            <w:vAlign w:val="bottom"/>
            <w:gridSpan w:val="2"/>
          </w:tcPr>
          <w:p>
            <w:pPr>
              <w:ind w:left="4300"/>
              <w:spacing w:after="0"/>
              <w:rPr>
                <w:sz w:val="20"/>
                <w:szCs w:val="20"/>
                <w:color w:val="auto"/>
              </w:rPr>
            </w:pPr>
            <w:r>
              <w:rPr>
                <w:rFonts w:ascii="Arial" w:cs="Arial" w:eastAsia="Arial" w:hAnsi="Arial"/>
                <w:sz w:val="18"/>
                <w:szCs w:val="18"/>
                <w:color w:val="auto"/>
              </w:rPr>
              <w:t>F-26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6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jc w:val="center"/>
        <w:ind w:right="-1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details components of the consolidated statements of cash flows for operating and finance leases: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Fiscal Year Ended</w:t>
            </w:r>
          </w:p>
        </w:tc>
      </w:tr>
      <w:tr>
        <w:trPr>
          <w:trHeight w:val="215"/>
        </w:trPr>
        <w:tc>
          <w:tcPr>
            <w:tcW w:w="6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March 31, 2020</w:t>
            </w:r>
          </w:p>
        </w:tc>
      </w:tr>
      <w:tr>
        <w:trPr>
          <w:trHeight w:val="223"/>
        </w:trPr>
        <w:tc>
          <w:tcPr>
            <w:tcW w:w="6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696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58,987</w:t>
            </w:r>
          </w:p>
        </w:tc>
        <w:tc>
          <w:tcPr>
            <w:tcW w:w="80" w:type="dxa"/>
            <w:vAlign w:val="bottom"/>
          </w:tcPr>
          <w:p>
            <w:pPr>
              <w:spacing w:after="0"/>
              <w:rPr>
                <w:sz w:val="19"/>
                <w:szCs w:val="19"/>
                <w:color w:val="auto"/>
              </w:rPr>
            </w:pPr>
          </w:p>
        </w:tc>
      </w:tr>
      <w:tr>
        <w:trPr>
          <w:trHeight w:val="229"/>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CFF0FC"/>
          </w:tcPr>
          <w:p>
            <w:pPr>
              <w:spacing w:after="0"/>
              <w:rPr>
                <w:sz w:val="19"/>
                <w:szCs w:val="19"/>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8,044</w:t>
            </w:r>
          </w:p>
        </w:tc>
        <w:tc>
          <w:tcPr>
            <w:tcW w:w="80" w:type="dxa"/>
            <w:vAlign w:val="bottom"/>
          </w:tcPr>
          <w:p>
            <w:pPr>
              <w:spacing w:after="0"/>
              <w:rPr>
                <w:sz w:val="19"/>
                <w:szCs w:val="19"/>
                <w:color w:val="auto"/>
              </w:rPr>
            </w:pPr>
          </w:p>
        </w:tc>
      </w:tr>
      <w:tr>
        <w:trPr>
          <w:trHeight w:val="229"/>
        </w:trPr>
        <w:tc>
          <w:tcPr>
            <w:tcW w:w="6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b w:val="1"/>
                <w:bCs w:val="1"/>
                <w:color w:val="auto"/>
              </w:rPr>
              <w:t>Right-of-use assets obtained in exchange for lease liabilities: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25,420</w:t>
            </w:r>
          </w:p>
        </w:tc>
        <w:tc>
          <w:tcPr>
            <w:tcW w:w="80" w:type="dxa"/>
            <w:vAlign w:val="bottom"/>
            <w:shd w:val="clear" w:color="auto" w:fill="CFF0FC"/>
          </w:tcPr>
          <w:p>
            <w:pPr>
              <w:spacing w:after="0"/>
              <w:rPr>
                <w:sz w:val="19"/>
                <w:szCs w:val="19"/>
                <w:color w:val="auto"/>
              </w:rPr>
            </w:pPr>
          </w:p>
        </w:tc>
      </w:tr>
      <w:tr>
        <w:trPr>
          <w:trHeight w:val="243"/>
        </w:trPr>
        <w:tc>
          <w:tcPr>
            <w:tcW w:w="696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72,711</w:t>
            </w:r>
          </w:p>
        </w:tc>
        <w:tc>
          <w:tcPr>
            <w:tcW w:w="80" w:type="dxa"/>
            <w:vAlign w:val="bottom"/>
          </w:tcPr>
          <w:p>
            <w:pPr>
              <w:spacing w:after="0"/>
              <w:rPr>
                <w:sz w:val="21"/>
                <w:szCs w:val="21"/>
                <w:color w:val="auto"/>
              </w:rPr>
            </w:pPr>
          </w:p>
        </w:tc>
      </w:tr>
    </w:tbl>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maturities of the Company’s lease liabilities as of March 31, 2020</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Operating Leases</w:t>
            </w: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Pr>
          <w:p>
            <w:pPr>
              <w:spacing w:after="0"/>
              <w:rPr>
                <w:sz w:val="15"/>
                <w:szCs w:val="15"/>
                <w:color w:val="auto"/>
              </w:rPr>
            </w:pPr>
          </w:p>
        </w:tc>
      </w:tr>
      <w:tr>
        <w:trPr>
          <w:trHeight w:val="169"/>
        </w:trPr>
        <w:tc>
          <w:tcPr>
            <w:tcW w:w="4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2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2021</w:t>
            </w: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58,466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13,350</w:t>
            </w: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59,171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54,558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Expected for fiscal year 2024</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54,389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2025</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50,405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FF0FC"/>
          </w:tcPr>
          <w:p>
            <w:pPr>
              <w:spacing w:after="0"/>
              <w:rPr>
                <w:sz w:val="19"/>
                <w:szCs w:val="19"/>
                <w:color w:val="auto"/>
              </w:rPr>
            </w:pPr>
          </w:p>
        </w:tc>
      </w:tr>
      <w:tr>
        <w:trPr>
          <w:trHeight w:val="229"/>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120,311</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 future lease payments required</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397,300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76,350</w:t>
            </w:r>
          </w:p>
        </w:tc>
        <w:tc>
          <w:tcPr>
            <w:tcW w:w="100" w:type="dxa"/>
            <w:vAlign w:val="bottom"/>
            <w:shd w:val="clear" w:color="auto" w:fill="CFF0FC"/>
          </w:tcPr>
          <w:p>
            <w:pPr>
              <w:spacing w:after="0"/>
              <w:rPr>
                <w:sz w:val="19"/>
                <w:szCs w:val="19"/>
                <w:color w:val="auto"/>
              </w:rPr>
            </w:pPr>
          </w:p>
        </w:tc>
      </w:tr>
      <w:tr>
        <w:trPr>
          <w:trHeight w:val="229"/>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w:t>
            </w:r>
          </w:p>
        </w:tc>
        <w:tc>
          <w:tcPr>
            <w:tcW w:w="1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68,604</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11,394</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328,696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64,956</w:t>
            </w:r>
          </w:p>
        </w:tc>
        <w:tc>
          <w:tcPr>
            <w:tcW w:w="100" w:type="dxa"/>
            <w:vAlign w:val="bottom"/>
            <w:shd w:val="clear" w:color="auto" w:fill="CFF0FC"/>
          </w:tcPr>
          <w:p>
            <w:pPr>
              <w:spacing w:after="0"/>
              <w:rPr>
                <w:sz w:val="19"/>
                <w:szCs w:val="19"/>
                <w:color w:val="auto"/>
              </w:rPr>
            </w:pP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18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60" w:firstLine="510"/>
        <w:spacing w:after="0" w:line="246" w:lineRule="auto"/>
        <w:rPr>
          <w:sz w:val="20"/>
          <w:szCs w:val="20"/>
          <w:color w:val="auto"/>
        </w:rPr>
      </w:pPr>
      <w:r>
        <w:rPr>
          <w:rFonts w:ascii="Arial" w:cs="Arial" w:eastAsia="Arial" w:hAnsi="Arial"/>
          <w:sz w:val="18"/>
          <w:szCs w:val="18"/>
          <w:color w:val="auto"/>
        </w:rPr>
        <w:t>As of March 31, 2020, the Company had $90.3 million of additional lease commitments that will commence in fiscal year 2021 with lease terms of three to 12 years.</w:t>
      </w:r>
    </w:p>
    <w:p>
      <w:pPr>
        <w:spacing w:after="0" w:line="183"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As discussed in Note 1 — The Company and a Summary of Its Significant Accounting Policies — Leases, the Company has adopted ASC 842 using the optional transition method presenting prior period amounts and disclosures under ASC 840. The following table presents the Company's future minimum lease payments for operating leases under ASC 840 at March 31, 2019:</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Operating Leases</w:t>
            </w:r>
          </w:p>
        </w:tc>
      </w:tr>
      <w:tr>
        <w:trPr>
          <w:trHeight w:val="175"/>
        </w:trPr>
        <w:tc>
          <w:tcPr>
            <w:tcW w:w="8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5"/>
                <w:szCs w:val="15"/>
                <w:color w:val="auto"/>
              </w:rPr>
            </w:pPr>
          </w:p>
        </w:tc>
      </w:tr>
      <w:tr>
        <w:trPr>
          <w:trHeight w:val="169"/>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2020</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59,164</w:t>
            </w:r>
          </w:p>
        </w:tc>
        <w:tc>
          <w:tcPr>
            <w:tcW w:w="100" w:type="dxa"/>
            <w:vAlign w:val="bottom"/>
            <w:shd w:val="clear" w:color="auto" w:fill="CFF0FC"/>
          </w:tcPr>
          <w:p>
            <w:pPr>
              <w:spacing w:after="0"/>
              <w:rPr>
                <w:sz w:val="19"/>
                <w:szCs w:val="19"/>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59,452</w:t>
            </w:r>
          </w:p>
        </w:tc>
        <w:tc>
          <w:tcPr>
            <w:tcW w:w="100" w:type="dxa"/>
            <w:vAlign w:val="bottom"/>
          </w:tcPr>
          <w:p>
            <w:pPr>
              <w:spacing w:after="0"/>
              <w:rPr>
                <w:sz w:val="19"/>
                <w:szCs w:val="19"/>
                <w:color w:val="auto"/>
              </w:rPr>
            </w:pPr>
          </w:p>
        </w:tc>
      </w:tr>
      <w:tr>
        <w:trPr>
          <w:trHeight w:val="230"/>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57,500</w:t>
            </w:r>
          </w:p>
        </w:tc>
        <w:tc>
          <w:tcPr>
            <w:tcW w:w="100" w:type="dxa"/>
            <w:vAlign w:val="bottom"/>
            <w:shd w:val="clear" w:color="auto" w:fill="CFF0FC"/>
          </w:tcPr>
          <w:p>
            <w:pPr>
              <w:spacing w:after="0"/>
              <w:rPr>
                <w:sz w:val="19"/>
                <w:szCs w:val="19"/>
                <w:color w:val="auto"/>
              </w:rPr>
            </w:pPr>
          </w:p>
        </w:tc>
      </w:tr>
      <w:tr>
        <w:trPr>
          <w:trHeight w:val="229"/>
        </w:trPr>
        <w:tc>
          <w:tcPr>
            <w:tcW w:w="802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50,933</w:t>
            </w:r>
          </w:p>
        </w:tc>
        <w:tc>
          <w:tcPr>
            <w:tcW w:w="100" w:type="dxa"/>
            <w:vAlign w:val="bottom"/>
          </w:tcPr>
          <w:p>
            <w:pPr>
              <w:spacing w:after="0"/>
              <w:rPr>
                <w:sz w:val="19"/>
                <w:szCs w:val="19"/>
                <w:color w:val="auto"/>
              </w:rPr>
            </w:pPr>
          </w:p>
        </w:tc>
      </w:tr>
      <w:tr>
        <w:trPr>
          <w:trHeight w:val="230"/>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51,000</w:t>
            </w:r>
          </w:p>
        </w:tc>
        <w:tc>
          <w:tcPr>
            <w:tcW w:w="100" w:type="dxa"/>
            <w:vAlign w:val="bottom"/>
            <w:shd w:val="clear" w:color="auto" w:fill="CFF0FC"/>
          </w:tcPr>
          <w:p>
            <w:pPr>
              <w:spacing w:after="0"/>
              <w:rPr>
                <w:sz w:val="19"/>
                <w:szCs w:val="19"/>
                <w:color w:val="auto"/>
              </w:rPr>
            </w:pPr>
          </w:p>
        </w:tc>
      </w:tr>
      <w:tr>
        <w:trPr>
          <w:trHeight w:val="230"/>
        </w:trPr>
        <w:tc>
          <w:tcPr>
            <w:tcW w:w="8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183,077</w:t>
            </w:r>
          </w:p>
        </w:tc>
        <w:tc>
          <w:tcPr>
            <w:tcW w:w="100" w:type="dxa"/>
            <w:vAlign w:val="bottom"/>
            <w:tcBorders>
              <w:bottom w:val="single" w:sz="8" w:color="CFF0FC"/>
            </w:tcBorders>
          </w:tcPr>
          <w:p>
            <w:pPr>
              <w:spacing w:after="0"/>
              <w:rPr>
                <w:sz w:val="19"/>
                <w:szCs w:val="19"/>
                <w:color w:val="auto"/>
              </w:rPr>
            </w:pPr>
          </w:p>
        </w:tc>
      </w:tr>
      <w:tr>
        <w:trPr>
          <w:trHeight w:val="223"/>
        </w:trPr>
        <w:tc>
          <w:tcPr>
            <w:tcW w:w="8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payments required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461,126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 expense was $53.5 million for the fiscal year ended March 31, 2019.</w:t>
      </w: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March 31, 2020 and 2019:</w:t>
      </w:r>
    </w:p>
    <w:p>
      <w:pPr>
        <w:spacing w:after="0" w:line="199"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 of</w:t>
            </w:r>
          </w:p>
        </w:tc>
      </w:tr>
      <w:tr>
        <w:trPr>
          <w:trHeight w:val="175"/>
        </w:trPr>
        <w:tc>
          <w:tcPr>
            <w:tcW w:w="4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March 31, 2020</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March 31, 2019</w:t>
            </w:r>
          </w:p>
        </w:tc>
        <w:tc>
          <w:tcPr>
            <w:tcW w:w="80" w:type="dxa"/>
            <w:vAlign w:val="bottom"/>
          </w:tcPr>
          <w:p>
            <w:pPr>
              <w:spacing w:after="0"/>
              <w:rPr>
                <w:sz w:val="15"/>
                <w:szCs w:val="15"/>
                <w:color w:val="auto"/>
              </w:rPr>
            </w:pPr>
          </w:p>
        </w:tc>
      </w:tr>
      <w:tr>
        <w:trPr>
          <w:trHeight w:val="169"/>
        </w:trPr>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2027 Notes</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2025 Notes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390,000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Ex-Im Credit Facility</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117,913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139,560</w:t>
            </w:r>
          </w:p>
        </w:tc>
        <w:tc>
          <w:tcPr>
            <w:tcW w:w="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obligations (see Note 5)</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64,956</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Total debt</w:t>
            </w: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1,872,869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1,439,560</w:t>
            </w:r>
          </w:p>
        </w:tc>
        <w:tc>
          <w:tcPr>
            <w:tcW w:w="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and debt issuance costs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(21,418)</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(26,720)</w:t>
            </w:r>
          </w:p>
        </w:tc>
      </w:tr>
      <w:tr>
        <w:trPr>
          <w:trHeight w:val="216"/>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long-term debt</w:t>
            </w:r>
          </w:p>
        </w:tc>
        <w:tc>
          <w:tcPr>
            <w:tcW w:w="6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29,788</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19,937</w:t>
            </w:r>
          </w:p>
        </w:tc>
        <w:tc>
          <w:tcPr>
            <w:tcW w:w="80" w:type="dxa"/>
            <w:vAlign w:val="bottom"/>
            <w:tcBorders>
              <w:bottom w:val="single" w:sz="8" w:color="CFF0FC"/>
            </w:tcBorders>
          </w:tcPr>
          <w:p>
            <w:pPr>
              <w:spacing w:after="0"/>
              <w:rPr>
                <w:sz w:val="18"/>
                <w:szCs w:val="18"/>
                <w:color w:val="auto"/>
              </w:rPr>
            </w:pPr>
          </w:p>
        </w:tc>
      </w:tr>
      <w:tr>
        <w:trPr>
          <w:trHeight w:val="21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1,821,663</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1,392,903</w:t>
            </w:r>
          </w:p>
        </w:tc>
        <w:tc>
          <w:tcPr>
            <w:tcW w:w="80" w:type="dxa"/>
            <w:vAlign w:val="bottom"/>
            <w:shd w:val="clear" w:color="auto" w:fill="CFF0FC"/>
          </w:tcPr>
          <w:p>
            <w:pPr>
              <w:spacing w:after="0"/>
              <w:rPr>
                <w:sz w:val="18"/>
                <w:szCs w:val="18"/>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20" w:firstLine="510"/>
        <w:spacing w:after="0"/>
        <w:rPr>
          <w:sz w:val="20"/>
          <w:szCs w:val="20"/>
          <w:color w:val="auto"/>
        </w:rPr>
      </w:pPr>
      <w:r>
        <w:rPr>
          <w:rFonts w:ascii="Arial" w:cs="Arial" w:eastAsia="Arial" w:hAnsi="Arial"/>
          <w:sz w:val="18"/>
          <w:szCs w:val="18"/>
          <w:color w:val="auto"/>
        </w:rPr>
        <w:t>The estimated aggregate amounts and timing of payments on the Company’s long-term debt obligations as of March 31, 2020 for the next five fiscal years and thereafter were as follows (excluding the effects of discount accretion under the 2025 Notes, the 2027 Notes and the Ex-Im Credit Facility):</w:t>
      </w:r>
    </w:p>
    <w:p>
      <w:pPr>
        <w:spacing w:after="0" w:line="190"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For the Fiscal Years Ending</w:t>
            </w:r>
          </w:p>
        </w:tc>
        <w:tc>
          <w:tcPr>
            <w:tcW w:w="680" w:type="dxa"/>
            <w:vAlign w:val="bottom"/>
          </w:tcPr>
          <w:p>
            <w:pPr>
              <w:spacing w:after="0"/>
              <w:rPr>
                <w:sz w:val="14"/>
                <w:szCs w:val="14"/>
                <w:color w:val="auto"/>
              </w:rPr>
            </w:pPr>
          </w:p>
        </w:tc>
        <w:tc>
          <w:tcPr>
            <w:tcW w:w="12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69"/>
        </w:trPr>
        <w:tc>
          <w:tcPr>
            <w:tcW w:w="1880" w:type="dxa"/>
            <w:vAlign w:val="bottom"/>
            <w:tcBorders>
              <w:top w:val="single" w:sz="8" w:color="auto"/>
            </w:tcBorders>
          </w:tcPr>
          <w:p>
            <w:pPr>
              <w:spacing w:after="0"/>
              <w:rPr>
                <w:sz w:val="14"/>
                <w:szCs w:val="14"/>
                <w:color w:val="auto"/>
              </w:rPr>
            </w:pPr>
          </w:p>
        </w:tc>
        <w:tc>
          <w:tcPr>
            <w:tcW w:w="2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2022</w:t>
            </w:r>
          </w:p>
        </w:tc>
        <w:tc>
          <w:tcPr>
            <w:tcW w:w="2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2024</w:t>
            </w:r>
          </w:p>
        </w:tc>
        <w:tc>
          <w:tcPr>
            <w:tcW w:w="2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419,992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1,334,131</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shd w:val="clear" w:color="auto" w:fill="CFF0FC"/>
          </w:tcPr>
          <w:p>
            <w:pPr>
              <w:spacing w:after="0"/>
              <w:rPr>
                <w:sz w:val="18"/>
                <w:szCs w:val="18"/>
                <w:color w:val="auto"/>
              </w:rPr>
            </w:pPr>
          </w:p>
        </w:tc>
        <w:tc>
          <w:tcPr>
            <w:tcW w:w="2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1,872,869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Plus: unamortized discount and debt issuance costs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(21,418)</w:t>
            </w: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29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1,851,451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FF0FC"/>
            </w:tcBorders>
          </w:tcPr>
          <w:p>
            <w:pPr>
              <w:spacing w:after="0" w:line="20" w:lineRule="exact"/>
              <w:rPr>
                <w:sz w:val="1"/>
                <w:szCs w:val="1"/>
                <w:color w:val="auto"/>
              </w:rPr>
            </w:pPr>
          </w:p>
        </w:tc>
        <w:tc>
          <w:tcPr>
            <w:tcW w:w="29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85" w:lineRule="exact"/>
        <w:rPr>
          <w:sz w:val="20"/>
          <w:szCs w:val="20"/>
          <w:color w:val="auto"/>
        </w:rPr>
      </w:pPr>
    </w:p>
    <w:p>
      <w:pPr>
        <w:ind w:right="180" w:firstLine="510"/>
        <w:spacing w:after="0" w:line="238" w:lineRule="auto"/>
        <w:rPr>
          <w:sz w:val="20"/>
          <w:szCs w:val="20"/>
          <w:color w:val="auto"/>
        </w:rPr>
      </w:pPr>
      <w:r>
        <w:rPr>
          <w:rFonts w:ascii="Arial" w:cs="Arial" w:eastAsia="Arial" w:hAnsi="Arial"/>
          <w:sz w:val="18"/>
          <w:szCs w:val="18"/>
          <w:color w:val="auto"/>
        </w:rPr>
        <w:t>As of March 31, 2020, the Revolving Credit Facility provided a $700.0 million revolving line of credit (including up to $150.0 million of letters of credit), with a maturity date of January 18, 2024. At March 31, 2020, the Company had $390.0 million in principal amount of outstanding borrowings under the Revolving Credit Facility and $17.3 million outstanding under standby letters of credit, leaving borrowing availability under the Revolving Credit Facility as of March 31, 2020 of $292.7 million.</w:t>
      </w:r>
    </w:p>
    <w:p>
      <w:pPr>
        <w:spacing w:after="0" w:line="15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As of March 31, 2020, the weighted average effective interest rate on the Company’s outstanding borrowings under the Revolving Credit Facility was 2.70%.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March 31, 2020, none of the Company’s subsidiaries guaranteed the Revolving Credit Facility.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Revolving Credit Facility as of March 31,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9"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$ 41.2 million used to finance the total exposure fees incurred under the Ex-Im Credit Facility (which included all previously accrued completion exposure fees). As of March 31, 2020, the Company had $117.9 million in principal amount of outstanding borrowings under the Ex-Im Credit Facility.</w:t>
      </w:r>
    </w:p>
    <w:p>
      <w:pPr>
        <w:spacing w:after="0" w:line="15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During the first three months of fiscal year 2020, the Company received the remaining insurance proceeds of $2.3 million, which were in addition to the $185.7 million of insurance proceeds received in fiscal year 2019 related to the ViaSat-2 satellite, all of which were used to pay down outstanding borrowings under the Ex-Im Credit Facility upon receipt (see Note 1 – The Company and a Summary of Its Significant Accounting Policies – Property, equipment and satellites for more information). The Ex-Im Credit Facility is guaranteed by Viasat and is secured by first-priority liens on the ViaSat-2 satellite and related assets, as well as a pledge of the capital stock of the borrower under the facility.</w:t>
      </w:r>
    </w:p>
    <w:p>
      <w:pPr>
        <w:spacing w:after="0" w:line="151"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March 31, 2020.</w:t>
      </w:r>
    </w:p>
    <w:p>
      <w:pPr>
        <w:spacing w:after="0" w:line="151" w:lineRule="exact"/>
        <w:rPr>
          <w:sz w:val="20"/>
          <w:szCs w:val="20"/>
          <w:color w:val="auto"/>
        </w:rPr>
      </w:pPr>
    </w:p>
    <w:p>
      <w:pPr>
        <w:ind w:right="60" w:firstLine="510"/>
        <w:spacing w:after="0" w:line="255" w:lineRule="auto"/>
        <w:rPr>
          <w:sz w:val="20"/>
          <w:szCs w:val="20"/>
          <w:color w:val="auto"/>
        </w:rPr>
      </w:pPr>
      <w:r>
        <w:rPr>
          <w:rFonts w:ascii="Arial" w:cs="Arial" w:eastAsia="Arial" w:hAnsi="Arial"/>
          <w:sz w:val="17"/>
          <w:szCs w:val="17"/>
          <w:color w:val="auto"/>
        </w:rPr>
        <w:t>Borrowings under the Ex-Im Credit Facility are recorded as current portion of long-term debt and as other long-term debt, net of unamortized discount and debt issuance costs, in the Company’s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95" w:lineRule="exact"/>
        <w:rPr>
          <w:sz w:val="20"/>
          <w:szCs w:val="20"/>
          <w:color w:val="auto"/>
        </w:rPr>
      </w:pPr>
    </w:p>
    <w:p>
      <w:pPr>
        <w:ind w:right="280" w:firstLine="510"/>
        <w:spacing w:after="0" w:line="237"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51" w:lineRule="exact"/>
        <w:rPr>
          <w:sz w:val="20"/>
          <w:szCs w:val="20"/>
          <w:color w:val="auto"/>
        </w:rPr>
      </w:pPr>
    </w:p>
    <w:p>
      <w:pPr>
        <w:ind w:right="200" w:firstLine="510"/>
        <w:spacing w:after="0" w:line="238"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Revolving Credit Facility. As of March 31, 2020, none of the Company’s subsidiaries guaranteed the 2027 Notes. The 2027 Notes are secured, equally and ratably with the Revolving Credit Facility and any future parity lien debt, by liens on substantially all of the Company’s assets.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4"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(including obligations of the borrower under the Ex-Im Credit Facility), and are senior in right of payment to all of the Company’s existing and future subordinated indebtedness.</w:t>
      </w:r>
    </w:p>
    <w:p>
      <w:pPr>
        <w:spacing w:after="0" w:line="149" w:lineRule="exact"/>
        <w:rPr>
          <w:sz w:val="20"/>
          <w:szCs w:val="20"/>
          <w:color w:val="auto"/>
        </w:rPr>
      </w:pPr>
    </w:p>
    <w:p>
      <w:pPr>
        <w:ind w:right="420" w:firstLine="510"/>
        <w:spacing w:after="0" w:line="238"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Prior to April 15, 2022, the Company may redeem up to 40% of the 2027 Notes at a redemption price of 105.625% of the principal amount thereof, plus accrued and unpaid interest, if any, thereon to the redemption date, from the net cash proceeds of specified equity offerings. The Company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 (1) 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50" w:lineRule="exact"/>
        <w:rPr>
          <w:sz w:val="20"/>
          <w:szCs w:val="20"/>
          <w:color w:val="auto"/>
        </w:rPr>
      </w:pPr>
    </w:p>
    <w:p>
      <w:pPr>
        <w:jc w:val="both"/>
        <w:ind w:right="10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95" w:lineRule="exact"/>
        <w:rPr>
          <w:sz w:val="20"/>
          <w:szCs w:val="20"/>
          <w:color w:val="auto"/>
        </w:rPr>
      </w:pPr>
    </w:p>
    <w:p>
      <w:pPr>
        <w:ind w:right="180" w:firstLine="510"/>
        <w:spacing w:after="0" w:line="237"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March 31, 2020,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149" w:lineRule="exact"/>
        <w:rPr>
          <w:sz w:val="20"/>
          <w:szCs w:val="20"/>
          <w:color w:val="auto"/>
        </w:rPr>
      </w:pPr>
    </w:p>
    <w:p>
      <w:pPr>
        <w:ind w:right="420" w:firstLine="510"/>
        <w:spacing w:after="0"/>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8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Prior to September 15, 2020, the Company may redeem up to 40% of the 2025 Notes at a redemption price of 105.625% of the principal amount thereof, plus accrued and unpaid interest, if any, thereon to the redemption date, from the net cash proceeds of specified equity offerings. The Company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governing the 2025 Notes)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50" w:lineRule="exact"/>
        <w:rPr>
          <w:sz w:val="20"/>
          <w:szCs w:val="20"/>
          <w:color w:val="auto"/>
        </w:rPr>
      </w:pPr>
    </w:p>
    <w:p>
      <w:pPr>
        <w:jc w:val="both"/>
        <w:ind w:right="12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176"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In connection with the Company’s issuance of the 2025 Notes in September 2017, the Company repurchased and redeemed all of its $575.0 million in aggregate principal amount of 2020 Notes then outstanding through a cash tender offer and redemption, and the indenture governing the 2020 Notes was satisfied and discharged in accordance with its terms. In September 2017, the Company repurchased $298.2 million in aggregate principal amount of the 2020 Notes pursuant to the tender offer. The total cash payment to repurchase the tendered 2020 Notes in the tender offer, including accrued and unpaid interest to, but excluding, the repurchase date, was $ 309.3 million. Also in September 2017, in connection with the redemption of the remaining $276.8 million in aggregate principal amount of 2020 Notes, the Company irrevocably deposited $287.4 million with Wilmington Trust, as trustee, as trust funds solely for the benefit of the holders of such 2020 Notes. The redemption price for the 2020 Notes was 101.719% of the principal amount so redeemed, plus accrued and unpaid interest to, but excluding, the redemption date of October 5, 2017.</w:t>
      </w:r>
    </w:p>
    <w:p>
      <w:pPr>
        <w:spacing w:after="0" w:line="153" w:lineRule="exact"/>
        <w:rPr>
          <w:sz w:val="20"/>
          <w:szCs w:val="20"/>
          <w:color w:val="auto"/>
        </w:rPr>
      </w:pPr>
    </w:p>
    <w:p>
      <w:pPr>
        <w:ind w:right="260" w:firstLine="510"/>
        <w:spacing w:after="0"/>
        <w:rPr>
          <w:sz w:val="20"/>
          <w:szCs w:val="20"/>
          <w:color w:val="auto"/>
        </w:rPr>
      </w:pPr>
      <w:r>
        <w:rPr>
          <w:rFonts w:ascii="Arial" w:cs="Arial" w:eastAsia="Arial" w:hAnsi="Arial"/>
          <w:sz w:val="18"/>
          <w:szCs w:val="18"/>
          <w:color w:val="auto"/>
        </w:rPr>
        <w:t>In connection with the satisfaction and discharge of the indenture governing the 2020 Notes, all of the obligations of the Company (other than certain customary provisions of the indenture that expressly survive pursuant to the terms of the indenture) were discharged in September 2017.</w:t>
      </w:r>
    </w:p>
    <w:p>
      <w:pPr>
        <w:spacing w:after="0" w:line="149" w:lineRule="exact"/>
        <w:rPr>
          <w:sz w:val="20"/>
          <w:szCs w:val="20"/>
          <w:color w:val="auto"/>
        </w:rPr>
      </w:pPr>
    </w:p>
    <w:p>
      <w:pPr>
        <w:ind w:right="380" w:firstLine="510"/>
        <w:spacing w:after="0" w:line="238" w:lineRule="auto"/>
        <w:rPr>
          <w:sz w:val="20"/>
          <w:szCs w:val="20"/>
          <w:color w:val="auto"/>
        </w:rPr>
      </w:pPr>
      <w:r>
        <w:rPr>
          <w:rFonts w:ascii="Arial" w:cs="Arial" w:eastAsia="Arial" w:hAnsi="Arial"/>
          <w:sz w:val="18"/>
          <w:szCs w:val="18"/>
          <w:color w:val="auto"/>
        </w:rPr>
        <w:t>As a result of the repurchase of the 2020 Notes in the tender offer and the redemption of the remaining 2020 Notes, the Company recognized a $10.2 million loss on extinguishment of debt during the second quarter of fiscal year 2018, which was comprised of $10.6 million in cash payments (including tender offer consideration, redemption premium and related professional fees), net of an insignificant amount in non-cash gain (including unamortized premium, net of unamortized debt issuance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 and Stock Plans</w:t>
      </w:r>
    </w:p>
    <w:p>
      <w:pPr>
        <w:spacing w:after="0" w:line="85"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In February 2019, the Company filed a universal shelf registration statement with the SEC for the future sale of an unlimited amount of common stock, preferred stock, debt securities, depositary shares, warrants, and rights. The securities may be offered from time to time, separately or together, directly by the Company, by selling security holders, or through underwriters, dealers or agents at amounts, prices, interest rates and other terms to be determined at the time of the offering.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120" w:firstLine="510"/>
        <w:spacing w:after="0" w:line="235" w:lineRule="auto"/>
        <w:rPr>
          <w:sz w:val="20"/>
          <w:szCs w:val="20"/>
          <w:color w:val="auto"/>
        </w:rPr>
      </w:pPr>
      <w:r>
        <w:rPr>
          <w:rFonts w:ascii="Arial" w:cs="Arial" w:eastAsia="Arial" w:hAnsi="Arial"/>
          <w:sz w:val="18"/>
          <w:szCs w:val="18"/>
          <w:color w:val="auto"/>
        </w:rPr>
        <w:t>In November 1996, the Company adopted the 1996 Equity Participation Plan (the Equity Participation Plan). The Equity Participation Plan provides for the grant to executive officers, other key employees, consultants and non-employee directors of the Company a broad variety of stock-based compensation alternatives such as nonqualified stock options, incentive stock options, restricted stock units and performance awards. From November 1996 to September 2019 through various amendments of the Equity Participation Plan, the Company increased the maximum number of shares reserved for issuance under this plan to 35,350,000 shares. The Company believes that such awards better align the interests of its employees with those of its stockholders. Shares of the Company’s common stock granted under the Equity Participation Plan in the form of stock options or stock appreciation right are counted against the Equity Participation Plan share reserve on a one for one basis and performance-based stock options are calculated assuming “maximum” performance. Shares of the Company’s common stock granted under the Equity Participation Plan as an award other than as an option or as a stock appreciation right with a per share purchase price lower than 100% of fair market value on the date of grant are counted against the Equity Participation Plan share reserve as two shares for each share of common stock prior to September 22, 2010 and subsequent to September 19, 2012, and as 2.65 shares for each share of common stock during the period beginning on September 22, 2010 and ending on September 19, 2012. Restricted stock units are granted to eligible employees and directors and represent rights to receive shares of common stock at a future date.</w:t>
      </w:r>
    </w:p>
    <w:p>
      <w:pPr>
        <w:spacing w:after="0" w:line="160"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From November 1996 to September 2019 through various amendments of the Employee Stock Purchase Plan, the Company increased the maximum number of shares reserved for issuance under this plan to 4,450,000 shares. To facilitate participation for employees located outside of the United States in light of non-U.S. law and other considerations, the amended Employee Stock Purchase Plan also provides for the grant of purchase rights that are not intended to be tax-qualified.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w:t>
      </w:r>
    </w:p>
    <w:p>
      <w:pPr>
        <w:spacing w:after="0" w:line="152" w:lineRule="exact"/>
        <w:rPr>
          <w:sz w:val="20"/>
          <w:szCs w:val="20"/>
          <w:color w:val="auto"/>
        </w:rPr>
      </w:pPr>
    </w:p>
    <w:p>
      <w:pPr>
        <w:ind w:right="100" w:firstLine="510"/>
        <w:spacing w:after="0" w:line="246" w:lineRule="auto"/>
        <w:rPr>
          <w:sz w:val="20"/>
          <w:szCs w:val="20"/>
          <w:color w:val="auto"/>
        </w:rPr>
      </w:pPr>
      <w:r>
        <w:rPr>
          <w:rFonts w:ascii="Arial" w:cs="Arial" w:eastAsia="Arial" w:hAnsi="Arial"/>
          <w:sz w:val="18"/>
          <w:szCs w:val="18"/>
          <w:color w:val="auto"/>
        </w:rPr>
        <w:t>Total stock-based compensation expense recognized in accordance with the authoritative guidance for share-based payments was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Fiscal Years Ended</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4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4"/>
                <w:szCs w:val="14"/>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March 31, 2019</w:t>
            </w:r>
          </w:p>
        </w:tc>
        <w:tc>
          <w:tcPr>
            <w:tcW w:w="13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March 31, 2018</w:t>
            </w:r>
          </w:p>
        </w:tc>
      </w:tr>
      <w:tr>
        <w:trPr>
          <w:trHeight w:val="169"/>
        </w:trPr>
        <w:tc>
          <w:tcPr>
            <w:tcW w:w="4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before taxes</w:t>
            </w:r>
          </w:p>
        </w:tc>
        <w:tc>
          <w:tcPr>
            <w:tcW w:w="80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86,553</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79,599</w:t>
            </w: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68,545</w:t>
            </w:r>
          </w:p>
        </w:tc>
        <w:tc>
          <w:tcPr>
            <w:tcW w:w="8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Related income tax benefits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(20,388)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(18,824)</w:t>
            </w:r>
          </w:p>
        </w:tc>
        <w:tc>
          <w:tcPr>
            <w:tcW w:w="3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(16,278)</w:t>
            </w:r>
          </w:p>
        </w:tc>
      </w:tr>
      <w:tr>
        <w:trPr>
          <w:trHeight w:val="20"/>
        </w:trPr>
        <w:tc>
          <w:tcPr>
            <w:tcW w:w="436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net of taxes</w:t>
            </w: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66,165</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60,775</w:t>
            </w: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52,267</w:t>
            </w:r>
          </w:p>
        </w:tc>
        <w:tc>
          <w:tcPr>
            <w:tcW w:w="80" w:type="dxa"/>
            <w:vAlign w:val="bottom"/>
            <w:shd w:val="clear" w:color="auto" w:fill="CFF0FC"/>
          </w:tcPr>
          <w:p>
            <w:pPr>
              <w:spacing w:after="0"/>
              <w:rPr>
                <w:sz w:val="18"/>
                <w:szCs w:val="18"/>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00" w:firstLine="510"/>
        <w:spacing w:after="0"/>
        <w:rPr>
          <w:sz w:val="20"/>
          <w:szCs w:val="20"/>
          <w:color w:val="auto"/>
        </w:rPr>
      </w:pPr>
      <w:r>
        <w:rPr>
          <w:rFonts w:ascii="Arial" w:cs="Arial" w:eastAsia="Arial" w:hAnsi="Arial"/>
          <w:sz w:val="18"/>
          <w:szCs w:val="18"/>
          <w:color w:val="auto"/>
        </w:rPr>
        <w:t>In accordance with the authoritative guidance for share-based payments (ASC 718), the Company recognizes excess tax benefits or deficiencies on vesting or settlement of awards as discrete items within income tax benefit or provision within net income (loss) and the related cash flows classified within operating activities.</w:t>
      </w:r>
    </w:p>
    <w:p>
      <w:pPr>
        <w:spacing w:after="0" w:line="149"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The compensation cost that has been charged against income for the Equity Participation Plan under the authoritative guidance for share-based payments was $81.5 million, $75.3 million and $65.1 million, and for the Employee Stock Purchase Plan was $5.0 million, $4.3 million and $3.4 million, for the fiscal years ended March 31, 2020, March 31, 2019 and March 31, 2018, respectively. The Company capitalized $12.6 million, $11.9 million and $8.0 million of stock-based compensation expense as a part of the cost for software development for resale included in other assets and as a part of the equipment and software for internal use and satellites included in property, equipment and satellites, net for fiscal years 2020, 2019 and 2018, respectively.</w:t>
      </w:r>
    </w:p>
    <w:p>
      <w:pPr>
        <w:spacing w:after="0" w:line="191"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As of March 31, 2020, total unrecognized compensation cost related to unvested stock-based compensation arrangements granted under the Equity Participation Plan (including stock options, TSR performance stock options and restricted stock units) and the Employee Stock Purchase Plan was $197.3 million and $1.2 million, respectively. These costs are expected to be recognized over a weighted average period of less than one year, 1.8 years and 2.7 years, for stock options, TSR performance stock options and restricted stock units, respectively, under the Equity Participation Plan and less than six months under the Employee Stock Purchase Plan.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56"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i w:val="1"/>
          <w:iCs w:val="1"/>
          <w:color w:val="auto"/>
        </w:rPr>
        <w:t xml:space="preserve">Stock options, TSR performance stock options and employee stock purchase plan. </w:t>
      </w:r>
      <w:r>
        <w:rPr>
          <w:rFonts w:ascii="Arial" w:cs="Arial" w:eastAsia="Arial" w:hAnsi="Arial"/>
          <w:sz w:val="18"/>
          <w:szCs w:val="18"/>
          <w:color w:val="auto"/>
        </w:rPr>
        <w:t>The Company’s stock options typically have a</w:t>
      </w:r>
      <w:r>
        <w:rPr>
          <w:rFonts w:ascii="Arial" w:cs="Arial" w:eastAsia="Arial" w:hAnsi="Arial"/>
          <w:sz w:val="18"/>
          <w:szCs w:val="18"/>
          <w:i w:val="1"/>
          <w:iCs w:val="1"/>
          <w:color w:val="auto"/>
        </w:rPr>
        <w:t xml:space="preserve"> </w:t>
      </w:r>
      <w:r>
        <w:rPr>
          <w:rFonts w:ascii="Arial" w:cs="Arial" w:eastAsia="Arial" w:hAnsi="Arial"/>
          <w:sz w:val="18"/>
          <w:szCs w:val="18"/>
          <w:color w:val="auto"/>
        </w:rPr>
        <w:t>simple four-year vesting schedule (except for one- and three-year vesting schedules for options granted to the Board of Directors) and a six-year contractual term. In fiscal year 2018, the Company began granting TSR performance stock options to executive officers under the 1996 Equity Participation Plan. The number of shares of TSR performance stock options that will become eligible to vest based on the time-based vesting schedule described below is based on a comparison over a four-year performance period of the Company’s TSR to the TSR of the companies included in the S&amp;P Mid Cap 400 Index. The number of options that may become vested and exercisable will range from 0% to 175% of the target number of options based on the Company’s relative TSR ranking for the performance period. The Company’s TSR performance stock options have a four-year time-based vesting schedule and a six year contractual term. The TSR performance stock options must be vested under both the time-based vesting schedule and the performance-based vesting conditions in order to become exercisable. Expense for TSR performance stock options that time-vest is recognized regardless of the actual TSR outcome achieved and is recognized on a graded-vesting basis. The weighted average estimated fair value of TSR performance stock options granted during fiscal years 2020, 2019 and 2018 was $30.41, $32.32 and $32.04 per share, respectively, using the Monte Carlo simulation. The weighted average estimated fair value of employee stock options granted and employee stock purchase plan shares issued during fiscal year 2020 was $ 20.15 and $17.15 per share, respectively, during fiscal year 2019 was $18.35 and $15.14 per share, respectively, and during fiscal year 2018 was $19.86 and $15.09 per share, respectively, using the Black-Scholes model. The weighted average assumptions (annualized percentages) used in the Black-Scholes model and Monte Carlo simulation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20" w:type="dxa"/>
            <w:vAlign w:val="bottom"/>
          </w:tcPr>
          <w:p>
            <w:pPr>
              <w:spacing w:after="0"/>
              <w:rPr>
                <w:sz w:val="14"/>
                <w:szCs w:val="14"/>
                <w:color w:val="auto"/>
              </w:rPr>
            </w:pPr>
          </w:p>
        </w:tc>
        <w:tc>
          <w:tcPr>
            <w:tcW w:w="316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rPr>
              <w:t>Employee Stock Options</w:t>
            </w:r>
          </w:p>
        </w:tc>
        <w:tc>
          <w:tcPr>
            <w:tcW w:w="316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rPr>
              <w:t>TSR Performance Stock Options</w:t>
            </w:r>
          </w:p>
        </w:tc>
        <w:tc>
          <w:tcPr>
            <w:tcW w:w="310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rPr>
              <w:t>Employee Stock Purchase Plan</w:t>
            </w:r>
          </w:p>
        </w:tc>
      </w:tr>
      <w:tr>
        <w:trPr>
          <w:trHeight w:val="139"/>
        </w:trPr>
        <w:tc>
          <w:tcPr>
            <w:tcW w:w="182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300"/>
              <w:spacing w:after="0" w:line="139" w:lineRule="exact"/>
              <w:rPr>
                <w:sz w:val="20"/>
                <w:szCs w:val="20"/>
                <w:color w:val="auto"/>
              </w:rPr>
            </w:pPr>
            <w:r>
              <w:rPr>
                <w:rFonts w:ascii="Arial" w:cs="Arial" w:eastAsia="Arial" w:hAnsi="Arial"/>
                <w:sz w:val="13"/>
                <w:szCs w:val="13"/>
                <w:b w:val="1"/>
                <w:bCs w:val="1"/>
                <w:color w:val="auto"/>
              </w:rPr>
              <w:t>Fiscal Year</w:t>
            </w:r>
          </w:p>
        </w:tc>
        <w:tc>
          <w:tcPr>
            <w:tcW w:w="1060" w:type="dxa"/>
            <w:vAlign w:val="bottom"/>
            <w:tcBorders>
              <w:top w:val="single" w:sz="8" w:color="auto"/>
            </w:tcBorders>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rPr>
              <w:t>Fiscal Year</w:t>
            </w:r>
          </w:p>
        </w:tc>
        <w:tc>
          <w:tcPr>
            <w:tcW w:w="7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Fiscal Year</w:t>
            </w:r>
          </w:p>
        </w:tc>
        <w:tc>
          <w:tcPr>
            <w:tcW w:w="28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300"/>
              <w:spacing w:after="0" w:line="139" w:lineRule="exact"/>
              <w:rPr>
                <w:sz w:val="20"/>
                <w:szCs w:val="20"/>
                <w:color w:val="auto"/>
              </w:rPr>
            </w:pPr>
            <w:r>
              <w:rPr>
                <w:rFonts w:ascii="Arial" w:cs="Arial" w:eastAsia="Arial" w:hAnsi="Arial"/>
                <w:sz w:val="13"/>
                <w:szCs w:val="13"/>
                <w:b w:val="1"/>
                <w:bCs w:val="1"/>
                <w:color w:val="auto"/>
              </w:rPr>
              <w:t>Fiscal Year</w:t>
            </w:r>
          </w:p>
        </w:tc>
        <w:tc>
          <w:tcPr>
            <w:tcW w:w="1060" w:type="dxa"/>
            <w:vAlign w:val="bottom"/>
            <w:tcBorders>
              <w:top w:val="single" w:sz="8" w:color="auto"/>
            </w:tcBorders>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rPr>
              <w:t>Fiscal Year</w:t>
            </w:r>
          </w:p>
        </w:tc>
        <w:tc>
          <w:tcPr>
            <w:tcW w:w="8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Fiscal Year</w:t>
            </w:r>
          </w:p>
        </w:tc>
        <w:tc>
          <w:tcPr>
            <w:tcW w:w="26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320"/>
              <w:spacing w:after="0" w:line="139" w:lineRule="exact"/>
              <w:rPr>
                <w:sz w:val="20"/>
                <w:szCs w:val="20"/>
                <w:color w:val="auto"/>
              </w:rPr>
            </w:pPr>
            <w:r>
              <w:rPr>
                <w:rFonts w:ascii="Arial" w:cs="Arial" w:eastAsia="Arial" w:hAnsi="Arial"/>
                <w:sz w:val="13"/>
                <w:szCs w:val="13"/>
                <w:b w:val="1"/>
                <w:bCs w:val="1"/>
                <w:color w:val="auto"/>
              </w:rPr>
              <w:t>Fiscal Year</w:t>
            </w:r>
          </w:p>
        </w:tc>
        <w:tc>
          <w:tcPr>
            <w:tcW w:w="1060" w:type="dxa"/>
            <w:vAlign w:val="bottom"/>
            <w:tcBorders>
              <w:top w:val="single" w:sz="8" w:color="auto"/>
            </w:tcBorders>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rPr>
              <w:t>Fiscal Year</w:t>
            </w:r>
          </w:p>
        </w:tc>
        <w:tc>
          <w:tcPr>
            <w:tcW w:w="8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Fiscal Year</w:t>
            </w:r>
          </w:p>
        </w:tc>
        <w:tc>
          <w:tcPr>
            <w:tcW w:w="160" w:type="dxa"/>
            <w:vAlign w:val="bottom"/>
          </w:tcPr>
          <w:p>
            <w:pPr>
              <w:spacing w:after="0"/>
              <w:rPr>
                <w:sz w:val="12"/>
                <w:szCs w:val="12"/>
                <w:color w:val="auto"/>
              </w:rPr>
            </w:pPr>
          </w:p>
        </w:tc>
      </w:tr>
      <w:tr>
        <w:trPr>
          <w:trHeight w:val="165"/>
        </w:trPr>
        <w:tc>
          <w:tcPr>
            <w:tcW w:w="182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2018</w:t>
            </w:r>
          </w:p>
        </w:tc>
        <w:tc>
          <w:tcPr>
            <w:tcW w:w="28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FF0FC"/>
            </w:tcBorders>
          </w:tcPr>
          <w:p>
            <w:pPr>
              <w:spacing w:after="0"/>
              <w:rPr>
                <w:sz w:val="14"/>
                <w:szCs w:val="14"/>
                <w:color w:val="auto"/>
              </w:rPr>
            </w:pPr>
          </w:p>
        </w:tc>
      </w:tr>
      <w:tr>
        <w:trPr>
          <w:trHeight w:val="183"/>
        </w:trPr>
        <w:tc>
          <w:tcPr>
            <w:tcW w:w="1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Volatility</w:t>
            </w:r>
          </w:p>
        </w:tc>
        <w:tc>
          <w:tcPr>
            <w:tcW w:w="10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27.9%</w:t>
            </w:r>
          </w:p>
        </w:tc>
        <w:tc>
          <w:tcPr>
            <w:tcW w:w="10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27.9%</w:t>
            </w:r>
          </w:p>
        </w:tc>
        <w:tc>
          <w:tcPr>
            <w:tcW w:w="10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30.4%</w:t>
            </w:r>
          </w:p>
        </w:tc>
        <w:tc>
          <w:tcPr>
            <w:tcW w:w="10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27.7%</w:t>
            </w:r>
          </w:p>
        </w:tc>
        <w:tc>
          <w:tcPr>
            <w:tcW w:w="10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28.2%</w:t>
            </w:r>
          </w:p>
        </w:tc>
        <w:tc>
          <w:tcPr>
            <w:tcW w:w="10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27.5%</w:t>
            </w:r>
          </w:p>
        </w:tc>
        <w:tc>
          <w:tcPr>
            <w:tcW w:w="10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24.6%</w:t>
            </w:r>
          </w:p>
        </w:tc>
        <w:tc>
          <w:tcPr>
            <w:tcW w:w="10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32.8%</w:t>
            </w:r>
          </w:p>
        </w:tc>
        <w:tc>
          <w:tcPr>
            <w:tcW w:w="96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22.0%</w:t>
            </w:r>
          </w:p>
        </w:tc>
      </w:tr>
      <w:tr>
        <w:trPr>
          <w:trHeight w:val="203"/>
        </w:trPr>
        <w:tc>
          <w:tcPr>
            <w:tcW w:w="18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1.8%</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2.4%</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r>
      <w:tr>
        <w:trPr>
          <w:trHeight w:val="203"/>
        </w:trPr>
        <w:tc>
          <w:tcPr>
            <w:tcW w:w="182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10"/>
        </w:trPr>
        <w:tc>
          <w:tcPr>
            <w:tcW w:w="1820" w:type="dxa"/>
            <w:vAlign w:val="bottom"/>
          </w:tcPr>
          <w:p>
            <w:pPr>
              <w:spacing w:after="0"/>
              <w:rPr>
                <w:sz w:val="20"/>
                <w:szCs w:val="20"/>
                <w:color w:val="auto"/>
              </w:rPr>
            </w:pPr>
            <w:r>
              <w:rPr>
                <w:rFonts w:ascii="Arial" w:cs="Arial" w:eastAsia="Arial" w:hAnsi="Arial"/>
                <w:sz w:val="16"/>
                <w:szCs w:val="16"/>
                <w:color w:val="auto"/>
              </w:rPr>
              <w:t>Expected life</w:t>
            </w: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5.0 years</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5.0 years</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5.4 years</w:t>
            </w: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5.0 years</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5.0 years</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5.0 years</w:t>
            </w: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0.5 years</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0.5 years</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0.5 years</w:t>
            </w:r>
          </w:p>
        </w:tc>
      </w:tr>
    </w:tbl>
    <w:p>
      <w:pPr>
        <w:spacing w:after="0" w:line="194"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The Company’s expected volatility is a measure of the amount by which its stock price is expected to fluctuate over the expected term of the stock-based award. The estimated volatilities for stock options and TSR performance options are based on the historical volatility calculated using the daily stock price of the Company’s stock over a recent historical period equal to the expected term. The risk-free interest rate that the Company uses in determining the fair value of its stock-based awards is based on the implied yield on U.S. Treasury zero-coupon issues with remaining terms equivalent to the expected term of its stock-based awards. The expected terms or lives of employee stock options and TSR performance stock options represent the expected period of time from the date of grant to the estimated date that the stock options under the Company’s Equity Participation Plan would be fully exercised. The expected term assumption is estimated based primarily on the options’ vesting terms and remaining contractual life and employees’ expected exercise and post-vesting employment termination behavior.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for fiscal year 2020 is presented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rPr>
              <w:t>Weighted</w:t>
            </w:r>
          </w:p>
        </w:tc>
        <w:tc>
          <w:tcPr>
            <w:tcW w:w="144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rPr>
              <w:t>Weighted Average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Intrinsic</w:t>
            </w: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14"/>
                <w:szCs w:val="14"/>
                <w:color w:val="auto"/>
              </w:rPr>
            </w:pPr>
          </w:p>
        </w:tc>
      </w:tr>
      <w:tr>
        <w:trPr>
          <w:trHeight w:val="175"/>
        </w:trPr>
        <w:tc>
          <w:tcPr>
            <w:tcW w:w="580" w:type="dxa"/>
            <w:vAlign w:val="bottom"/>
          </w:tcPr>
          <w:p>
            <w:pPr>
              <w:spacing w:after="0"/>
              <w:rPr>
                <w:sz w:val="15"/>
                <w:szCs w:val="15"/>
                <w:color w:val="auto"/>
              </w:rPr>
            </w:pPr>
          </w:p>
        </w:tc>
        <w:tc>
          <w:tcPr>
            <w:tcW w:w="474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per Share</w:t>
            </w:r>
          </w:p>
        </w:tc>
        <w:tc>
          <w:tcPr>
            <w:tcW w:w="20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 in Years</w:t>
            </w:r>
          </w:p>
        </w:tc>
        <w:tc>
          <w:tcPr>
            <w:tcW w:w="22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2019</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1,531,500</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64.87</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39,000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74.64</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canceled</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(340,267)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61.89</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2020</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1,225,233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65.96</w:t>
            </w:r>
          </w:p>
        </w:tc>
        <w:tc>
          <w:tcPr>
            <w:tcW w:w="14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3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FF0FC"/>
              <w:bottom w:val="single" w:sz="8" w:color="CFF0FC"/>
            </w:tcBorders>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Vested and exercisable at March 31, 2020</w:t>
            </w:r>
          </w:p>
        </w:tc>
        <w:tc>
          <w:tcPr>
            <w:tcW w:w="1100" w:type="dxa"/>
            <w:vAlign w:val="bottom"/>
          </w:tcPr>
          <w:p>
            <w:pPr>
              <w:jc w:val="right"/>
              <w:spacing w:after="0"/>
              <w:rPr>
                <w:sz w:val="20"/>
                <w:szCs w:val="20"/>
                <w:color w:val="auto"/>
              </w:rPr>
            </w:pPr>
            <w:r>
              <w:rPr>
                <w:rFonts w:ascii="Arial" w:cs="Arial" w:eastAsia="Arial" w:hAnsi="Arial"/>
                <w:sz w:val="18"/>
                <w:szCs w:val="18"/>
                <w:color w:val="auto"/>
              </w:rPr>
              <w:t>1,076,983</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65.30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621"/>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8"/>
                <w:szCs w:val="18"/>
                <w:color w:val="auto"/>
              </w:rPr>
              <w:t>F-33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7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intrinsic value of stock options exercised during fiscal years 2020, 2019 and 2018 was $7.9 million, $7.9 million and</w:t>
      </w:r>
    </w:p>
    <w:p>
      <w:pPr>
        <w:ind w:right="80"/>
        <w:spacing w:after="0"/>
        <w:rPr>
          <w:sz w:val="20"/>
          <w:szCs w:val="20"/>
          <w:color w:val="auto"/>
        </w:rPr>
      </w:pPr>
      <w:r>
        <w:rPr>
          <w:rFonts w:ascii="Arial" w:cs="Arial" w:eastAsia="Arial" w:hAnsi="Arial"/>
          <w:sz w:val="18"/>
          <w:szCs w:val="18"/>
          <w:color w:val="auto"/>
        </w:rPr>
        <w:t>$5.2 million, respectively. All options issued under the Company’s stock option plans have an exercise price equal to the fair market value of the Company’s stock on the date of the grant. The Company recorded insignificant excess tax benefits during fiscal years 2020 and 2019, and an insignificant excess tax deficiency during fiscal year 2018 related to stock options exercises.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TSR performance stock option activity for fiscal year 2020 is presented below:</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rPr>
              <w:t>Weighted</w:t>
            </w:r>
          </w:p>
        </w:tc>
        <w:tc>
          <w:tcPr>
            <w:tcW w:w="14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rPr>
              <w:t>Weighted Average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740" w:type="dxa"/>
            <w:vAlign w:val="bottom"/>
          </w:tcPr>
          <w:p>
            <w:pPr>
              <w:spacing w:after="0"/>
              <w:rPr>
                <w:sz w:val="14"/>
                <w:szCs w:val="14"/>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r>
      <w:tr>
        <w:trPr>
          <w:trHeight w:val="175"/>
        </w:trPr>
        <w:tc>
          <w:tcPr>
            <w:tcW w:w="474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Shares (1)</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per Share</w:t>
            </w:r>
          </w:p>
        </w:tc>
        <w:tc>
          <w:tcPr>
            <w:tcW w:w="20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 in Years</w:t>
            </w:r>
          </w:p>
        </w:tc>
        <w:tc>
          <w:tcPr>
            <w:tcW w:w="22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FF0FC"/>
            </w:tcBorders>
          </w:tcPr>
          <w:p>
            <w:pPr>
              <w:spacing w:after="0"/>
              <w:rPr>
                <w:sz w:val="15"/>
                <w:szCs w:val="15"/>
                <w:color w:val="auto"/>
              </w:rPr>
            </w:pPr>
          </w:p>
        </w:tc>
      </w:tr>
      <w:tr>
        <w:trPr>
          <w:trHeight w:val="20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2019</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1,027,500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71.34</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ind w:left="240"/>
              <w:spacing w:after="0"/>
              <w:rPr>
                <w:sz w:val="20"/>
                <w:szCs w:val="20"/>
                <w:color w:val="auto"/>
              </w:rPr>
            </w:pPr>
            <w:r>
              <w:rPr>
                <w:rFonts w:ascii="Arial" w:cs="Arial" w:eastAsia="Arial" w:hAnsi="Arial"/>
                <w:sz w:val="18"/>
                <w:szCs w:val="18"/>
                <w:color w:val="auto"/>
              </w:rPr>
              <w:t>TSR performance options 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603,306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71.83</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TSR performance options canceled</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TSR performance options 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8"/>
                <w:szCs w:val="18"/>
                <w:color w:val="auto"/>
              </w:rPr>
            </w:pPr>
          </w:p>
        </w:tc>
        <w:tc>
          <w:tcPr>
            <w:tcW w:w="12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0"/>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2020</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1,630,806</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71.52</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0"/>
        </w:trPr>
        <w:tc>
          <w:tcPr>
            <w:tcW w:w="4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Vested and exercisable at March 31, 2020</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769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09"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Number of shares is based on the target number of options under each TSR performance stock option.</w:t>
      </w:r>
    </w:p>
    <w:p>
      <w:pPr>
        <w:spacing w:after="0" w:line="180" w:lineRule="exact"/>
        <w:rPr>
          <w:sz w:val="20"/>
          <w:szCs w:val="20"/>
          <w:color w:val="auto"/>
        </w:rPr>
      </w:pPr>
    </w:p>
    <w:p>
      <w:pPr>
        <w:ind w:firstLine="510"/>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Restricted stock units represent a right to receive shares of common stock at a future date determined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participant’s award agreement. There is no exercise price and no monetary payment required for receipt of restricted stock units or the shares issued in settlement of the award. Instead, consideration is furnished in the form of the participant’s services to the Company. Restricted stock units generally vest over four years. Compensation cost for these awards is based on the fair value on the date of grant and recognized as compensation expense on a straight-line basis over the requisite service period. For fiscal years 2020, 2019 and 2018, the Company recognized $62.4 million, $58.8 million and $54.0 million, respectively, in stock-based compensation expense related to these restricted stock unit awards.</w:t>
      </w:r>
    </w:p>
    <w:p>
      <w:pPr>
        <w:spacing w:after="0" w:line="189" w:lineRule="exact"/>
        <w:rPr>
          <w:sz w:val="20"/>
          <w:szCs w:val="20"/>
          <w:color w:val="auto"/>
        </w:rPr>
      </w:pPr>
    </w:p>
    <w:p>
      <w:pPr>
        <w:ind w:right="440" w:firstLine="510"/>
        <w:spacing w:after="0" w:line="246" w:lineRule="auto"/>
        <w:rPr>
          <w:sz w:val="20"/>
          <w:szCs w:val="20"/>
          <w:color w:val="auto"/>
        </w:rPr>
      </w:pPr>
      <w:r>
        <w:rPr>
          <w:rFonts w:ascii="Arial" w:cs="Arial" w:eastAsia="Arial" w:hAnsi="Arial"/>
          <w:sz w:val="18"/>
          <w:szCs w:val="18"/>
          <w:color w:val="auto"/>
        </w:rPr>
        <w:t>The per unit weighted average grant date fair value of restricted stock units granted during fiscal years 2020, 2019 and 2018 was $71.59, $67.88 and $72.89, respectively. A summary of restricted stock unit activity for fiscal year 2020 is presented below:</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38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Average Grant</w:t>
            </w:r>
          </w:p>
        </w:tc>
      </w:tr>
      <w:tr>
        <w:trPr>
          <w:trHeight w:val="162"/>
        </w:trPr>
        <w:tc>
          <w:tcPr>
            <w:tcW w:w="538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Date Fair Value</w:t>
            </w:r>
          </w:p>
        </w:tc>
      </w:tr>
      <w:tr>
        <w:trPr>
          <w:trHeight w:val="175"/>
        </w:trPr>
        <w:tc>
          <w:tcPr>
            <w:tcW w:w="538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 Share</w:t>
            </w:r>
          </w:p>
        </w:tc>
      </w:tr>
      <w:tr>
        <w:trPr>
          <w:trHeight w:val="210"/>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2,904,242</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67.99</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5380" w:type="dxa"/>
            <w:vAlign w:val="bottom"/>
          </w:tcPr>
          <w:p>
            <w:pPr>
              <w:ind w:left="240"/>
              <w:spacing w:after="0"/>
              <w:rPr>
                <w:sz w:val="20"/>
                <w:szCs w:val="20"/>
                <w:color w:val="auto"/>
              </w:rPr>
            </w:pPr>
            <w:r>
              <w:rPr>
                <w:rFonts w:ascii="Arial" w:cs="Arial" w:eastAsia="Arial" w:hAnsi="Arial"/>
                <w:sz w:val="18"/>
                <w:szCs w:val="18"/>
                <w:color w:val="auto"/>
              </w:rPr>
              <w:t>Awarded</w:t>
            </w:r>
          </w:p>
        </w:tc>
        <w:tc>
          <w:tcPr>
            <w:tcW w:w="1060" w:type="dxa"/>
            <w:vAlign w:val="bottom"/>
          </w:tcPr>
          <w:p>
            <w:pPr>
              <w:jc w:val="right"/>
              <w:spacing w:after="0"/>
              <w:rPr>
                <w:sz w:val="20"/>
                <w:szCs w:val="20"/>
                <w:color w:val="auto"/>
              </w:rPr>
            </w:pPr>
            <w:r>
              <w:rPr>
                <w:rFonts w:ascii="Arial" w:cs="Arial" w:eastAsia="Arial" w:hAnsi="Arial"/>
                <w:sz w:val="18"/>
                <w:szCs w:val="18"/>
                <w:color w:val="auto"/>
              </w:rPr>
              <w:t>1,284,684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71.59</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(93,092)</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70.26</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ind w:left="240"/>
              <w:spacing w:after="0"/>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(1,075,526)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68.27</w:t>
            </w:r>
          </w:p>
        </w:tc>
        <w:tc>
          <w:tcPr>
            <w:tcW w:w="80" w:type="dxa"/>
            <w:vAlign w:val="bottom"/>
          </w:tcPr>
          <w:p>
            <w:pPr>
              <w:spacing w:after="0"/>
              <w:rPr>
                <w:sz w:val="18"/>
                <w:szCs w:val="18"/>
                <w:color w:val="auto"/>
              </w:rPr>
            </w:pPr>
          </w:p>
        </w:tc>
      </w:tr>
      <w:tr>
        <w:trPr>
          <w:trHeight w:val="210"/>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3,020,308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69.35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Vested and deferred at March 31, 2020</w:t>
            </w:r>
          </w:p>
        </w:tc>
        <w:tc>
          <w:tcPr>
            <w:tcW w:w="1060" w:type="dxa"/>
            <w:vAlign w:val="bottom"/>
          </w:tcPr>
          <w:p>
            <w:pPr>
              <w:jc w:val="right"/>
              <w:spacing w:after="0"/>
              <w:rPr>
                <w:sz w:val="20"/>
                <w:szCs w:val="20"/>
                <w:color w:val="auto"/>
              </w:rPr>
            </w:pPr>
            <w:r>
              <w:rPr>
                <w:rFonts w:ascii="Arial" w:cs="Arial" w:eastAsia="Arial" w:hAnsi="Arial"/>
                <w:sz w:val="18"/>
                <w:szCs w:val="18"/>
                <w:color w:val="auto"/>
              </w:rPr>
              <w:t>182,334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44.53</w:t>
            </w:r>
          </w:p>
        </w:tc>
        <w:tc>
          <w:tcPr>
            <w:tcW w:w="80" w:type="dxa"/>
            <w:vAlign w:val="bottom"/>
          </w:tcPr>
          <w:p>
            <w:pPr>
              <w:spacing w:after="0"/>
              <w:rPr>
                <w:sz w:val="18"/>
                <w:szCs w:val="18"/>
                <w:color w:val="auto"/>
              </w:rPr>
            </w:pPr>
          </w:p>
        </w:tc>
      </w:tr>
    </w:tbl>
    <w:p>
      <w:pPr>
        <w:spacing w:after="0" w:line="188" w:lineRule="exact"/>
        <w:rPr>
          <w:sz w:val="20"/>
          <w:szCs w:val="20"/>
          <w:color w:val="auto"/>
        </w:rPr>
      </w:pPr>
    </w:p>
    <w:p>
      <w:pPr>
        <w:ind w:right="320" w:firstLine="510"/>
        <w:spacing w:after="0" w:line="246" w:lineRule="auto"/>
        <w:rPr>
          <w:sz w:val="20"/>
          <w:szCs w:val="20"/>
          <w:color w:val="auto"/>
        </w:rPr>
      </w:pPr>
      <w:r>
        <w:rPr>
          <w:rFonts w:ascii="Arial" w:cs="Arial" w:eastAsia="Arial" w:hAnsi="Arial"/>
          <w:sz w:val="18"/>
          <w:szCs w:val="18"/>
          <w:color w:val="auto"/>
        </w:rPr>
        <w:t>The total fair value of shares vested related to restricted stock units during the fiscal years 2020, 2019 and 2018 was $80.4 million, $81.1 million and $64.6 million,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Shares Used In Computing Diluted Net Loss Per Share</w:t>
      </w:r>
    </w:p>
    <w:p>
      <w:pPr>
        <w:spacing w:after="0" w:line="180"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fiscal years ended 2020, 2019 and 2018, as the Company incurred a net loss attributable to Viasat, Inc. common stockholders for such periods and inclusion of potentially dilutive weighted average shares of common stock would be antidilutive. Potentially dilutive weighted average shares excluded from the calculation for fiscal years 2020, 2019 and 2018, respectively, consisted of 591,396, 1,291,503 and 1,358,275 shares related to stock options (other than TSR performance stock options), 138,026, 871,343 and 175,598 shares related to TSR performance stock options, 841,890, 612,318 and 1,053,649 shares related to restricted stock units, and 446,603, 215,956 and 193,608 shares related to certain terms of the ViaSat 401(k) Profit Sharing Plan and Employee Stock Purchase Plan.</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income (loss) before income taxes by jurisdiction are as follows:</w:t>
      </w:r>
    </w:p>
    <w:p>
      <w:pPr>
        <w:spacing w:after="0" w:line="280"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6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155"/>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27,000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(102,643)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(92,767)</w:t>
            </w:r>
          </w:p>
        </w:tc>
        <w:tc>
          <w:tcPr>
            <w:tcW w:w="0" w:type="dxa"/>
            <w:vAlign w:val="bottom"/>
          </w:tcPr>
          <w:p>
            <w:pPr>
              <w:spacing w:after="0"/>
              <w:rPr>
                <w:sz w:val="1"/>
                <w:szCs w:val="1"/>
                <w:color w:val="auto"/>
              </w:rPr>
            </w:pPr>
          </w:p>
        </w:tc>
      </w:tr>
      <w:tr>
        <w:trPr>
          <w:trHeight w:val="216"/>
        </w:trPr>
        <w:tc>
          <w:tcPr>
            <w:tcW w:w="5040" w:type="dxa"/>
            <w:vAlign w:val="bottom"/>
            <w:gridSpan w:val="2"/>
          </w:tcPr>
          <w:p>
            <w:pPr>
              <w:ind w:left="620"/>
              <w:spacing w:after="0"/>
              <w:rPr>
                <w:sz w:val="20"/>
                <w:szCs w:val="20"/>
                <w:color w:val="auto"/>
              </w:rPr>
            </w:pPr>
            <w:r>
              <w:rPr>
                <w:rFonts w:ascii="Arial" w:cs="Arial" w:eastAsia="Arial" w:hAnsi="Arial"/>
                <w:sz w:val="18"/>
                <w:szCs w:val="18"/>
                <w:color w:val="auto"/>
              </w:rPr>
              <w:t>Foreign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(7,838)</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(12,703)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44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(110,481)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(105,470)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The benefit from income taxes includes the following:</w:t>
            </w: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155"/>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Current tax provision</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Federal</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Foreign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(1,619)</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4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(7,727)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(3,130)</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10"/>
        </w:trPr>
        <w:tc>
          <w:tcPr>
            <w:tcW w:w="5040" w:type="dxa"/>
            <w:vAlign w:val="bottom"/>
            <w:gridSpan w:val="2"/>
          </w:tcPr>
          <w:p>
            <w:pPr>
              <w:ind w:left="620"/>
              <w:spacing w:after="0"/>
              <w:rPr>
                <w:sz w:val="20"/>
                <w:szCs w:val="20"/>
                <w:color w:val="auto"/>
              </w:rPr>
            </w:pPr>
            <w:r>
              <w:rPr>
                <w:rFonts w:ascii="Arial" w:cs="Arial" w:eastAsia="Arial" w:hAnsi="Arial"/>
                <w:sz w:val="18"/>
                <w:szCs w:val="18"/>
                <w:color w:val="auto"/>
              </w:rPr>
              <w:t>Deferred tax benefit</w:t>
            </w:r>
          </w:p>
        </w:tc>
        <w:tc>
          <w:tcPr>
            <w:tcW w:w="8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9,889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34,099</w:t>
            </w: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State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44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15,642</w:t>
            </w:r>
          </w:p>
        </w:tc>
        <w:tc>
          <w:tcPr>
            <w:tcW w:w="1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44,144</w:t>
            </w:r>
          </w:p>
        </w:tc>
        <w:tc>
          <w:tcPr>
            <w:tcW w:w="2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36,855</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Total benefit from income taxes</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7,915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41,014</w:t>
            </w: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the Company’s net deferred tax assets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56"/>
        </w:trPr>
        <w:tc>
          <w:tcPr>
            <w:tcW w:w="17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440"/>
              <w:spacing w:after="0" w:line="156"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040" w:type="dxa"/>
            <w:vAlign w:val="bottom"/>
            <w:gridSpan w:val="2"/>
          </w:tcPr>
          <w:p>
            <w:pPr>
              <w:jc w:val="right"/>
              <w:ind w:right="320"/>
              <w:spacing w:after="0" w:line="156" w:lineRule="exact"/>
              <w:rPr>
                <w:sz w:val="20"/>
                <w:szCs w:val="20"/>
                <w:color w:val="auto"/>
              </w:rPr>
            </w:pPr>
            <w:r>
              <w:rPr>
                <w:rFonts w:ascii="Arial" w:cs="Arial" w:eastAsia="Arial" w:hAnsi="Arial"/>
                <w:sz w:val="14"/>
                <w:szCs w:val="14"/>
                <w:b w:val="1"/>
                <w:bCs w:val="1"/>
                <w:color w:val="auto"/>
              </w:rPr>
              <w:t>March 31,</w:t>
            </w:r>
          </w:p>
        </w:tc>
        <w:tc>
          <w:tcPr>
            <w:tcW w:w="1680" w:type="dxa"/>
            <w:vAlign w:val="bottom"/>
          </w:tcPr>
          <w:p>
            <w:pPr>
              <w:spacing w:after="0"/>
              <w:rPr>
                <w:sz w:val="13"/>
                <w:szCs w:val="13"/>
                <w:color w:val="auto"/>
              </w:rPr>
            </w:pPr>
          </w:p>
        </w:tc>
      </w:tr>
      <w:tr>
        <w:trPr>
          <w:trHeight w:val="175"/>
        </w:trPr>
        <w:tc>
          <w:tcPr>
            <w:tcW w:w="17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69"/>
        </w:trPr>
        <w:tc>
          <w:tcPr>
            <w:tcW w:w="17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4"/>
                <w:szCs w:val="14"/>
                <w:color w:val="auto"/>
              </w:rPr>
            </w:pPr>
          </w:p>
        </w:tc>
      </w:tr>
      <w:tr>
        <w:trPr>
          <w:trHeight w:val="230"/>
        </w:trPr>
        <w:tc>
          <w:tcPr>
            <w:tcW w:w="170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217,883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197,486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 carryforwards</w:t>
            </w:r>
          </w:p>
        </w:tc>
        <w:tc>
          <w:tcPr>
            <w:tcW w:w="1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248,425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220,060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Operating lease liabilities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62,691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57,246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1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(42,621)</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(33,499)</w:t>
            </w: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Total deferred tax assets</w:t>
            </w:r>
          </w:p>
        </w:tc>
        <w:tc>
          <w:tcPr>
            <w:tcW w:w="1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589,332</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465,714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(71,116)</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(72,776)</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equipment and satellites</w:t>
            </w:r>
          </w:p>
        </w:tc>
        <w:tc>
          <w:tcPr>
            <w:tcW w:w="1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(142,049)</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(113,188)</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Operating lease assets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(73,446)</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(27,374)</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(21,160)</w:t>
            </w: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Total deferred tax liabilities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(313,985)</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(207,124)</w:t>
            </w: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9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275,347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258,590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140" w:type="dxa"/>
            <w:vAlign w:val="bottom"/>
            <w:gridSpan w:val="2"/>
          </w:tcPr>
          <w:p>
            <w:pPr>
              <w:jc w:val="right"/>
              <w:ind w:right="1290"/>
              <w:spacing w:after="0"/>
              <w:rPr>
                <w:sz w:val="20"/>
                <w:szCs w:val="20"/>
                <w:color w:val="auto"/>
              </w:rPr>
            </w:pPr>
            <w:r>
              <w:rPr>
                <w:rFonts w:ascii="Arial" w:cs="Arial" w:eastAsia="Arial" w:hAnsi="Arial"/>
                <w:sz w:val="18"/>
                <w:szCs w:val="18"/>
                <w:color w:val="auto"/>
              </w:rPr>
              <w:t>F-35</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2"/>
        </w:trPr>
        <w:tc>
          <w:tcPr>
            <w:tcW w:w="170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200" w:firstLine="510"/>
        <w:spacing w:after="0" w:line="246" w:lineRule="auto"/>
        <w:rPr>
          <w:sz w:val="20"/>
          <w:szCs w:val="20"/>
          <w:color w:val="auto"/>
        </w:rPr>
      </w:pPr>
      <w:r>
        <w:rPr>
          <w:rFonts w:ascii="Arial" w:cs="Arial" w:eastAsia="Arial" w:hAnsi="Arial"/>
          <w:sz w:val="18"/>
          <w:szCs w:val="18"/>
          <w:color w:val="auto"/>
        </w:rPr>
        <w:t>A reconciliation of the benefit from income taxes to the amount computed by applying the statutory federal income tax rate to income (loss) before income taxes is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02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4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r>
      <w:tr>
        <w:trPr>
          <w:trHeight w:val="169"/>
        </w:trPr>
        <w:tc>
          <w:tcPr>
            <w:tcW w:w="4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Tax (provision) benefit at federal statutory rate</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22,149</w:t>
            </w:r>
          </w:p>
        </w:tc>
        <w:tc>
          <w:tcPr>
            <w:tcW w:w="8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State tax (provision) benefit, net of federal benefit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2,605</w:t>
            </w:r>
          </w:p>
        </w:tc>
        <w:tc>
          <w:tcPr>
            <w:tcW w:w="8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Tax credits, net of valuation allowance</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25,153</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21,898</w:t>
            </w:r>
          </w:p>
        </w:tc>
        <w:tc>
          <w:tcPr>
            <w:tcW w:w="8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Non-deductible compensation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(7,150)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(4,527)</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(2,852)</w:t>
            </w: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Non-deductible meals and entertainment</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(929)</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18"/>
                <w:szCs w:val="18"/>
                <w:color w:val="auto"/>
              </w:rPr>
            </w:pP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Change in federal tax rate due to 2020 CARES</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58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Act and 2017 Tax Reform</w:t>
            </w: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567</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(5,335)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Change in state effective tax rate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Foreign effective tax rate differential, net of</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58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valuation allowance</w:t>
            </w: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(5,707)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(1,552)</w:t>
            </w: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(2,054)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Unremitted subsidiary gains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(1,388)</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(864)</w:t>
            </w: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(1,938)</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(167)</w:t>
            </w:r>
          </w:p>
        </w:tc>
      </w:tr>
      <w:tr>
        <w:trPr>
          <w:trHeight w:val="20"/>
        </w:trPr>
        <w:tc>
          <w:tcPr>
            <w:tcW w:w="4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580" w:type="dxa"/>
            <w:vAlign w:val="bottom"/>
          </w:tcPr>
          <w:p>
            <w:pPr>
              <w:spacing w:after="0"/>
              <w:rPr>
                <w:sz w:val="20"/>
                <w:szCs w:val="20"/>
                <w:color w:val="auto"/>
              </w:rPr>
            </w:pPr>
            <w:r>
              <w:rPr>
                <w:rFonts w:ascii="Arial" w:cs="Arial" w:eastAsia="Arial" w:hAnsi="Arial"/>
                <w:sz w:val="18"/>
                <w:szCs w:val="18"/>
                <w:color w:val="auto"/>
              </w:rPr>
              <w:t>Total benefit from income taxes</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7,915</w:t>
            </w: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41,014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35,217</w:t>
            </w:r>
          </w:p>
        </w:tc>
        <w:tc>
          <w:tcPr>
            <w:tcW w:w="8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Effective January 1, 2018, the Tax Reform reduced the corporate federal income tax rate from 35% to 21%. The Company applied the 21% federal tax rate in the rate reconciliation for all fiscal years presented. As the Company has a March 31 fiscal year-end, the phase-in of tax rate from 35% to 21% in fiscal year 2018 resulted in a blended tax rate of 31.6%. However, the Company applied the 21% federal tax rate in the rate reconciliation for fiscal year 2018 as the fiscal year 2018 taxable loss will not be subject to federal tax at the 31.6% blended tax rate. Instead, the taxable loss increases the net operating loss carryforwards and will be subject to the lower 21% federal tax rate in future periods.</w:t>
      </w:r>
    </w:p>
    <w:p>
      <w:pPr>
        <w:spacing w:after="0" w:line="205" w:lineRule="exact"/>
        <w:rPr>
          <w:sz w:val="20"/>
          <w:szCs w:val="20"/>
          <w:color w:val="auto"/>
        </w:rPr>
      </w:pPr>
    </w:p>
    <w:p>
      <w:pPr>
        <w:ind w:right="240" w:firstLine="510"/>
        <w:spacing w:after="0" w:line="238" w:lineRule="auto"/>
        <w:rPr>
          <w:sz w:val="20"/>
          <w:szCs w:val="20"/>
          <w:color w:val="auto"/>
        </w:rPr>
      </w:pPr>
      <w:r>
        <w:rPr>
          <w:rFonts w:ascii="Arial" w:cs="Arial" w:eastAsia="Arial" w:hAnsi="Arial"/>
          <w:sz w:val="18"/>
          <w:szCs w:val="18"/>
          <w:color w:val="auto"/>
        </w:rPr>
        <w:t>As of March 31, 2020, the Company had federal and state research &amp; development (R&amp;D) tax credit carryforwards of $189.9 million and $162.6 million, respectively, which begin to expire in fiscal year 2026 and fiscal year 2021, respectively. As of March 31, 2020, the Company also had foreign tax credit carryforwards of approximately $1.9 million, which begin to expire in fiscal year 2021. As of March 31, 2020, the Company had federal and state net operating loss carryforwards of $831.9 million and $603.9 million, respectively, both of which begin to expire in fiscal year 2021.</w:t>
      </w:r>
    </w:p>
    <w:p>
      <w:pPr>
        <w:spacing w:after="0" w:line="148" w:lineRule="exact"/>
        <w:rPr>
          <w:sz w:val="20"/>
          <w:szCs w:val="20"/>
          <w:color w:val="auto"/>
        </w:rPr>
      </w:pPr>
    </w:p>
    <w:p>
      <w:pPr>
        <w:ind w:right="220" w:firstLine="510"/>
        <w:spacing w:after="0" w:line="237" w:lineRule="auto"/>
        <w:rPr>
          <w:sz w:val="20"/>
          <w:szCs w:val="20"/>
          <w:color w:val="auto"/>
        </w:rPr>
      </w:pPr>
      <w:r>
        <w:rPr>
          <w:rFonts w:ascii="Arial" w:cs="Arial" w:eastAsia="Arial" w:hAnsi="Arial"/>
          <w:sz w:val="18"/>
          <w:szCs w:val="18"/>
          <w:color w:val="auto"/>
        </w:rPr>
        <w:t>In accordance with ASU 2016-09, which the Company adopted during the first quarter of fiscal year 2018, the Company recorded a cumulative effect adjustment as of the beginning of the first quarter of fiscal year 2018 to increase retained earnings by $58.7 million with a corresponding increase to deferred tax assets to recognize net operating loss carryforwards attributable to excess tax benefits on share-based compensation that had not been previously recognized. On a prospective basis the Company recognizes excess tax benefits or deficiencies on vesting or settlement of awards as discrete items within income tax benefit or provision within net income (loss) and the related cash flows classified within operating activities.</w:t>
      </w:r>
    </w:p>
    <w:p>
      <w:pPr>
        <w:spacing w:after="0" w:line="151"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In accordance with the authoritative guidance for income taxes (ASC 740), net deferred tax assets are reduced by a valuation allowance if, based on all the available evidence, it is more likely than not that some or all of the deferred tax assets will not be realized. 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 A valuation allowance of $42.6 million at March 31, 2020 and $33.5 million at March 31, 2019 has been established relating to state and foreign net operating loss carryforwards, state R&amp;D tax credit carryforwards, and foreign tax credit carryforwards that, based on management’s estimate of future taxable income attributable to such jurisdictions and generation of additional research credits, are considered more likely than not to expire unused.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Company’s unrecognized tax benefits: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02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4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r>
      <w:tr>
        <w:trPr>
          <w:trHeight w:val="169"/>
        </w:trPr>
        <w:tc>
          <w:tcPr>
            <w:tcW w:w="4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fiscal year</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68,156</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55,474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49,066</w:t>
            </w:r>
          </w:p>
        </w:tc>
        <w:tc>
          <w:tcPr>
            <w:tcW w:w="8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(1,183)</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current year tax positions</w:t>
            </w:r>
          </w:p>
        </w:tc>
        <w:tc>
          <w:tcPr>
            <w:tcW w:w="8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13,865</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6,563</w:t>
            </w:r>
          </w:p>
        </w:tc>
        <w:tc>
          <w:tcPr>
            <w:tcW w:w="80" w:type="dxa"/>
            <w:vAlign w:val="bottom"/>
            <w:shd w:val="clear" w:color="auto" w:fill="CFF0FC"/>
          </w:tcPr>
          <w:p>
            <w:pPr>
              <w:spacing w:after="0"/>
              <w:rPr>
                <w:sz w:val="18"/>
                <w:szCs w:val="18"/>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color w:val="auto"/>
              </w:rPr>
              <w:t>Balance, end of fiscal year</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80,591</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68,156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55,474</w:t>
            </w:r>
          </w:p>
        </w:tc>
        <w:tc>
          <w:tcPr>
            <w:tcW w:w="8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510"/>
        <w:spacing w:after="0" w:line="238" w:lineRule="auto"/>
        <w:rPr>
          <w:sz w:val="20"/>
          <w:szCs w:val="20"/>
          <w:color w:val="auto"/>
        </w:rPr>
      </w:pPr>
      <w:r>
        <w:rPr>
          <w:rFonts w:ascii="Arial" w:cs="Arial" w:eastAsia="Arial" w:hAnsi="Arial"/>
          <w:sz w:val="18"/>
          <w:szCs w:val="18"/>
          <w:color w:val="auto"/>
        </w:rPr>
        <w:t>Of the total unrecognized tax benefits at March 31, 2020, $72.6 million would reduce the Company’s annual effective tax rate if recognized, subject to valuation allowance consideration. The Company’s policy is to recognize interest expense and penalties related to income tax matters as a component of income tax expense. There were no accrued interest or penalties associated with uncertain tax positions as of March 31, 2020 and 2019.</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next 12 months it is reasonably possible that the amount of unrecognized tax benefits will not change significantly.</w:t>
      </w:r>
    </w:p>
    <w:p>
      <w:pPr>
        <w:spacing w:after="0" w:line="158"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The Company is subject to periodic audits by domestic and foreign tax authorities. By statute, the Company’s U.S. federal and state income tax returns are subject to examination by the tax authorities for fiscal years 2017 and thereafter. Additionally, net operating loss and R&amp;D tax credit carryovers that were generated in prior years may also be subject to examination. With few exceptions, fiscal years 2016 and thereafter remain open to examination by foreign tax authorities. The Company believes that it has appropriate support for the income tax positions taken on its tax returns and its accruals for tax liabilities are adequate for all open years based on an assessment of many factors, including past experience and interpretations.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Reform</w:t>
      </w:r>
    </w:p>
    <w:p>
      <w:pPr>
        <w:spacing w:after="0" w:line="99"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On December 22, 2017, the Tax Reform was enacted into law. Among other matters, the Tax Reform lowered the corporate federal income tax rate from 35% to 21%, effective January 1, 2018, and transitioned U.S. international taxation from a worldwide tax system to a modified territorial tax system, including a one-time transition tax on accumulated foreign earnings, and created new taxes on certain foreign earnings.</w:t>
      </w:r>
    </w:p>
    <w:p>
      <w:pPr>
        <w:spacing w:after="0" w:line="151" w:lineRule="exact"/>
        <w:rPr>
          <w:sz w:val="20"/>
          <w:szCs w:val="20"/>
          <w:color w:val="auto"/>
        </w:rPr>
      </w:pPr>
    </w:p>
    <w:p>
      <w:pPr>
        <w:ind w:right="120" w:firstLine="510"/>
        <w:spacing w:after="0"/>
        <w:rPr>
          <w:sz w:val="20"/>
          <w:szCs w:val="20"/>
          <w:color w:val="auto"/>
        </w:rPr>
      </w:pPr>
      <w:r>
        <w:rPr>
          <w:rFonts w:ascii="Arial" w:cs="Arial" w:eastAsia="Arial" w:hAnsi="Arial"/>
          <w:sz w:val="18"/>
          <w:szCs w:val="18"/>
          <w:color w:val="auto"/>
        </w:rPr>
        <w:t>The Company re -measured its deferred tax balances as of December 22, 2017 to reflect the 21% reduced tax rate and recognized an income tax expense of $5.3 million for the fiscal year ended March 31, 2018. The one-time transition tax had no impact to the Company’s income tax provision.</w:t>
      </w:r>
    </w:p>
    <w:p>
      <w:pPr>
        <w:spacing w:after="0" w:line="383" w:lineRule="exact"/>
        <w:rPr>
          <w:sz w:val="20"/>
          <w:szCs w:val="20"/>
          <w:color w:val="auto"/>
        </w:rPr>
      </w:pPr>
    </w:p>
    <w:p>
      <w:pPr>
        <w:ind w:right="5220"/>
        <w:spacing w:after="0" w:line="325" w:lineRule="auto"/>
        <w:rPr>
          <w:sz w:val="20"/>
          <w:szCs w:val="20"/>
          <w:color w:val="auto"/>
        </w:rPr>
      </w:pPr>
      <w:r>
        <w:rPr>
          <w:rFonts w:ascii="Arial" w:cs="Arial" w:eastAsia="Arial" w:hAnsi="Arial"/>
          <w:sz w:val="18"/>
          <w:szCs w:val="18"/>
          <w:b w:val="1"/>
          <w:bCs w:val="1"/>
          <w:color w:val="auto"/>
        </w:rPr>
        <w:t xml:space="preserve">Note 10 — Equity Method Investments and Related-Party Transactions </w:t>
      </w:r>
      <w:r>
        <w:rPr>
          <w:rFonts w:ascii="Arial" w:cs="Arial" w:eastAsia="Arial" w:hAnsi="Arial"/>
          <w:sz w:val="18"/>
          <w:szCs w:val="18"/>
          <w:b w:val="1"/>
          <w:bCs w:val="1"/>
          <w:i w:val="1"/>
          <w:iCs w:val="1"/>
          <w:color w:val="auto"/>
        </w:rPr>
        <w:t>Eutelsat strategic partnering arrangement</w:t>
      </w:r>
    </w:p>
    <w:p>
      <w:pPr>
        <w:spacing w:after="0" w:line="1"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In March 2017, the Company acquired a 49% interest in Euro Broadband Infrastructure Sàrl (Euro Infrastructure Co.) for $139.5 million as part of the consummation of the Company’s strategic partnering arrangement with Eutelsat. 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consolidated balance sheets. Because the underlying net assets in Euro Infrastructure Co. and the related excess carrying value of investment over the proportionate share of net assets are denominated in Euros, foreign currency translation gains or losses impact the recorded value of the Company’s investment. The Company recorded a foreign currency translation loss, net of tax, of approximately $3.8 million, a loss, net of tax, of approximately $5.6 million, and a gain, net of tax, of approximately $ 12.7 million for the fiscal years ended March 31, 2020, 2019 and 2018, respectively, in accumulated other comprehensive income (loss). The Company records its proportionate share of the results of Euro Infrastructure Co., and any related basis difference amortization expense, within equity in income of unconsolidated affiliate, net, one quarter in arrears. Accordingly, the Company included its share of the results of Euro Infrastructure Co. from the date of the Company’s investment in Euro Infrastructure Co. on March 3, 2017 through December 31, 2017 in its consolidated financial statements for the fiscal year ended March 31, 2018 and included its share of the results of Euro Infrastructure Co. for the twelve months ended December 31, 2019 and 2018 in its consolidated financial statements for the fiscal years ended March 31, 2020 and 2019, respectively. The Company’s investment in Euro Infrastructure Co. is presented at cost of</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investment plus its accumulated proportional share of income or loss, including amortization of the difference in the historical basis of the Company’s contribution, less any distributions it has received.</w:t>
      </w:r>
    </w:p>
    <w:p>
      <w:pPr>
        <w:spacing w:after="0" w:line="143" w:lineRule="exact"/>
        <w:rPr>
          <w:sz w:val="20"/>
          <w:szCs w:val="20"/>
          <w:color w:val="auto"/>
        </w:rPr>
      </w:pPr>
    </w:p>
    <w:p>
      <w:pPr>
        <w:ind w:right="20" w:firstLine="510"/>
        <w:spacing w:after="0" w:line="246"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March 31, 2020 and 2019 is summarized as follows:</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c>
          <w:tcPr>
            <w:tcW w:w="12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March 31, 2020</w:t>
            </w: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Carrying value of investment in Euro Infrastructure Co.</w:t>
            </w: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160,204</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160,711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Less: proportionate share of net assets of Euro Infrastructure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tcBorders>
              <w:bottom w:val="single" w:sz="8" w:color="CFF0FC"/>
            </w:tcBorders>
          </w:tcPr>
          <w:p>
            <w:pPr>
              <w:spacing w:after="0" w:line="203" w:lineRule="exact"/>
              <w:rPr>
                <w:sz w:val="20"/>
                <w:szCs w:val="20"/>
                <w:color w:val="auto"/>
              </w:rPr>
            </w:pPr>
            <w:r>
              <w:rPr>
                <w:rFonts w:ascii="Arial" w:cs="Arial" w:eastAsia="Arial" w:hAnsi="Arial"/>
                <w:sz w:val="18"/>
                <w:szCs w:val="18"/>
                <w:color w:val="auto"/>
              </w:rPr>
              <w:t>Co.</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144,769</w:t>
            </w:r>
          </w:p>
        </w:tc>
        <w:tc>
          <w:tcPr>
            <w:tcW w:w="20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145,016</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Excess carrying value of investment over proportionate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tcBorders>
              <w:bottom w:val="single" w:sz="8" w:color="CFF0FC"/>
            </w:tcBorders>
            <w:shd w:val="clear" w:color="auto" w:fill="CFF0FC"/>
          </w:tcPr>
          <w:p>
            <w:pPr>
              <w:ind w:left="240"/>
              <w:spacing w:after="0" w:line="203" w:lineRule="exact"/>
              <w:rPr>
                <w:sz w:val="20"/>
                <w:szCs w:val="20"/>
                <w:color w:val="auto"/>
              </w:rPr>
            </w:pPr>
            <w:r>
              <w:rPr>
                <w:rFonts w:ascii="Arial" w:cs="Arial" w:eastAsia="Arial" w:hAnsi="Arial"/>
                <w:sz w:val="18"/>
                <w:szCs w:val="18"/>
                <w:color w:val="auto"/>
              </w:rPr>
              <w:t>share of net assets</w:t>
            </w:r>
          </w:p>
        </w:tc>
        <w:tc>
          <w:tcPr>
            <w:tcW w:w="260" w:type="dxa"/>
            <w:vAlign w:val="bottom"/>
            <w:tcBorders>
              <w:bottom w:val="single" w:sz="8" w:color="auto"/>
            </w:tcBorders>
            <w:shd w:val="clear" w:color="auto" w:fill="CFF0FC"/>
          </w:tcPr>
          <w:p>
            <w:pPr>
              <w:jc w:val="right"/>
              <w:ind w:right="74"/>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15,435</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14"/>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15,695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The excess carrying value has been primarily assigned to:</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21,777</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40"/>
              <w:spacing w:after="0"/>
              <w:rPr>
                <w:sz w:val="20"/>
                <w:szCs w:val="20"/>
                <w:color w:val="auto"/>
              </w:rPr>
            </w:pPr>
            <w:r>
              <w:rPr>
                <w:rFonts w:ascii="Arial" w:cs="Arial" w:eastAsia="Arial" w:hAnsi="Arial"/>
                <w:sz w:val="18"/>
                <w:szCs w:val="18"/>
                <w:color w:val="auto"/>
              </w:rPr>
              <w:t>Identifiable intangible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8,799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Tangible assets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(16,142)</w:t>
            </w: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(18,522)</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2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15,435</w:t>
            </w:r>
          </w:p>
        </w:tc>
        <w:tc>
          <w:tcPr>
            <w:tcW w:w="2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The identifiable intangible assets have useful lives of up to 11 years and a weighted average useful life of approximately ten years, and tangible assets have useful lives of up to 11 years and a weighted average useful life of approximately 11 years. Goodwill is not deductible for tax purposes.</w:t>
      </w:r>
    </w:p>
    <w:p>
      <w:pPr>
        <w:spacing w:after="0" w:line="149" w:lineRule="exact"/>
        <w:rPr>
          <w:sz w:val="20"/>
          <w:szCs w:val="20"/>
          <w:color w:val="auto"/>
        </w:rPr>
      </w:pPr>
    </w:p>
    <w:p>
      <w:pPr>
        <w:jc w:val="both"/>
        <w:ind w:right="380" w:firstLine="510"/>
        <w:spacing w:after="0"/>
        <w:rPr>
          <w:sz w:val="20"/>
          <w:szCs w:val="20"/>
          <w:color w:val="auto"/>
        </w:rPr>
      </w:pPr>
      <w:r>
        <w:rPr>
          <w:rFonts w:ascii="Arial" w:cs="Arial" w:eastAsia="Arial" w:hAnsi="Arial"/>
          <w:sz w:val="18"/>
          <w:szCs w:val="18"/>
          <w:color w:val="auto"/>
        </w:rPr>
        <w:t>The Company’s share of income on its investment in Euro Infrastructure Co. was $4.5 million, $3.0 million, and $2.0 million for the fiscal years ended March 31, 2020, 2019 and 2018, respectively, consisting of the Company’s share of equity in Euro Infrastructure Co.’s income, including amortization of the difference in the historical basis of the Company’s contribution.</w:t>
      </w:r>
    </w:p>
    <w:p>
      <w:pPr>
        <w:spacing w:after="0" w:line="149" w:lineRule="exact"/>
        <w:rPr>
          <w:sz w:val="20"/>
          <w:szCs w:val="20"/>
          <w:color w:val="auto"/>
        </w:rPr>
      </w:pPr>
    </w:p>
    <w:p>
      <w:pPr>
        <w:ind w:right="320" w:firstLine="510"/>
        <w:spacing w:after="0" w:line="246" w:lineRule="auto"/>
        <w:rPr>
          <w:sz w:val="20"/>
          <w:szCs w:val="20"/>
          <w:color w:val="auto"/>
        </w:rPr>
      </w:pPr>
      <w:r>
        <w:rPr>
          <w:rFonts w:ascii="Arial" w:cs="Arial" w:eastAsia="Arial" w:hAnsi="Arial"/>
          <w:sz w:val="18"/>
          <w:szCs w:val="18"/>
          <w:color w:val="auto"/>
        </w:rPr>
        <w:t>Since acquiring its interest in Euro Infrastructure Co., the Company has recorded $10.8 million in retained earnings of undistributed cumulative earnings in equity interests, net of tax, as of March 31, 2020.</w:t>
      </w:r>
    </w:p>
    <w:p>
      <w:pPr>
        <w:spacing w:after="0" w:line="143" w:lineRule="exact"/>
        <w:rPr>
          <w:sz w:val="20"/>
          <w:szCs w:val="20"/>
          <w:color w:val="auto"/>
        </w:rPr>
      </w:pPr>
    </w:p>
    <w:p>
      <w:pPr>
        <w:ind w:right="100" w:firstLine="510"/>
        <w:spacing w:after="0" w:line="246" w:lineRule="auto"/>
        <w:rPr>
          <w:sz w:val="20"/>
          <w:szCs w:val="20"/>
          <w:color w:val="auto"/>
        </w:rPr>
      </w:pPr>
      <w:r>
        <w:rPr>
          <w:rFonts w:ascii="Arial" w:cs="Arial" w:eastAsia="Arial" w:hAnsi="Arial"/>
          <w:sz w:val="18"/>
          <w:szCs w:val="18"/>
          <w:color w:val="auto"/>
        </w:rPr>
        <w:t>Condensed financial information of the Company’s significant non-consolidated equity method investment in Euro Infrastructure Co. is shown below with amounts presented under GAAP: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Fiscal Years Ended</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56"/>
        </w:trPr>
        <w:tc>
          <w:tcPr>
            <w:tcW w:w="11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gridSpan w:val="2"/>
          </w:tcPr>
          <w:p>
            <w:pPr>
              <w:jc w:val="right"/>
              <w:ind w:right="33"/>
              <w:spacing w:after="0" w:line="156" w:lineRule="exact"/>
              <w:rPr>
                <w:sz w:val="20"/>
                <w:szCs w:val="20"/>
                <w:color w:val="auto"/>
              </w:rPr>
            </w:pPr>
            <w:r>
              <w:rPr>
                <w:rFonts w:ascii="Arial" w:cs="Arial" w:eastAsia="Arial" w:hAnsi="Arial"/>
                <w:sz w:val="14"/>
                <w:szCs w:val="14"/>
                <w:b w:val="1"/>
                <w:bCs w:val="1"/>
                <w:color w:val="auto"/>
              </w:rPr>
              <w:t>December 31,</w:t>
            </w:r>
          </w:p>
        </w:tc>
        <w:tc>
          <w:tcPr>
            <w:tcW w:w="140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ind w:left="120"/>
              <w:spacing w:after="0" w:line="156" w:lineRule="exact"/>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3"/>
                <w:szCs w:val="13"/>
                <w:color w:val="auto"/>
              </w:rPr>
            </w:pPr>
          </w:p>
        </w:tc>
      </w:tr>
      <w:tr>
        <w:trPr>
          <w:trHeight w:val="175"/>
        </w:trPr>
        <w:tc>
          <w:tcPr>
            <w:tcW w:w="11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9"/>
        </w:trPr>
        <w:tc>
          <w:tcPr>
            <w:tcW w:w="1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114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3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69,559</w:t>
            </w:r>
          </w:p>
        </w:tc>
        <w:tc>
          <w:tcPr>
            <w:tcW w:w="40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81,299</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70,477</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240" w:type="dxa"/>
            <w:vAlign w:val="bottom"/>
            <w:gridSpan w:val="2"/>
          </w:tcPr>
          <w:p>
            <w:pPr>
              <w:ind w:left="1140"/>
              <w:spacing w:after="0"/>
              <w:rPr>
                <w:sz w:val="20"/>
                <w:szCs w:val="20"/>
                <w:color w:val="auto"/>
              </w:rPr>
            </w:pPr>
            <w:r>
              <w:rPr>
                <w:rFonts w:ascii="Arial" w:cs="Arial" w:eastAsia="Arial" w:hAnsi="Arial"/>
                <w:sz w:val="18"/>
                <w:szCs w:val="18"/>
                <w:color w:val="auto"/>
              </w:rPr>
              <w:t>Gross profit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52,653</w:t>
            </w:r>
          </w:p>
        </w:tc>
        <w:tc>
          <w:tcPr>
            <w:tcW w:w="40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57,941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49,579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8,869</w:t>
            </w: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6,684</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40" w:type="dxa"/>
            <w:vAlign w:val="bottom"/>
            <w:gridSpan w:val="2"/>
          </w:tcPr>
          <w:p>
            <w:pPr>
              <w:ind w:left="1140"/>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8,869</w:t>
            </w:r>
          </w:p>
        </w:tc>
        <w:tc>
          <w:tcPr>
            <w:tcW w:w="40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6,684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Euro Infrastructure Co.</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4,523</w:t>
            </w: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3,409</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635"/>
        </w:trPr>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80" w:type="dxa"/>
            <w:vAlign w:val="bottom"/>
            <w:gridSpan w:val="2"/>
          </w:tcPr>
          <w:p>
            <w:pPr>
              <w:jc w:val="right"/>
              <w:ind w:right="748"/>
              <w:spacing w:after="0"/>
              <w:rPr>
                <w:sz w:val="20"/>
                <w:szCs w:val="20"/>
                <w:color w:val="auto"/>
              </w:rPr>
            </w:pPr>
            <w:r>
              <w:rPr>
                <w:rFonts w:ascii="Arial" w:cs="Arial" w:eastAsia="Arial" w:hAnsi="Arial"/>
                <w:sz w:val="18"/>
                <w:szCs w:val="18"/>
                <w:color w:val="auto"/>
              </w:rPr>
              <w:t>F-38</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2"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5"/>
                <w:szCs w:val="15"/>
                <w:color w:val="auto"/>
              </w:rPr>
            </w:pPr>
          </w:p>
        </w:tc>
      </w:tr>
      <w:tr>
        <w:trPr>
          <w:trHeight w:val="162"/>
        </w:trPr>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r>
      <w:tr>
        <w:trPr>
          <w:trHeight w:val="169"/>
        </w:trPr>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110,464</w:t>
            </w:r>
          </w:p>
        </w:tc>
        <w:tc>
          <w:tcPr>
            <w:tcW w:w="80" w:type="dxa"/>
            <w:vAlign w:val="bottom"/>
            <w:shd w:val="clear" w:color="auto" w:fill="CFF0FC"/>
          </w:tcPr>
          <w:p>
            <w:pPr>
              <w:spacing w:after="0"/>
              <w:rPr>
                <w:sz w:val="19"/>
                <w:szCs w:val="19"/>
                <w:color w:val="auto"/>
              </w:rPr>
            </w:pPr>
          </w:p>
        </w:tc>
      </w:tr>
      <w:tr>
        <w:trPr>
          <w:trHeight w:val="230"/>
        </w:trPr>
        <w:tc>
          <w:tcPr>
            <w:tcW w:w="3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15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211,619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226,194</w:t>
            </w:r>
          </w:p>
        </w:tc>
        <w:tc>
          <w:tcPr>
            <w:tcW w:w="80" w:type="dxa"/>
            <w:vAlign w:val="bottom"/>
            <w:tcBorders>
              <w:bottom w:val="single" w:sz="8" w:color="CFF0FC"/>
            </w:tcBorders>
          </w:tcPr>
          <w:p>
            <w:pPr>
              <w:spacing w:after="0"/>
              <w:rPr>
                <w:sz w:val="19"/>
                <w:szCs w:val="19"/>
                <w:color w:val="auto"/>
              </w:rPr>
            </w:pPr>
          </w:p>
        </w:tc>
      </w:tr>
      <w:tr>
        <w:trPr>
          <w:trHeight w:val="223"/>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341,547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336,658</w:t>
            </w:r>
          </w:p>
        </w:tc>
        <w:tc>
          <w:tcPr>
            <w:tcW w:w="80" w:type="dxa"/>
            <w:vAlign w:val="bottom"/>
            <w:shd w:val="clear" w:color="auto" w:fill="CFF0FC"/>
          </w:tcPr>
          <w:p>
            <w:pPr>
              <w:spacing w:after="0"/>
              <w:rPr>
                <w:sz w:val="19"/>
                <w:szCs w:val="19"/>
                <w:color w:val="auto"/>
              </w:rPr>
            </w:pPr>
          </w:p>
        </w:tc>
      </w:tr>
      <w:tr>
        <w:trPr>
          <w:trHeight w:val="20"/>
        </w:trPr>
        <w:tc>
          <w:tcPr>
            <w:tcW w:w="35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r>
        <w:trPr>
          <w:trHeight w:val="210"/>
        </w:trPr>
        <w:tc>
          <w:tcPr>
            <w:tcW w:w="3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16,335</w:t>
            </w:r>
          </w:p>
        </w:tc>
        <w:tc>
          <w:tcPr>
            <w:tcW w:w="80" w:type="dxa"/>
            <w:vAlign w:val="bottom"/>
            <w:shd w:val="clear" w:color="auto" w:fill="CFF0FC"/>
          </w:tcPr>
          <w:p>
            <w:pPr>
              <w:spacing w:after="0"/>
              <w:rPr>
                <w:sz w:val="19"/>
                <w:szCs w:val="19"/>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24,608</w:t>
            </w:r>
          </w:p>
        </w:tc>
        <w:tc>
          <w:tcPr>
            <w:tcW w:w="8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w:t>
            </w: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144,900</w:t>
            </w:r>
          </w:p>
        </w:tc>
        <w:tc>
          <w:tcPr>
            <w:tcW w:w="80" w:type="dxa"/>
            <w:vAlign w:val="bottom"/>
            <w:shd w:val="clear" w:color="auto" w:fill="CFF0FC"/>
          </w:tcPr>
          <w:p>
            <w:pPr>
              <w:spacing w:after="0"/>
              <w:rPr>
                <w:sz w:val="19"/>
                <w:szCs w:val="19"/>
                <w:color w:val="auto"/>
              </w:rPr>
            </w:pPr>
          </w:p>
        </w:tc>
      </w:tr>
      <w:tr>
        <w:trPr>
          <w:trHeight w:val="229"/>
        </w:trPr>
        <w:tc>
          <w:tcPr>
            <w:tcW w:w="3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15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295,222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295,715</w:t>
            </w:r>
          </w:p>
        </w:tc>
        <w:tc>
          <w:tcPr>
            <w:tcW w:w="80" w:type="dxa"/>
            <w:vAlign w:val="bottom"/>
            <w:tcBorders>
              <w:bottom w:val="single" w:sz="8" w:color="CFF0FC"/>
            </w:tcBorders>
          </w:tcPr>
          <w:p>
            <w:pPr>
              <w:spacing w:after="0"/>
              <w:rPr>
                <w:sz w:val="19"/>
                <w:szCs w:val="19"/>
                <w:color w:val="auto"/>
              </w:rPr>
            </w:pPr>
          </w:p>
        </w:tc>
      </w:tr>
      <w:tr>
        <w:trPr>
          <w:trHeight w:val="223"/>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341,547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336,658</w:t>
            </w:r>
          </w:p>
        </w:tc>
        <w:tc>
          <w:tcPr>
            <w:tcW w:w="80" w:type="dxa"/>
            <w:vAlign w:val="bottom"/>
            <w:shd w:val="clear" w:color="auto" w:fill="CFF0FC"/>
          </w:tcPr>
          <w:p>
            <w:pPr>
              <w:spacing w:after="0"/>
              <w:rPr>
                <w:sz w:val="19"/>
                <w:szCs w:val="19"/>
                <w:color w:val="auto"/>
              </w:rPr>
            </w:pPr>
          </w:p>
        </w:tc>
      </w:tr>
      <w:tr>
        <w:trPr>
          <w:trHeight w:val="20"/>
        </w:trPr>
        <w:tc>
          <w:tcPr>
            <w:tcW w:w="35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85" w:lineRule="exact"/>
        <w:rPr>
          <w:sz w:val="20"/>
          <w:szCs w:val="20"/>
          <w:color w:val="auto"/>
        </w:rPr>
      </w:pPr>
    </w:p>
    <w:p>
      <w:pPr>
        <w:jc w:val="both"/>
        <w:ind w:right="340" w:firstLine="510"/>
        <w:spacing w:after="0"/>
        <w:rPr>
          <w:sz w:val="20"/>
          <w:szCs w:val="20"/>
          <w:color w:val="auto"/>
        </w:rPr>
      </w:pPr>
      <w:r>
        <w:rPr>
          <w:rFonts w:ascii="Arial" w:cs="Arial" w:eastAsia="Arial" w:hAnsi="Arial"/>
          <w:sz w:val="18"/>
          <w:szCs w:val="18"/>
          <w:color w:val="auto"/>
        </w:rPr>
        <w:t>Transactions with the equity method investee are considered related-party transactions. The following tables set forth the material related-party transactions entered into between Euro Infrastructure Co. and its subsidiaries, on the one hand, and the Company and its subsidiaries, on the other hand, in the ordinary course of business for the time periods presented:</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56"/>
              <w:spacing w:after="0" w:line="156"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3"/>
                <w:szCs w:val="13"/>
                <w:color w:val="auto"/>
              </w:rPr>
            </w:pPr>
          </w:p>
        </w:tc>
        <w:tc>
          <w:tcPr>
            <w:tcW w:w="1080" w:type="dxa"/>
            <w:vAlign w:val="bottom"/>
          </w:tcPr>
          <w:p>
            <w:pPr>
              <w:jc w:val="center"/>
              <w:ind w:right="216"/>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2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4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r>
      <w:tr>
        <w:trPr>
          <w:trHeight w:val="169"/>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Revenue – Euro Infrastructure Co.</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9,993</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8,365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9,277</w:t>
            </w:r>
          </w:p>
        </w:tc>
        <w:tc>
          <w:tcPr>
            <w:tcW w:w="8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Expense – Euro Infrastructure Co.</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18,854</w:t>
            </w:r>
          </w:p>
        </w:tc>
        <w:tc>
          <w:tcPr>
            <w:tcW w:w="32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14,302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7,134</w:t>
            </w:r>
          </w:p>
        </w:tc>
        <w:tc>
          <w:tcPr>
            <w:tcW w:w="8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Cash received – Euro Infrastructure Co.</w:t>
            </w: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12,848</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11,276</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7,460</w:t>
            </w:r>
          </w:p>
        </w:tc>
        <w:tc>
          <w:tcPr>
            <w:tcW w:w="80" w:type="dxa"/>
            <w:vAlign w:val="bottom"/>
            <w:shd w:val="clear" w:color="auto" w:fill="CFF0FC"/>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Cash paid – Euro Infrastructure Co.</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13,463</w:t>
            </w:r>
          </w:p>
        </w:tc>
        <w:tc>
          <w:tcPr>
            <w:tcW w:w="320" w:type="dxa"/>
            <w:vAlign w:val="bottom"/>
          </w:tcPr>
          <w:p>
            <w:pPr>
              <w:spacing w:after="0"/>
              <w:rPr>
                <w:sz w:val="19"/>
                <w:szCs w:val="19"/>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15,191</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7,040</w:t>
            </w:r>
          </w:p>
        </w:tc>
        <w:tc>
          <w:tcPr>
            <w:tcW w:w="80" w:type="dxa"/>
            <w:vAlign w:val="bottom"/>
          </w:tcPr>
          <w:p>
            <w:pPr>
              <w:spacing w:after="0"/>
              <w:rPr>
                <w:sz w:val="19"/>
                <w:szCs w:val="19"/>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99"/>
              <w:spacing w:after="0"/>
              <w:rPr>
                <w:sz w:val="20"/>
                <w:szCs w:val="20"/>
                <w:color w:val="auto"/>
              </w:rPr>
            </w:pPr>
            <w:r>
              <w:rPr>
                <w:rFonts w:ascii="Arial" w:cs="Arial" w:eastAsia="Arial" w:hAnsi="Arial"/>
                <w:sz w:val="14"/>
                <w:szCs w:val="14"/>
                <w:b w:val="1"/>
                <w:bCs w:val="1"/>
                <w:color w:val="auto"/>
              </w:rPr>
              <w:t>As of</w:t>
            </w:r>
          </w:p>
        </w:tc>
        <w:tc>
          <w:tcPr>
            <w:tcW w:w="3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 of</w:t>
            </w:r>
          </w:p>
        </w:tc>
      </w:tr>
      <w:tr>
        <w:trPr>
          <w:trHeight w:val="175"/>
        </w:trPr>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March 31, 2020</w:t>
            </w:r>
          </w:p>
        </w:tc>
        <w:tc>
          <w:tcPr>
            <w:tcW w:w="12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4"/>
                <w:szCs w:val="14"/>
                <w:b w:val="1"/>
                <w:bCs w:val="1"/>
                <w:color w:val="auto"/>
              </w:rPr>
              <w:t>March 31, 2019</w:t>
            </w:r>
          </w:p>
        </w:tc>
        <w:tc>
          <w:tcPr>
            <w:tcW w:w="80" w:type="dxa"/>
            <w:vAlign w:val="bottom"/>
          </w:tcPr>
          <w:p>
            <w:pPr>
              <w:spacing w:after="0"/>
              <w:rPr>
                <w:sz w:val="15"/>
                <w:szCs w:val="15"/>
                <w:color w:val="auto"/>
              </w:rPr>
            </w:pPr>
          </w:p>
        </w:tc>
      </w:tr>
      <w:tr>
        <w:trPr>
          <w:trHeight w:val="169"/>
        </w:trPr>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tcPr>
          <w:p>
            <w:pPr>
              <w:ind w:left="460"/>
              <w:spacing w:after="0"/>
              <w:rPr>
                <w:sz w:val="20"/>
                <w:szCs w:val="20"/>
                <w:color w:val="auto"/>
              </w:rPr>
            </w:pPr>
            <w:r>
              <w:rPr>
                <w:rFonts w:ascii="Arial" w:cs="Arial" w:eastAsia="Arial" w:hAnsi="Arial"/>
                <w:sz w:val="14"/>
                <w:szCs w:val="14"/>
                <w:b w:val="1"/>
                <w:bCs w:val="1"/>
                <w:color w:val="auto"/>
              </w:rPr>
              <w:t>(In thousands)</w:t>
            </w:r>
          </w:p>
        </w:tc>
      </w:tr>
      <w:tr>
        <w:trPr>
          <w:trHeight w:val="215"/>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Collections in excess of revenues and deferred</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36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revenues – Euro Infrastructure Co.</w:t>
            </w:r>
          </w:p>
        </w:tc>
        <w:tc>
          <w:tcPr>
            <w:tcW w:w="240" w:type="dxa"/>
            <w:vAlign w:val="bottom"/>
            <w:shd w:val="clear" w:color="auto" w:fill="CFF0FC"/>
          </w:tcPr>
          <w:p>
            <w:pPr>
              <w:jc w:val="right"/>
              <w:ind w:right="59"/>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19"/>
              <w:spacing w:after="0" w:line="203" w:lineRule="exact"/>
              <w:rPr>
                <w:sz w:val="20"/>
                <w:szCs w:val="20"/>
                <w:color w:val="auto"/>
              </w:rPr>
            </w:pPr>
            <w:r>
              <w:rPr>
                <w:rFonts w:ascii="Arial" w:cs="Arial" w:eastAsia="Arial" w:hAnsi="Arial"/>
                <w:sz w:val="18"/>
                <w:szCs w:val="18"/>
                <w:color w:val="auto"/>
              </w:rPr>
              <w:t>5,832</w:t>
            </w:r>
          </w:p>
        </w:tc>
        <w:tc>
          <w:tcPr>
            <w:tcW w:w="340" w:type="dxa"/>
            <w:vAlign w:val="bottom"/>
            <w:shd w:val="clear" w:color="auto" w:fill="CFF0FC"/>
          </w:tcPr>
          <w:p>
            <w:pPr>
              <w:jc w:val="right"/>
              <w:ind w:right="59"/>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4,703</w:t>
            </w:r>
          </w:p>
        </w:tc>
        <w:tc>
          <w:tcPr>
            <w:tcW w:w="80" w:type="dxa"/>
            <w:vAlign w:val="bottom"/>
            <w:shd w:val="clear" w:color="auto" w:fill="CFF0FC"/>
          </w:tcPr>
          <w:p>
            <w:pPr>
              <w:spacing w:after="0"/>
              <w:rPr>
                <w:sz w:val="17"/>
                <w:szCs w:val="17"/>
                <w:color w:val="auto"/>
              </w:rPr>
            </w:pPr>
          </w:p>
        </w:tc>
      </w:tr>
      <w:tr>
        <w:trPr>
          <w:trHeight w:val="230"/>
        </w:trPr>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980" w:type="dxa"/>
            <w:vAlign w:val="bottom"/>
            <w:gridSpan w:val="2"/>
          </w:tcPr>
          <w:p>
            <w:pPr>
              <w:ind w:left="620"/>
              <w:spacing w:after="0"/>
              <w:rPr>
                <w:sz w:val="20"/>
                <w:szCs w:val="20"/>
                <w:color w:val="auto"/>
              </w:rPr>
            </w:pPr>
            <w:r>
              <w:rPr>
                <w:rFonts w:ascii="Arial" w:cs="Arial" w:eastAsia="Arial" w:hAnsi="Arial"/>
                <w:sz w:val="18"/>
                <w:szCs w:val="18"/>
                <w:color w:val="auto"/>
              </w:rPr>
              <w:t>Accounts payable - Euro Infrastructure Co.</w:t>
            </w:r>
          </w:p>
        </w:tc>
        <w:tc>
          <w:tcPr>
            <w:tcW w:w="2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5,446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121"/>
        </w:trPr>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98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64"/>
        </w:trPr>
        <w:tc>
          <w:tcPr>
            <w:tcW w:w="300" w:type="dxa"/>
            <w:vAlign w:val="bottom"/>
          </w:tcPr>
          <w:p>
            <w:pPr>
              <w:jc w:val="right"/>
              <w:ind w:right="130"/>
              <w:spacing w:after="0"/>
              <w:rPr>
                <w:sz w:val="20"/>
                <w:szCs w:val="20"/>
                <w:color w:val="auto"/>
              </w:rPr>
            </w:pPr>
            <w:r>
              <w:rPr>
                <w:rFonts w:ascii="Arial" w:cs="Arial" w:eastAsia="Arial" w:hAnsi="Arial"/>
                <w:sz w:val="18"/>
                <w:szCs w:val="18"/>
                <w:color w:val="auto"/>
                <w:w w:val="84"/>
              </w:rPr>
              <w:t>*</w:t>
            </w:r>
          </w:p>
        </w:tc>
        <w:tc>
          <w:tcPr>
            <w:tcW w:w="6760" w:type="dxa"/>
            <w:vAlign w:val="bottom"/>
            <w:gridSpan w:val="3"/>
          </w:tcPr>
          <w:p>
            <w:pPr>
              <w:ind w:left="200"/>
              <w:spacing w:after="0"/>
              <w:rPr>
                <w:sz w:val="20"/>
                <w:szCs w:val="20"/>
                <w:color w:val="auto"/>
              </w:rPr>
            </w:pPr>
            <w:r>
              <w:rPr>
                <w:rFonts w:ascii="Arial" w:cs="Arial" w:eastAsia="Arial" w:hAnsi="Arial"/>
                <w:sz w:val="18"/>
                <w:szCs w:val="18"/>
                <w:color w:val="auto"/>
              </w:rPr>
              <w:t>Amount was insignificant.</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Benefits</w:t>
      </w:r>
    </w:p>
    <w:p>
      <w:pPr>
        <w:spacing w:after="0" w:line="85"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Company is a sponsor of a voluntary deferred compensation plan under Section 401(k) of the Internal Revenue Code. Under the plan, the Company may make discretionary contributions to the plan which vest over three years. The Company’s discretionary matching contributions to the plan are based on the amount of employee contributions and can be made in cash or the Company’s common stock at the Company’s election. Subsequent to the 2020 fiscal year end, the Company elected to settle the discretionary contributions liability in shares of the Company’s common stock, consistent with fiscal year 2019. Based on the closing price of the Company’s common stock at the 2020 fiscal year end, the Company would issue approximately 708,104 shares of common stock at this time. Discretionary contributions accrued by the Company as of March 31, 2020 and 2019 amounted to $25.4 million and $22.9 million, respectively.</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w:t>
      </w:r>
    </w:p>
    <w:p>
      <w:pPr>
        <w:spacing w:after="0" w:line="99" w:lineRule="exact"/>
        <w:rPr>
          <w:sz w:val="20"/>
          <w:szCs w:val="20"/>
          <w:color w:val="auto"/>
        </w:rPr>
      </w:pPr>
    </w:p>
    <w:p>
      <w:pPr>
        <w:ind w:right="20" w:firstLine="510"/>
        <w:spacing w:after="0" w:line="234" w:lineRule="auto"/>
        <w:rPr>
          <w:sz w:val="20"/>
          <w:szCs w:val="20"/>
          <w:color w:val="auto"/>
        </w:rPr>
      </w:pPr>
      <w:r>
        <w:rPr>
          <w:rFonts w:ascii="Arial" w:cs="Arial" w:eastAsia="Arial" w:hAnsi="Arial"/>
          <w:sz w:val="18"/>
          <w:szCs w:val="18"/>
          <w:color w:val="auto"/>
        </w:rPr>
        <w:t>In January 2008, the Company entered into several agreements with Space Systems/Loral, Inc. (SS/L), its former parent company Loral Space &amp; Communications, Inc. (Loral) and Telesat Canada related to the Company’s ViaSat-1 satellite, which was placed into service in January 2012. In May 2013, the Company entered into an agreement to purchase the ViaSat-2 satellite from The Boeing Company (Boeing), which satellite was placed into service during the fourth quarter of fiscal year 2018. The Company’s contracts with SS/L and Boeing require the Company to make monthly in-orbit satellite performance incentive payments, including interest through approximately fiscal year 2028, subject to the continued satisfactory performance of the satellites. The Company records the net present value of these expected future payments as a liability and as a component of the cost of the satellites. As of March 31, 2020, the Company’s estimated satellite performance incentive obligations and accrued interest for the ViaSat-1 and ViaSat-2 satellites were approximately $ 27.4 million, of which $3.1 million and $24.3 million have been classified as current in accrued liabilities and non-current in other liabilities, respectively. Under the satellite construction contracts with SS/L and Boeing, the Company may incur up to $34.3 million in total costs for satellite performance incentive obligations and related interest earned through approximately fiscal year 2028 with potential future minimum payments of</w:t>
      </w:r>
    </w:p>
    <w:p>
      <w:pPr>
        <w:spacing w:after="0" w:line="8"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$2.8 million, $4.5 million, $5.0 million, $5.3 million and $5.2 million in fiscal years 2021, 2022, 2023, 2024 and 2025, respectively, with $11.5 million in commitments thereafter.</w:t>
      </w:r>
    </w:p>
    <w:p>
      <w:pPr>
        <w:spacing w:after="0" w:line="183"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In July 2016, the Company entered into two separate agreements with Boeing for the construction and purchase of the Company’s first two ViaSat-3 class satellites and the integration of Viasat’s payload technologies into the satellites. In July 2019, the Company entered into an agreement with Boeing for the construction and purchase of a third ViaSat-3 class satellite and the integration of Viasat’s payload technologies into the satellite.</w:t>
      </w:r>
    </w:p>
    <w:p>
      <w:pPr>
        <w:spacing w:after="0" w:line="191" w:lineRule="exact"/>
        <w:rPr>
          <w:sz w:val="20"/>
          <w:szCs w:val="20"/>
          <w:color w:val="auto"/>
        </w:rPr>
      </w:pPr>
    </w:p>
    <w:p>
      <w:pPr>
        <w:ind w:right="420" w:firstLine="510"/>
        <w:spacing w:after="0" w:line="238" w:lineRule="auto"/>
        <w:rPr>
          <w:sz w:val="20"/>
          <w:szCs w:val="20"/>
          <w:color w:val="auto"/>
        </w:rPr>
      </w:pPr>
      <w:r>
        <w:rPr>
          <w:rFonts w:ascii="Arial" w:cs="Arial" w:eastAsia="Arial" w:hAnsi="Arial"/>
          <w:sz w:val="18"/>
          <w:szCs w:val="18"/>
          <w:color w:val="auto"/>
        </w:rPr>
        <w:t>In addition to the satellite construction agreements described above, the Company also enters into various other satellite-related purchase commitments, including with respect to the provision of launch services, operation of its satellites and satellite insurance. As of March 31, 2020, future minimum payments under the Company’s satellite construction contracts and other satellite-related purchase commitments for the next five fiscal years and thereafter were as follows:</w:t>
      </w:r>
    </w:p>
    <w:p>
      <w:pPr>
        <w:spacing w:after="0" w:line="193"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Fiscal Years Ending</w:t>
            </w:r>
          </w:p>
        </w:tc>
        <w:tc>
          <w:tcPr>
            <w:tcW w:w="208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1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06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320,079</w:t>
            </w:r>
          </w:p>
        </w:tc>
        <w:tc>
          <w:tcPr>
            <w:tcW w:w="6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2022</w:t>
            </w:r>
          </w:p>
        </w:tc>
        <w:tc>
          <w:tcPr>
            <w:tcW w:w="20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269,528</w:t>
            </w:r>
          </w:p>
        </w:tc>
        <w:tc>
          <w:tcPr>
            <w:tcW w:w="6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108,705</w:t>
            </w:r>
          </w:p>
        </w:tc>
        <w:tc>
          <w:tcPr>
            <w:tcW w:w="6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2024</w:t>
            </w:r>
          </w:p>
        </w:tc>
        <w:tc>
          <w:tcPr>
            <w:tcW w:w="20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20,334</w:t>
            </w:r>
          </w:p>
        </w:tc>
        <w:tc>
          <w:tcPr>
            <w:tcW w:w="6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w:t>
            </w:r>
          </w:p>
        </w:tc>
        <w:tc>
          <w:tcPr>
            <w:tcW w:w="60" w:type="dxa"/>
            <w:vAlign w:val="bottom"/>
            <w:shd w:val="clear" w:color="auto" w:fill="CFF0FC"/>
          </w:tcPr>
          <w:p>
            <w:pPr>
              <w:spacing w:after="0"/>
              <w:rPr>
                <w:sz w:val="18"/>
                <w:szCs w:val="18"/>
                <w:color w:val="auto"/>
              </w:rPr>
            </w:pPr>
          </w:p>
        </w:tc>
      </w:tr>
      <w:tr>
        <w:trPr>
          <w:trHeight w:val="216"/>
        </w:trPr>
        <w:tc>
          <w:tcPr>
            <w:tcW w:w="3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0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11,905</w:t>
            </w:r>
          </w:p>
        </w:tc>
        <w:tc>
          <w:tcPr>
            <w:tcW w:w="60" w:type="dxa"/>
            <w:vAlign w:val="bottom"/>
            <w:tcBorders>
              <w:bottom w:val="single" w:sz="8" w:color="CFF0FC"/>
            </w:tcBorders>
          </w:tcPr>
          <w:p>
            <w:pPr>
              <w:spacing w:after="0"/>
              <w:rPr>
                <w:sz w:val="18"/>
                <w:szCs w:val="18"/>
                <w:color w:val="auto"/>
              </w:rPr>
            </w:pPr>
          </w:p>
        </w:tc>
      </w:tr>
      <w:tr>
        <w:trPr>
          <w:trHeight w:val="210"/>
        </w:trPr>
        <w:tc>
          <w:tcPr>
            <w:tcW w:w="136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732,795</w:t>
            </w:r>
          </w:p>
        </w:tc>
        <w:tc>
          <w:tcPr>
            <w:tcW w:w="60" w:type="dxa"/>
            <w:vAlign w:val="bottom"/>
            <w:shd w:val="clear" w:color="auto" w:fill="CFF0FC"/>
          </w:tcPr>
          <w:p>
            <w:pPr>
              <w:spacing w:after="0"/>
              <w:rPr>
                <w:sz w:val="18"/>
                <w:szCs w:val="18"/>
                <w:color w:val="auto"/>
              </w:rPr>
            </w:pPr>
          </w:p>
        </w:tc>
      </w:tr>
      <w:tr>
        <w:trPr>
          <w:trHeight w:val="20"/>
        </w:trPr>
        <w:tc>
          <w:tcPr>
            <w:tcW w:w="136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tcBorders>
          </w:tcPr>
          <w:p>
            <w:pPr>
              <w:spacing w:after="0" w:line="20" w:lineRule="exact"/>
              <w:rPr>
                <w:sz w:val="1"/>
                <w:szCs w:val="1"/>
                <w:color w:val="auto"/>
              </w:rPr>
            </w:pPr>
          </w:p>
        </w:tc>
        <w:tc>
          <w:tcPr>
            <w:tcW w:w="20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80" w:firstLine="510"/>
        <w:spacing w:after="0" w:line="238" w:lineRule="auto"/>
        <w:rPr>
          <w:sz w:val="20"/>
          <w:szCs w:val="20"/>
          <w:color w:val="auto"/>
        </w:rPr>
      </w:pPr>
      <w:r>
        <w:rPr>
          <w:rFonts w:ascii="Arial" w:cs="Arial" w:eastAsia="Arial" w:hAnsi="Arial"/>
          <w:sz w:val="18"/>
          <w:szCs w:val="18"/>
          <w:color w:val="auto"/>
        </w:rPr>
        <w:t>The Company has various other purchase commitments under satellite capacity agreements which are used to provide satellite networking services to its customers for future minimum payments of approximately $87.6 million, $47.1 million, $31.0 million, $2.4 million and an insignificant amount in fiscal years 2021, 2022, 2023, 2024 and 2025, respectively, and an insignificant amount of further minimum payments thereafter.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Contingencies</w:t>
      </w:r>
    </w:p>
    <w:p>
      <w:pPr>
        <w:spacing w:after="0" w:line="85"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years 2019 or 2020. As of March 31, 2020, the DCAA had completed its incurred cost audit for fiscal years 2004 and 2016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2020 and 2019, the Company had $7.8 million and $4.9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Product Warranty</w:t>
      </w:r>
    </w:p>
    <w:p>
      <w:pPr>
        <w:spacing w:after="0" w:line="8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in fiscal years 2020, 2019 and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31, 2018</w:t>
            </w:r>
          </w:p>
        </w:tc>
      </w:tr>
      <w:tr>
        <w:trPr>
          <w:trHeight w:val="169"/>
        </w:trPr>
        <w:tc>
          <w:tcPr>
            <w:tcW w:w="5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11,058</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260"/>
              <w:spacing w:after="0"/>
              <w:rPr>
                <w:sz w:val="20"/>
                <w:szCs w:val="20"/>
                <w:color w:val="auto"/>
              </w:rPr>
            </w:pPr>
            <w:r>
              <w:rPr>
                <w:rFonts w:ascii="Arial" w:cs="Arial" w:eastAsia="Arial" w:hAnsi="Arial"/>
                <w:sz w:val="18"/>
                <w:szCs w:val="18"/>
                <w:color w:val="auto"/>
              </w:rPr>
              <w:t>Change in liability for warranties issued in period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5,080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Settlements made (in cash or in kind) during the period</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(5,048)</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(4,410)</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(5,041)</w:t>
            </w:r>
          </w:p>
        </w:tc>
      </w:tr>
      <w:tr>
        <w:trPr>
          <w:trHeight w:val="20"/>
        </w:trPr>
        <w:tc>
          <w:tcPr>
            <w:tcW w:w="5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rPr>
              <w:t>Balance, end of period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11,643</w:t>
            </w: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7,584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6,914</w:t>
            </w:r>
          </w:p>
        </w:tc>
        <w:tc>
          <w:tcPr>
            <w:tcW w:w="10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85"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residential customers, Community Internet hotspot users, enterprises, commercial airlines and other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fiscal years ended March 31, 2020, 2019 and 2018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60"/>
              <w:spacing w:after="0"/>
              <w:rPr>
                <w:sz w:val="20"/>
                <w:szCs w:val="20"/>
                <w:color w:val="auto"/>
              </w:rPr>
            </w:pPr>
            <w:r>
              <w:rPr>
                <w:rFonts w:ascii="Arial" w:cs="Arial" w:eastAsia="Arial" w:hAnsi="Arial"/>
                <w:sz w:val="18"/>
                <w:szCs w:val="18"/>
                <w:color w:val="auto"/>
              </w:rPr>
              <w:t>Satellite services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826,583</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684,205</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588,623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826,583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684,205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589,287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60"/>
              <w:spacing w:after="0"/>
              <w:rPr>
                <w:sz w:val="20"/>
                <w:szCs w:val="20"/>
                <w:color w:val="auto"/>
              </w:rPr>
            </w:pPr>
            <w:r>
              <w:rPr>
                <w:rFonts w:ascii="Arial" w:cs="Arial" w:eastAsia="Arial" w:hAnsi="Arial"/>
                <w:sz w:val="18"/>
                <w:szCs w:val="18"/>
                <w:color w:val="auto"/>
              </w:rPr>
              <w:t>Commercial networks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289,959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383,547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44,857</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428,404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60"/>
              <w:spacing w:after="0"/>
              <w:rPr>
                <w:sz w:val="20"/>
                <w:szCs w:val="20"/>
                <w:color w:val="auto"/>
              </w:rPr>
            </w:pPr>
            <w:r>
              <w:rPr>
                <w:rFonts w:ascii="Arial" w:cs="Arial" w:eastAsia="Arial" w:hAnsi="Arial"/>
                <w:sz w:val="18"/>
                <w:szCs w:val="18"/>
                <w:color w:val="auto"/>
              </w:rPr>
              <w:t>Government systems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882,582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709,144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556,849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255,516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246,505</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215,268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1,138,098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955,649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Elimination of intersegment revenues</w:t>
            </w:r>
          </w:p>
        </w:tc>
        <w:tc>
          <w:tcPr>
            <w:tcW w:w="1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2,309,238</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2,068,258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1,594,625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Operating profits (losses):</w:t>
            </w:r>
          </w:p>
        </w:tc>
        <w:tc>
          <w:tcPr>
            <w:tcW w:w="1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Satellite services</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7,015</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(64,321)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60"/>
              <w:spacing w:after="0"/>
              <w:rPr>
                <w:sz w:val="20"/>
                <w:szCs w:val="20"/>
                <w:color w:val="auto"/>
              </w:rPr>
            </w:pPr>
            <w:r>
              <w:rPr>
                <w:rFonts w:ascii="Arial" w:cs="Arial" w:eastAsia="Arial" w:hAnsi="Arial"/>
                <w:sz w:val="18"/>
                <w:szCs w:val="18"/>
                <w:color w:val="auto"/>
              </w:rPr>
              <w:t>Commercial networks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(186,877)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(166,613)</w:t>
            </w: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(229,105)</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systems</w:t>
            </w: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225,894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179,969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60"/>
              <w:spacing w:after="0"/>
              <w:rPr>
                <w:sz w:val="20"/>
                <w:szCs w:val="20"/>
                <w:color w:val="auto"/>
              </w:rPr>
            </w:pPr>
            <w:r>
              <w:rPr>
                <w:rFonts w:ascii="Arial" w:cs="Arial" w:eastAsia="Arial" w:hAnsi="Arial"/>
                <w:sz w:val="18"/>
                <w:szCs w:val="18"/>
                <w:color w:val="auto"/>
              </w:rPr>
              <w:t>Elimination of intersegment operating profits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profit (loss) before corporate and</w:t>
            </w:r>
          </w:p>
        </w:tc>
        <w:tc>
          <w:tcPr>
            <w:tcW w:w="1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amortization of acquired intangible assets</w:t>
            </w: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46,032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(50,965)</w:t>
            </w: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(79,956)</w:t>
            </w:r>
          </w:p>
        </w:tc>
        <w:tc>
          <w:tcPr>
            <w:tcW w:w="0" w:type="dxa"/>
            <w:vAlign w:val="bottom"/>
          </w:tcPr>
          <w:p>
            <w:pPr>
              <w:spacing w:after="0"/>
              <w:rPr>
                <w:sz w:val="1"/>
                <w:szCs w:val="1"/>
                <w:color w:val="auto"/>
              </w:rPr>
            </w:pPr>
          </w:p>
        </w:tc>
      </w:tr>
      <w:tr>
        <w:trPr>
          <w:trHeight w:val="216"/>
        </w:trPr>
        <w:tc>
          <w:tcPr>
            <w:tcW w:w="54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(7,611)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(9,655)</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(12,231)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38,421</w:t>
            </w:r>
          </w:p>
        </w:tc>
        <w:tc>
          <w:tcPr>
            <w:tcW w:w="1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(60,620)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(92,187)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510"/>
        <w:spacing w:after="0" w:line="238"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March 31, 2020 and 2019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57"/>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of</w:t>
            </w:r>
          </w:p>
        </w:tc>
        <w:tc>
          <w:tcPr>
            <w:tcW w:w="112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March 31,</w:t>
            </w:r>
          </w:p>
        </w:tc>
        <w:tc>
          <w:tcPr>
            <w:tcW w:w="1120" w:type="dxa"/>
            <w:vAlign w:val="bottom"/>
          </w:tcPr>
          <w:p>
            <w:pPr>
              <w:spacing w:after="0"/>
              <w:rPr>
                <w:sz w:val="14"/>
                <w:szCs w:val="14"/>
                <w:color w:val="auto"/>
              </w:rPr>
            </w:pPr>
          </w:p>
        </w:tc>
      </w:tr>
      <w:tr>
        <w:trPr>
          <w:trHeight w:val="175"/>
        </w:trPr>
        <w:tc>
          <w:tcPr>
            <w:tcW w:w="1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0"/>
        </w:trPr>
        <w:tc>
          <w:tcPr>
            <w:tcW w:w="1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2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60" w:type="dxa"/>
            <w:vAlign w:val="bottom"/>
          </w:tcPr>
          <w:p>
            <w:pPr>
              <w:ind w:left="480"/>
              <w:spacing w:after="0"/>
              <w:rPr>
                <w:sz w:val="20"/>
                <w:szCs w:val="20"/>
                <w:color w:val="auto"/>
              </w:rPr>
            </w:pPr>
            <w:r>
              <w:rPr>
                <w:rFonts w:ascii="Arial" w:cs="Arial" w:eastAsia="Arial" w:hAnsi="Arial"/>
                <w:sz w:val="18"/>
                <w:szCs w:val="18"/>
                <w:color w:val="auto"/>
              </w:rPr>
              <w:t>Satellite services</w:t>
            </w:r>
          </w:p>
        </w:tc>
        <w:tc>
          <w:tcPr>
            <w:tcW w:w="3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86,252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85,907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networks</w:t>
            </w:r>
          </w:p>
        </w:tc>
        <w:tc>
          <w:tcPr>
            <w:tcW w:w="2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183,200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Government systems</w:t>
            </w:r>
          </w:p>
        </w:tc>
        <w:tc>
          <w:tcPr>
            <w:tcW w:w="28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484,237</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408,422</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segment assets</w:t>
            </w:r>
          </w:p>
        </w:tc>
        <w:tc>
          <w:tcPr>
            <w:tcW w:w="2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758,758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677,529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Corporate assets</w:t>
            </w:r>
          </w:p>
        </w:tc>
        <w:tc>
          <w:tcPr>
            <w:tcW w:w="28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4,125,110</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3,237,758</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3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4,883,868</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3,915,287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260" w:type="dxa"/>
            <w:vAlign w:val="bottom"/>
            <w:tcBorders>
              <w:top w:val="single" w:sz="8" w:color="CFF0FC"/>
            </w:tcBorders>
          </w:tcPr>
          <w:p>
            <w:pPr>
              <w:spacing w:after="0" w:line="20" w:lineRule="exact"/>
              <w:rPr>
                <w:sz w:val="1"/>
                <w:szCs w:val="1"/>
                <w:color w:val="auto"/>
              </w:rPr>
            </w:pPr>
          </w:p>
        </w:tc>
        <w:tc>
          <w:tcPr>
            <w:tcW w:w="28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80" w:type="dxa"/>
            <w:vAlign w:val="bottom"/>
            <w:gridSpan w:val="2"/>
          </w:tcPr>
          <w:p>
            <w:pPr>
              <w:jc w:val="right"/>
              <w:ind w:right="1680"/>
              <w:spacing w:after="0"/>
              <w:rPr>
                <w:sz w:val="20"/>
                <w:szCs w:val="20"/>
                <w:color w:val="auto"/>
              </w:rPr>
            </w:pPr>
            <w:r>
              <w:rPr>
                <w:rFonts w:ascii="Arial" w:cs="Arial" w:eastAsia="Arial" w:hAnsi="Arial"/>
                <w:sz w:val="18"/>
                <w:szCs w:val="18"/>
                <w:color w:val="auto"/>
              </w:rPr>
              <w:t>F-42</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jc w:val="center"/>
        <w:ind w:right="-37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acquired intangible assets, net and goodwill included in segment assets as of March 31, 2020 and 2019 were as follows: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Other Acquired Intangible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Assets, Net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778"/>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5"/>
                <w:szCs w:val="15"/>
                <w:color w:val="auto"/>
              </w:rPr>
            </w:pPr>
          </w:p>
        </w:tc>
      </w:tr>
      <w:tr>
        <w:trPr>
          <w:trHeight w:val="156"/>
        </w:trPr>
        <w:tc>
          <w:tcPr>
            <w:tcW w:w="34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3"/>
                <w:szCs w:val="13"/>
                <w:color w:val="auto"/>
              </w:rPr>
            </w:pPr>
          </w:p>
        </w:tc>
        <w:tc>
          <w:tcPr>
            <w:tcW w:w="900" w:type="dxa"/>
            <w:vAlign w:val="bottom"/>
          </w:tcPr>
          <w:p>
            <w:pPr>
              <w:jc w:val="center"/>
              <w:ind w:right="59"/>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As of</w:t>
            </w:r>
          </w:p>
        </w:tc>
      </w:tr>
      <w:tr>
        <w:trPr>
          <w:trHeight w:val="162"/>
        </w:trPr>
        <w:tc>
          <w:tcPr>
            <w:tcW w:w="3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3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69"/>
        </w:trPr>
        <w:tc>
          <w:tcPr>
            <w:tcW w:w="3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10,453</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13,617</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Commercial networks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43,933</w:t>
            </w:r>
          </w:p>
        </w:tc>
        <w:tc>
          <w:tcPr>
            <w:tcW w:w="100" w:type="dxa"/>
            <w:vAlign w:val="bottom"/>
          </w:tcPr>
          <w:p>
            <w:pPr>
              <w:spacing w:after="0"/>
              <w:rPr>
                <w:sz w:val="18"/>
                <w:szCs w:val="18"/>
                <w:color w:val="auto"/>
              </w:rPr>
            </w:pPr>
          </w:p>
        </w:tc>
      </w:tr>
      <w:tr>
        <w:trPr>
          <w:trHeight w:val="216"/>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7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6,814</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10,050</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63,727</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64,169</w:t>
            </w:r>
          </w:p>
        </w:tc>
        <w:tc>
          <w:tcPr>
            <w:tcW w:w="100" w:type="dxa"/>
            <w:vAlign w:val="bottom"/>
            <w:shd w:val="clear" w:color="auto" w:fill="CFF0FC"/>
          </w:tcPr>
          <w:p>
            <w:pPr>
              <w:spacing w:after="0"/>
              <w:rPr>
                <w:sz w:val="18"/>
                <w:szCs w:val="18"/>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14,439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22,301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121,197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121,719</w:t>
            </w:r>
          </w:p>
        </w:tc>
        <w:tc>
          <w:tcPr>
            <w:tcW w:w="10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of acquired intangible assets by segment for the fiscal years ended March 31, 2020, 2019 and 2018 was as follows: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36"/>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02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4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r>
      <w:tr>
        <w:trPr>
          <w:trHeight w:val="223"/>
        </w:trPr>
        <w:tc>
          <w:tcPr>
            <w:tcW w:w="4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7,622</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Commercial networks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1,563</w:t>
            </w:r>
          </w:p>
        </w:tc>
        <w:tc>
          <w:tcPr>
            <w:tcW w:w="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7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3,175</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3,256</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w:t>
            </w:r>
          </w:p>
        </w:tc>
        <w:tc>
          <w:tcPr>
            <w:tcW w:w="80" w:type="dxa"/>
            <w:vAlign w:val="bottom"/>
            <w:shd w:val="clear" w:color="auto" w:fill="CFF0FC"/>
          </w:tcPr>
          <w:p>
            <w:pPr>
              <w:spacing w:after="0"/>
              <w:rPr>
                <w:sz w:val="18"/>
                <w:szCs w:val="18"/>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9,655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12,231</w:t>
            </w:r>
          </w:p>
        </w:tc>
        <w:tc>
          <w:tcPr>
            <w:tcW w:w="8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by geographic area for the fiscal years ended March 31, 2020, 2019 and 2018 was as follows: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Fiscal Years Ended</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37"/>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4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r>
      <w:tr>
        <w:trPr>
          <w:trHeight w:val="169"/>
        </w:trPr>
        <w:tc>
          <w:tcPr>
            <w:tcW w:w="4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2,057,458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1,836,304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1,403,473</w:t>
            </w:r>
          </w:p>
        </w:tc>
        <w:tc>
          <w:tcPr>
            <w:tcW w:w="80" w:type="dxa"/>
            <w:vAlign w:val="bottom"/>
            <w:shd w:val="clear" w:color="auto" w:fill="CFF0FC"/>
          </w:tcPr>
          <w:p>
            <w:pPr>
              <w:spacing w:after="0"/>
              <w:rPr>
                <w:sz w:val="18"/>
                <w:szCs w:val="18"/>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Non U.S. customers (each country individually</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460" w:type="dxa"/>
            <w:vAlign w:val="bottom"/>
            <w:tcBorders>
              <w:bottom w:val="single" w:sz="8" w:color="CFF0FC"/>
            </w:tcBorders>
          </w:tcPr>
          <w:p>
            <w:pPr>
              <w:ind w:left="140"/>
              <w:spacing w:after="0" w:line="203" w:lineRule="exact"/>
              <w:rPr>
                <w:sz w:val="20"/>
                <w:szCs w:val="20"/>
                <w:color w:val="auto"/>
              </w:rPr>
            </w:pPr>
            <w:r>
              <w:rPr>
                <w:rFonts w:ascii="Arial" w:cs="Arial" w:eastAsia="Arial" w:hAnsi="Arial"/>
                <w:sz w:val="18"/>
                <w:szCs w:val="18"/>
                <w:color w:val="auto"/>
              </w:rPr>
              <w:t>insignificant)</w:t>
            </w:r>
          </w:p>
        </w:tc>
        <w:tc>
          <w:tcPr>
            <w:tcW w:w="8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251,780</w:t>
            </w:r>
          </w:p>
        </w:tc>
        <w:tc>
          <w:tcPr>
            <w:tcW w:w="2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231,954</w:t>
            </w:r>
          </w:p>
        </w:tc>
        <w:tc>
          <w:tcPr>
            <w:tcW w:w="14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191,152</w:t>
            </w:r>
          </w:p>
        </w:tc>
        <w:tc>
          <w:tcPr>
            <w:tcW w:w="80" w:type="dxa"/>
            <w:vAlign w:val="bottom"/>
            <w:tcBorders>
              <w:bottom w:val="single" w:sz="8" w:color="CFF0FC"/>
            </w:tcBorders>
          </w:tcPr>
          <w:p>
            <w:pPr>
              <w:spacing w:after="0"/>
              <w:rPr>
                <w:sz w:val="17"/>
                <w:szCs w:val="17"/>
                <w:color w:val="auto"/>
              </w:rPr>
            </w:pPr>
          </w:p>
        </w:tc>
      </w:tr>
      <w:tr>
        <w:trPr>
          <w:trHeight w:val="20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2,309,238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2,068,258</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1,594,625</w:t>
            </w:r>
          </w:p>
        </w:tc>
        <w:tc>
          <w:tcPr>
            <w:tcW w:w="80" w:type="dxa"/>
            <w:vAlign w:val="bottom"/>
            <w:shd w:val="clear" w:color="auto" w:fill="CFF0FC"/>
          </w:tcPr>
          <w:p>
            <w:pPr>
              <w:spacing w:after="0"/>
              <w:rPr>
                <w:sz w:val="18"/>
                <w:szCs w:val="18"/>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58"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The net book value of long-lived assets located outside the United States was $64.7 million at March 31, 2020 and $70.4 million at March 31, 2019.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18" w:right="6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SCHEDULE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Fiscal Years Ended March 31,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Allowance for</w:t>
            </w:r>
          </w:p>
        </w:tc>
      </w:tr>
      <w:tr>
        <w:trPr>
          <w:trHeight w:val="175"/>
        </w:trPr>
        <w:tc>
          <w:tcPr>
            <w:tcW w:w="9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Doubtful Accounts</w:t>
            </w:r>
          </w:p>
        </w:tc>
        <w:tc>
          <w:tcPr>
            <w:tcW w:w="100" w:type="dxa"/>
            <w:vAlign w:val="bottom"/>
          </w:tcPr>
          <w:p>
            <w:pPr>
              <w:spacing w:after="0"/>
              <w:rPr>
                <w:sz w:val="15"/>
                <w:szCs w:val="15"/>
                <w:color w:val="auto"/>
              </w:rPr>
            </w:pPr>
          </w:p>
        </w:tc>
      </w:tr>
      <w:tr>
        <w:trPr>
          <w:trHeight w:val="169"/>
        </w:trPr>
        <w:tc>
          <w:tcPr>
            <w:tcW w:w="9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Balance, March 31, 2017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8,357</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(7,800)</w:t>
            </w:r>
          </w:p>
        </w:tc>
      </w:tr>
      <w:tr>
        <w:trPr>
          <w:trHeight w:val="209"/>
        </w:trPr>
        <w:tc>
          <w:tcPr>
            <w:tcW w:w="9240" w:type="dxa"/>
            <w:vAlign w:val="bottom"/>
          </w:tcPr>
          <w:p>
            <w:pPr>
              <w:spacing w:after="0"/>
              <w:rPr>
                <w:sz w:val="20"/>
                <w:szCs w:val="20"/>
                <w:color w:val="auto"/>
              </w:rPr>
            </w:pPr>
            <w:r>
              <w:rPr>
                <w:rFonts w:ascii="Arial" w:cs="Arial" w:eastAsia="Arial" w:hAnsi="Arial"/>
                <w:sz w:val="18"/>
                <w:szCs w:val="18"/>
                <w:color w:val="auto"/>
              </w:rPr>
              <w:t>Balance, March 31, 2018</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7,462</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(7,777)</w:t>
            </w:r>
          </w:p>
        </w:tc>
      </w:tr>
      <w:tr>
        <w:trPr>
          <w:trHeight w:val="210"/>
        </w:trPr>
        <w:tc>
          <w:tcPr>
            <w:tcW w:w="9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2019</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9240" w:type="dxa"/>
            <w:vAlign w:val="bottom"/>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13,709</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(10,027)</w:t>
            </w:r>
          </w:p>
        </w:tc>
      </w:tr>
      <w:tr>
        <w:trPr>
          <w:trHeight w:val="210"/>
        </w:trPr>
        <w:tc>
          <w:tcPr>
            <w:tcW w:w="9240" w:type="dxa"/>
            <w:vAlign w:val="bottom"/>
          </w:tcPr>
          <w:p>
            <w:pPr>
              <w:spacing w:after="0"/>
              <w:rPr>
                <w:sz w:val="20"/>
                <w:szCs w:val="20"/>
                <w:color w:val="auto"/>
              </w:rPr>
            </w:pPr>
            <w:r>
              <w:rPr>
                <w:rFonts w:ascii="Arial" w:cs="Arial" w:eastAsia="Arial" w:hAnsi="Arial"/>
                <w:sz w:val="18"/>
                <w:szCs w:val="18"/>
                <w:color w:val="auto"/>
              </w:rPr>
              <w:t>Balance, March 31, 2020</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5,394</w:t>
            </w:r>
          </w:p>
        </w:tc>
        <w:tc>
          <w:tcPr>
            <w:tcW w:w="100" w:type="dxa"/>
            <w:vAlign w:val="bottom"/>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9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Deferred Tax</w:t>
            </w:r>
          </w:p>
        </w:tc>
      </w:tr>
      <w:tr>
        <w:trPr>
          <w:trHeight w:val="162"/>
        </w:trPr>
        <w:tc>
          <w:tcPr>
            <w:tcW w:w="9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 Valuation</w:t>
            </w:r>
          </w:p>
        </w:tc>
      </w:tr>
      <w:tr>
        <w:trPr>
          <w:trHeight w:val="175"/>
        </w:trPr>
        <w:tc>
          <w:tcPr>
            <w:tcW w:w="9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5"/>
                <w:szCs w:val="15"/>
                <w:color w:val="auto"/>
              </w:rPr>
            </w:pPr>
          </w:p>
        </w:tc>
      </w:tr>
      <w:tr>
        <w:trPr>
          <w:trHeight w:val="169"/>
        </w:trPr>
        <w:tc>
          <w:tcPr>
            <w:tcW w:w="9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Balance, March 31, 2017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17,728</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11,321</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9240" w:type="dxa"/>
            <w:vAlign w:val="bottom"/>
          </w:tcPr>
          <w:p>
            <w:pPr>
              <w:spacing w:after="0"/>
              <w:rPr>
                <w:sz w:val="20"/>
                <w:szCs w:val="20"/>
                <w:color w:val="auto"/>
              </w:rPr>
            </w:pPr>
            <w:r>
              <w:rPr>
                <w:rFonts w:ascii="Arial" w:cs="Arial" w:eastAsia="Arial" w:hAnsi="Arial"/>
                <w:sz w:val="18"/>
                <w:szCs w:val="18"/>
                <w:color w:val="auto"/>
              </w:rPr>
              <w:t>Balance, March 31, 2018</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29,049</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9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2019</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9240" w:type="dxa"/>
            <w:vAlign w:val="bottom"/>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9,122</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9240" w:type="dxa"/>
            <w:vAlign w:val="bottom"/>
          </w:tcPr>
          <w:p>
            <w:pPr>
              <w:spacing w:after="0"/>
              <w:rPr>
                <w:sz w:val="20"/>
                <w:szCs w:val="20"/>
                <w:color w:val="auto"/>
              </w:rPr>
            </w:pPr>
            <w:r>
              <w:rPr>
                <w:rFonts w:ascii="Arial" w:cs="Arial" w:eastAsia="Arial" w:hAnsi="Arial"/>
                <w:sz w:val="18"/>
                <w:szCs w:val="18"/>
                <w:color w:val="auto"/>
              </w:rPr>
              <w:t>Balance, March 31, 2020</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42,621</w:t>
            </w:r>
          </w:p>
        </w:tc>
        <w:tc>
          <w:tcPr>
            <w:tcW w:w="100" w:type="dxa"/>
            <w:vAlign w:val="bottom"/>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333"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4.6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94"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i w:val="1"/>
          <w:iCs w:val="1"/>
          <w:color w:val="auto"/>
        </w:rPr>
        <w:t>Viasat, Inc. (Viasat, we, our or us) has one class of securities registered pursuant to Section 12 of the Securities Exchange Act of 1934, as amended: our common stock.</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right="20" w:firstLine="589"/>
        <w:spacing w:after="0" w:line="238" w:lineRule="auto"/>
        <w:rPr>
          <w:sz w:val="20"/>
          <w:szCs w:val="20"/>
          <w:color w:val="auto"/>
        </w:rPr>
      </w:pPr>
      <w:r>
        <w:rPr>
          <w:rFonts w:ascii="Arial" w:cs="Arial" w:eastAsia="Arial" w:hAnsi="Arial"/>
          <w:sz w:val="18"/>
          <w:szCs w:val="18"/>
          <w:color w:val="auto"/>
        </w:rPr>
        <w:t>The following summary of the terms of our common stock is based upon our certificate of incorporation and bylaws. The summary is not complete, and is qualified in its entirety by reference to our certificate of incorporation and bylaws, which are filed as exhibits to this Annual Report on Form 10-K and are incorporated by reference herein. We encourage you to read our certificate of incorporation, our bylaws and the applicable provisions of the Delaware General Corporation Law for additional information.</w:t>
      </w:r>
    </w:p>
    <w:p>
      <w:pPr>
        <w:spacing w:after="0" w:line="205" w:lineRule="exact"/>
        <w:rPr>
          <w:sz w:val="20"/>
          <w:szCs w:val="20"/>
          <w:color w:val="auto"/>
        </w:rPr>
      </w:pPr>
    </w:p>
    <w:p>
      <w:pPr>
        <w:ind w:right="40" w:firstLine="589"/>
        <w:spacing w:after="0"/>
        <w:rPr>
          <w:sz w:val="20"/>
          <w:szCs w:val="20"/>
          <w:color w:val="auto"/>
        </w:rPr>
      </w:pPr>
      <w:r>
        <w:rPr>
          <w:rFonts w:ascii="Arial" w:cs="Arial" w:eastAsia="Arial" w:hAnsi="Arial"/>
          <w:sz w:val="18"/>
          <w:szCs w:val="18"/>
          <w:color w:val="auto"/>
        </w:rPr>
        <w:t>Under our certificate of incorporation, the total number of shares of all classes of stock that we have authority to issue is 105,000,000, consisting of 5,000,000 shares of preferred stock, par value $0.0001 per share, and 100,000,000 shares of common stock, par value $0.0001 per share.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22" w:lineRule="exact"/>
        <w:rPr>
          <w:sz w:val="20"/>
          <w:szCs w:val="20"/>
          <w:color w:val="auto"/>
        </w:rPr>
      </w:pPr>
    </w:p>
    <w:p>
      <w:pPr>
        <w:jc w:val="both"/>
        <w:ind w:right="160" w:firstLine="589"/>
        <w:spacing w:after="0"/>
        <w:rPr>
          <w:sz w:val="20"/>
          <w:szCs w:val="20"/>
          <w:color w:val="auto"/>
        </w:rPr>
      </w:pPr>
      <w:r>
        <w:rPr>
          <w:rFonts w:ascii="Arial" w:cs="Arial" w:eastAsia="Arial" w:hAnsi="Arial"/>
          <w:sz w:val="18"/>
          <w:szCs w:val="18"/>
          <w:color w:val="auto"/>
        </w:rPr>
        <w:t>The holders of our common stock are entitled to one vote for each share on all matters voted on by stockholders. The holders of our common stock do not have cumulative voting rights, which means that holders of more than one-half of the shares voting for the election of directors can elect all of the directors then being elected.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22" w:lineRule="exact"/>
        <w:rPr>
          <w:sz w:val="20"/>
          <w:szCs w:val="20"/>
          <w:color w:val="auto"/>
        </w:rPr>
      </w:pPr>
    </w:p>
    <w:p>
      <w:pPr>
        <w:ind w:right="260" w:firstLine="589"/>
        <w:spacing w:after="0" w:line="246" w:lineRule="auto"/>
        <w:rPr>
          <w:sz w:val="20"/>
          <w:szCs w:val="20"/>
          <w:color w:val="auto"/>
        </w:rPr>
      </w:pPr>
      <w:r>
        <w:rPr>
          <w:rFonts w:ascii="Arial" w:cs="Arial" w:eastAsia="Arial" w:hAnsi="Arial"/>
          <w:sz w:val="18"/>
          <w:szCs w:val="18"/>
          <w:color w:val="auto"/>
        </w:rPr>
        <w:t>Subject to the preferences of any of our outstanding preferred stock, the holders of our common stock are entitled to a proportional distribution of any dividends that may be declared by the board of directors.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22" w:lineRule="exact"/>
        <w:rPr>
          <w:sz w:val="20"/>
          <w:szCs w:val="20"/>
          <w:color w:val="auto"/>
        </w:rPr>
      </w:pPr>
    </w:p>
    <w:p>
      <w:pPr>
        <w:ind w:right="680" w:firstLine="589"/>
        <w:spacing w:after="0" w:line="246" w:lineRule="auto"/>
        <w:rPr>
          <w:sz w:val="20"/>
          <w:szCs w:val="20"/>
          <w:color w:val="auto"/>
        </w:rPr>
      </w:pPr>
      <w:r>
        <w:rPr>
          <w:rFonts w:ascii="Arial" w:cs="Arial" w:eastAsia="Arial" w:hAnsi="Arial"/>
          <w:sz w:val="18"/>
          <w:szCs w:val="18"/>
          <w:color w:val="auto"/>
        </w:rPr>
        <w:t>In the event of a liquidation or dissolution of Viasat, the holders of our common stock are entitled to share equally in all assets remaining after payment of liabilities and any payments due to holders of any outstanding shares of our preferred stock.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Fully Paid and Nonassessable</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outstanding shares of our common stock are fully paid and nonassessable.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 Rights and Preferences</w:t>
      </w:r>
    </w:p>
    <w:p>
      <w:pPr>
        <w:spacing w:after="0" w:line="122" w:lineRule="exact"/>
        <w:rPr>
          <w:sz w:val="20"/>
          <w:szCs w:val="20"/>
          <w:color w:val="auto"/>
        </w:rPr>
      </w:pPr>
    </w:p>
    <w:p>
      <w:pPr>
        <w:ind w:right="40" w:firstLine="589"/>
        <w:spacing w:after="0"/>
        <w:rPr>
          <w:sz w:val="20"/>
          <w:szCs w:val="20"/>
          <w:color w:val="auto"/>
        </w:rPr>
      </w:pPr>
      <w:r>
        <w:rPr>
          <w:rFonts w:ascii="Arial" w:cs="Arial" w:eastAsia="Arial" w:hAnsi="Arial"/>
          <w:sz w:val="18"/>
          <w:szCs w:val="18"/>
          <w:color w:val="auto"/>
        </w:rPr>
        <w:t>Holders of our common stock have no redemption or conversion rights, no sinking fund provisions and no preemptive right to subscribe for or purchase additional shares of any class of our capital stock. The rights, preferences and privileges of holders of our common stock are subject to, and may be adversely affected by, the rights of the holders of shares of any of our outstanding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i w:val="1"/>
          <w:iCs w:val="1"/>
          <w:color w:val="auto"/>
        </w:rPr>
        <w:t>Delaware Anti-Takeover Provisions</w:t>
      </w:r>
    </w:p>
    <w:p>
      <w:pPr>
        <w:spacing w:after="0" w:line="122" w:lineRule="exact"/>
        <w:rPr>
          <w:sz w:val="20"/>
          <w:szCs w:val="20"/>
          <w:color w:val="auto"/>
        </w:rPr>
      </w:pPr>
    </w:p>
    <w:p>
      <w:pPr>
        <w:ind w:right="300" w:firstLine="589"/>
        <w:spacing w:after="0"/>
        <w:rPr>
          <w:sz w:val="20"/>
          <w:szCs w:val="20"/>
          <w:color w:val="auto"/>
        </w:rPr>
      </w:pPr>
      <w:r>
        <w:rPr>
          <w:rFonts w:ascii="Arial" w:cs="Arial" w:eastAsia="Arial" w:hAnsi="Arial"/>
          <w:sz w:val="18"/>
          <w:szCs w:val="18"/>
          <w:color w:val="auto"/>
        </w:rPr>
        <w:t>We are subject to the provisions of Section 203 of the General Corporation Law of the State of Delaware (the DGCL). Under Section 203, we would generally be prohibited from engaging in any business combination with any interested stockholder for a period of three years following the time that the stockholder became an interested stockholder unless:</w:t>
      </w:r>
    </w:p>
    <w:p>
      <w:pPr>
        <w:spacing w:after="0" w:line="189" w:lineRule="exact"/>
        <w:rPr>
          <w:sz w:val="20"/>
          <w:szCs w:val="20"/>
          <w:color w:val="auto"/>
        </w:rPr>
      </w:pPr>
    </w:p>
    <w:p>
      <w:pPr>
        <w:ind w:left="880" w:right="600" w:hanging="319"/>
        <w:spacing w:after="0" w:line="24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prior to this time, the board of directors of the corporation approved either the business combination or the transaction that resulted in the stockholder becoming an interested stockholder;</w:t>
      </w:r>
    </w:p>
    <w:p>
      <w:pPr>
        <w:spacing w:after="0" w:line="183" w:lineRule="exact"/>
        <w:rPr>
          <w:rFonts w:ascii="Arial" w:cs="Arial" w:eastAsia="Arial" w:hAnsi="Arial"/>
          <w:sz w:val="18"/>
          <w:szCs w:val="18"/>
          <w:color w:val="auto"/>
        </w:rPr>
      </w:pPr>
    </w:p>
    <w:p>
      <w:pPr>
        <w:ind w:left="880" w:right="40" w:hanging="319"/>
        <w:spacing w:after="0" w:line="237"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(a) by persons who are directors and also officers and (b) by employee stock plans in which employee participants do not have the right to determine confidentially whether shares held subject to the plan will be tendered in a tender or exchange offer; or</w:t>
      </w:r>
    </w:p>
    <w:p>
      <w:pPr>
        <w:spacing w:after="0" w:line="191" w:lineRule="exact"/>
        <w:rPr>
          <w:rFonts w:ascii="Arial" w:cs="Arial" w:eastAsia="Arial" w:hAnsi="Arial"/>
          <w:sz w:val="18"/>
          <w:szCs w:val="18"/>
          <w:color w:val="auto"/>
        </w:rPr>
      </w:pPr>
    </w:p>
    <w:p>
      <w:pPr>
        <w:ind w:left="880" w:right="180" w:hanging="319"/>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Under Section 203, a “business combination” includes:</w:t>
      </w:r>
    </w:p>
    <w:p>
      <w:pPr>
        <w:spacing w:after="0" w:line="198" w:lineRule="exact"/>
        <w:rPr>
          <w:sz w:val="20"/>
          <w:szCs w:val="20"/>
          <w:color w:val="auto"/>
        </w:rPr>
      </w:pPr>
    </w:p>
    <w:p>
      <w:pPr>
        <w:ind w:left="880" w:hanging="319"/>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98" w:lineRule="exact"/>
        <w:rPr>
          <w:rFonts w:ascii="Arial" w:cs="Arial" w:eastAsia="Arial" w:hAnsi="Arial"/>
          <w:sz w:val="18"/>
          <w:szCs w:val="18"/>
          <w:color w:val="auto"/>
        </w:rPr>
      </w:pPr>
    </w:p>
    <w:p>
      <w:pPr>
        <w:ind w:left="880" w:hanging="319"/>
        <w:spacing w:after="0"/>
        <w:tabs>
          <w:tab w:leader="none" w:pos="8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09" w:lineRule="exact"/>
        <w:rPr>
          <w:rFonts w:ascii="Arial" w:cs="Arial" w:eastAsia="Arial" w:hAnsi="Arial"/>
          <w:sz w:val="17"/>
          <w:szCs w:val="17"/>
          <w:color w:val="auto"/>
        </w:rPr>
      </w:pPr>
    </w:p>
    <w:p>
      <w:pPr>
        <w:ind w:left="880" w:right="740" w:hanging="319"/>
        <w:spacing w:after="0" w:line="24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corporation of any stock of the corporation to the interested stockholder, subject to limited exceptions;</w:t>
      </w:r>
    </w:p>
    <w:p>
      <w:pPr>
        <w:spacing w:after="0" w:line="183" w:lineRule="exact"/>
        <w:rPr>
          <w:rFonts w:ascii="Arial" w:cs="Arial" w:eastAsia="Arial" w:hAnsi="Arial"/>
          <w:sz w:val="18"/>
          <w:szCs w:val="18"/>
          <w:color w:val="auto"/>
        </w:rPr>
      </w:pPr>
    </w:p>
    <w:p>
      <w:pPr>
        <w:ind w:left="880" w:right="440" w:hanging="319"/>
        <w:spacing w:after="0" w:line="24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83" w:lineRule="exact"/>
        <w:rPr>
          <w:rFonts w:ascii="Arial" w:cs="Arial" w:eastAsia="Arial" w:hAnsi="Arial"/>
          <w:sz w:val="18"/>
          <w:szCs w:val="18"/>
          <w:color w:val="auto"/>
        </w:rPr>
      </w:pPr>
    </w:p>
    <w:p>
      <w:pPr>
        <w:ind w:left="880" w:right="340" w:hanging="319"/>
        <w:spacing w:after="0" w:line="24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97" w:lineRule="exact"/>
        <w:rPr>
          <w:sz w:val="20"/>
          <w:szCs w:val="20"/>
          <w:color w:val="auto"/>
        </w:rPr>
      </w:pPr>
    </w:p>
    <w:p>
      <w:pPr>
        <w:ind w:right="140" w:firstLine="589"/>
        <w:spacing w:after="0" w:line="246"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Incorporation and Bylaw Provisions</w:t>
      </w:r>
    </w:p>
    <w:p>
      <w:pPr>
        <w:spacing w:after="0" w:line="23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Some provisions of Viasat’s certificate of incorporation and bylaws could also have anti-takeover effects. These provisions:</w:t>
      </w:r>
    </w:p>
    <w:p>
      <w:pPr>
        <w:spacing w:after="0" w:line="198" w:lineRule="exact"/>
        <w:rPr>
          <w:sz w:val="20"/>
          <w:szCs w:val="20"/>
          <w:color w:val="auto"/>
        </w:rPr>
      </w:pPr>
    </w:p>
    <w:p>
      <w:pPr>
        <w:ind w:left="880" w:hanging="319"/>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 the board of directors to increase its own size and fill the resulting vacancies;</w:t>
      </w:r>
    </w:p>
    <w:p>
      <w:pPr>
        <w:spacing w:after="0" w:line="198" w:lineRule="exact"/>
        <w:rPr>
          <w:rFonts w:ascii="Arial" w:cs="Arial" w:eastAsia="Arial" w:hAnsi="Arial"/>
          <w:sz w:val="18"/>
          <w:szCs w:val="18"/>
          <w:color w:val="auto"/>
        </w:rPr>
      </w:pPr>
    </w:p>
    <w:p>
      <w:pPr>
        <w:ind w:left="880" w:hanging="319"/>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for a board comprised of three classes of directors with each class serving a staggered three-year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74" w:right="399" w:bottom="1440" w:gutter="0" w:footer="0" w:header="0"/>
        </w:sectPr>
      </w:pPr>
    </w:p>
    <w:bookmarkStart w:id="119" w:name="page120"/>
    <w:bookmarkEnd w:id="119"/>
    <w:p>
      <w:pPr>
        <w:ind w:left="880" w:hanging="319"/>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the issuance of preferred stock in one or more series;</w:t>
      </w:r>
    </w:p>
    <w:p>
      <w:pPr>
        <w:spacing w:after="0" w:line="198" w:lineRule="exact"/>
        <w:rPr>
          <w:rFonts w:ascii="Arial" w:cs="Arial" w:eastAsia="Arial" w:hAnsi="Arial"/>
          <w:sz w:val="18"/>
          <w:szCs w:val="18"/>
          <w:color w:val="auto"/>
        </w:rPr>
      </w:pPr>
    </w:p>
    <w:p>
      <w:pPr>
        <w:ind w:left="880" w:hanging="319"/>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98" w:lineRule="exact"/>
        <w:rPr>
          <w:rFonts w:ascii="Arial" w:cs="Arial" w:eastAsia="Arial" w:hAnsi="Arial"/>
          <w:sz w:val="18"/>
          <w:szCs w:val="18"/>
          <w:color w:val="auto"/>
        </w:rPr>
      </w:pPr>
    </w:p>
    <w:p>
      <w:pPr>
        <w:ind w:left="880" w:right="500" w:hanging="319"/>
        <w:spacing w:after="0" w:line="24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special meetings of stockholders may be called only by the board of directors, its chairman, the president or the secretary of Viasat; and</w:t>
      </w:r>
    </w:p>
    <w:p>
      <w:pPr>
        <w:spacing w:after="0" w:line="183" w:lineRule="exact"/>
        <w:rPr>
          <w:rFonts w:ascii="Arial" w:cs="Arial" w:eastAsia="Arial" w:hAnsi="Arial"/>
          <w:sz w:val="18"/>
          <w:szCs w:val="18"/>
          <w:color w:val="auto"/>
        </w:rPr>
      </w:pPr>
    </w:p>
    <w:p>
      <w:pPr>
        <w:ind w:left="880" w:right="60" w:hanging="319"/>
        <w:spacing w:after="0" w:line="24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the affirmative vote of not less than 66 2/3% of the total voting power of all outstanding securities of Viasat then entitled to vote generally in the election of directors, voting together as a single class, to amend Viasat’s bylaws.</w:t>
      </w:r>
    </w:p>
    <w:p>
      <w:pPr>
        <w:spacing w:after="0" w:line="197" w:lineRule="exact"/>
        <w:rPr>
          <w:sz w:val="20"/>
          <w:szCs w:val="20"/>
          <w:color w:val="auto"/>
        </w:rPr>
      </w:pPr>
    </w:p>
    <w:p>
      <w:pPr>
        <w:ind w:right="80" w:firstLine="589"/>
        <w:spacing w:after="0" w:line="234" w:lineRule="auto"/>
        <w:rPr>
          <w:sz w:val="20"/>
          <w:szCs w:val="20"/>
          <w:color w:val="auto"/>
        </w:rPr>
      </w:pPr>
      <w:r>
        <w:rPr>
          <w:rFonts w:ascii="Arial" w:cs="Arial" w:eastAsia="Arial" w:hAnsi="Arial"/>
          <w:sz w:val="18"/>
          <w:szCs w:val="18"/>
          <w:color w:val="auto"/>
        </w:rPr>
        <w:t>These provisions are intended to enhance the likelihood of continuity and stability in the composition of the policies formulated by the board of directors. In addition, these provisions are intended to ensure that the board of directors will have sufficient time to act in what it believes to be in the best interests of Viasat and its stockholders. These provisions also are designed to reduce our vulnerability to an unsolicited proposal for a takeover of Viasat that does not contemplate the acquisition of all of our outstanding shares or an unsolicited proposal for the restructuring or sale of all or part of Viasat. The provisions are also intended to discourage some tactics that may be used in proxy fights.</w:t>
      </w:r>
    </w:p>
    <w:p>
      <w:pPr>
        <w:spacing w:after="0" w:line="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Classified Board of Directors</w:t>
      </w:r>
    </w:p>
    <w:p>
      <w:pPr>
        <w:spacing w:after="0" w:line="212" w:lineRule="exact"/>
        <w:rPr>
          <w:sz w:val="20"/>
          <w:szCs w:val="20"/>
          <w:color w:val="auto"/>
        </w:rPr>
      </w:pPr>
    </w:p>
    <w:p>
      <w:pPr>
        <w:ind w:right="40" w:firstLine="589"/>
        <w:spacing w:after="0" w:line="237" w:lineRule="auto"/>
        <w:rPr>
          <w:sz w:val="20"/>
          <w:szCs w:val="20"/>
          <w:color w:val="auto"/>
        </w:rPr>
      </w:pPr>
      <w:r>
        <w:rPr>
          <w:rFonts w:ascii="Arial" w:cs="Arial" w:eastAsia="Arial" w:hAnsi="Arial"/>
          <w:sz w:val="18"/>
          <w:szCs w:val="18"/>
          <w:color w:val="auto"/>
        </w:rPr>
        <w:t>The certificate of incorporation provides for the board of directors to be divided into three classes of directors, with each class as nearly equal in number as possible, serving staggered three-year terms. As a result, approximately one-third of the board of directors will be elected each year. The classified board provision will help to assure the continuity and stability of the board of directors and the business strategies and policies of Viasat as determined by the board of directors. The classified board provision could have the effect of discouraging a third party from making a tender offer or attempting to obtain control of Viasat. In addition, the classified board provision could delay stockholders who do not agree with the policies of the board of directors from removing a majority of the board of directors for two years.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No Stockholder Action by Written Consent; Special Meetings</w:t>
      </w:r>
    </w:p>
    <w:p>
      <w:pPr>
        <w:spacing w:after="0" w:line="230"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The certificate of incorporation provides that stockholder action can only be taken at an annual or special meeting of stockholders and prohibits stockholder action by written consent in lieu of a meeting.</w:t>
      </w:r>
    </w:p>
    <w:p>
      <w:pPr>
        <w:spacing w:after="0" w:line="197" w:lineRule="exact"/>
        <w:rPr>
          <w:sz w:val="20"/>
          <w:szCs w:val="20"/>
          <w:color w:val="auto"/>
        </w:rPr>
      </w:pPr>
    </w:p>
    <w:p>
      <w:pPr>
        <w:ind w:right="140" w:firstLine="589"/>
        <w:spacing w:after="0"/>
        <w:rPr>
          <w:sz w:val="20"/>
          <w:szCs w:val="20"/>
          <w:color w:val="auto"/>
        </w:rPr>
      </w:pPr>
      <w:r>
        <w:rPr>
          <w:rFonts w:ascii="Arial" w:cs="Arial" w:eastAsia="Arial" w:hAnsi="Arial"/>
          <w:sz w:val="18"/>
          <w:szCs w:val="18"/>
          <w:color w:val="auto"/>
        </w:rPr>
        <w:t>The certificate of incorporation also provides that special meetings of stockholders may be called only by the board of directors, its chairman, the president or the secretary of Viasat. Stockholders are not permitted to call a special meeting of stockholders or to require that the board of directors call a special meeting.</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Number of Directors; Removal; Filling Vacancies</w:t>
      </w:r>
    </w:p>
    <w:p>
      <w:pPr>
        <w:spacing w:after="0" w:line="230" w:lineRule="exact"/>
        <w:rPr>
          <w:sz w:val="20"/>
          <w:szCs w:val="20"/>
          <w:color w:val="auto"/>
        </w:rPr>
      </w:pPr>
    </w:p>
    <w:p>
      <w:pPr>
        <w:ind w:right="180" w:firstLine="589"/>
        <w:spacing w:after="0" w:line="236" w:lineRule="auto"/>
        <w:rPr>
          <w:sz w:val="20"/>
          <w:szCs w:val="20"/>
          <w:color w:val="auto"/>
        </w:rPr>
      </w:pPr>
      <w:r>
        <w:rPr>
          <w:rFonts w:ascii="Arial" w:cs="Arial" w:eastAsia="Arial" w:hAnsi="Arial"/>
          <w:sz w:val="18"/>
          <w:szCs w:val="18"/>
          <w:color w:val="auto"/>
        </w:rPr>
        <w:t>The certificate of incorporation provides that the board of directors will consist of between four and eleven members, the exact number to be fixed by resolution adopted by affirmative vote of a majority of the board of directors. Further, the certificate of incorporation authorizes the board of directors to fill newly created directorships. Accordingly, this provision could prevent a stockholder from obtaining majority representation on the board of directors by permitting the board of directors to enlarge the size of the board and fill the new directorships with its own nominees. A director so elected by the board of directors holds office until the next election of the class for which the director has been chosen and until his or her successor is elected and qualified. The certificate of incorporation also provides that directors may be removed only for cause and only by the affirmative vote of holders of a majority of the total voting power of all outstanding securities. The effect of these provisions is to preclude a stockholder from removing incumbent directors without cause and simultaneously gaining control of the board of directors by filling the vacancies created by the removal with its own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20" w:name="page121"/>
    <w:bookmarkEnd w:id="120"/>
    <w:p>
      <w:pPr>
        <w:ind w:left="600"/>
        <w:spacing w:after="0"/>
        <w:rPr>
          <w:sz w:val="20"/>
          <w:szCs w:val="20"/>
          <w:color w:val="auto"/>
        </w:rPr>
      </w:pPr>
      <w:r>
        <w:rPr>
          <w:rFonts w:ascii="Arial" w:cs="Arial" w:eastAsia="Arial" w:hAnsi="Arial"/>
          <w:sz w:val="18"/>
          <w:szCs w:val="18"/>
          <w:i w:val="1"/>
          <w:iCs w:val="1"/>
          <w:color w:val="auto"/>
        </w:rPr>
        <w:t>Preferred Stock</w:t>
      </w:r>
    </w:p>
    <w:p>
      <w:pPr>
        <w:spacing w:after="0" w:line="122" w:lineRule="exact"/>
        <w:rPr>
          <w:sz w:val="20"/>
          <w:szCs w:val="20"/>
          <w:color w:val="auto"/>
        </w:rPr>
      </w:pPr>
    </w:p>
    <w:p>
      <w:pPr>
        <w:ind w:right="100" w:firstLine="589"/>
        <w:spacing w:after="0" w:line="238" w:lineRule="auto"/>
        <w:rPr>
          <w:sz w:val="20"/>
          <w:szCs w:val="20"/>
          <w:color w:val="auto"/>
        </w:rPr>
      </w:pPr>
      <w:r>
        <w:rPr>
          <w:rFonts w:ascii="Arial" w:cs="Arial" w:eastAsia="Arial" w:hAnsi="Arial"/>
          <w:sz w:val="18"/>
          <w:szCs w:val="18"/>
          <w:color w:val="auto"/>
        </w:rPr>
        <w:t>Under our certificate of incorporation, our board of directors is authorized to issue shares of our preferred stock from time to time, in one or more classes or series, without stockholder approval. Prior to the issuance of shares of each series, the board of directors is required by the DGCL and our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the following:</w:t>
      </w:r>
    </w:p>
    <w:p>
      <w:pPr>
        <w:spacing w:after="0" w:line="189" w:lineRule="exact"/>
        <w:rPr>
          <w:sz w:val="20"/>
          <w:szCs w:val="20"/>
          <w:color w:val="auto"/>
        </w:rPr>
      </w:pPr>
    </w:p>
    <w:p>
      <w:pPr>
        <w:ind w:left="880" w:hanging="31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of shares constituting each class or series;</w:t>
      </w:r>
    </w:p>
    <w:p>
      <w:pPr>
        <w:spacing w:after="0" w:line="198" w:lineRule="exact"/>
        <w:rPr>
          <w:rFonts w:ascii="Arial" w:cs="Arial" w:eastAsia="Arial" w:hAnsi="Arial"/>
          <w:sz w:val="18"/>
          <w:szCs w:val="18"/>
          <w:color w:val="auto"/>
        </w:rPr>
      </w:pPr>
    </w:p>
    <w:p>
      <w:pPr>
        <w:ind w:left="880" w:hanging="31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198" w:lineRule="exact"/>
        <w:rPr>
          <w:rFonts w:ascii="Arial" w:cs="Arial" w:eastAsia="Arial" w:hAnsi="Arial"/>
          <w:sz w:val="18"/>
          <w:szCs w:val="18"/>
          <w:color w:val="auto"/>
        </w:rPr>
      </w:pPr>
    </w:p>
    <w:p>
      <w:pPr>
        <w:ind w:left="880" w:hanging="31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rights and terms of redemption, including sinking fund provisions;</w:t>
      </w:r>
    </w:p>
    <w:p>
      <w:pPr>
        <w:spacing w:after="0" w:line="198" w:lineRule="exact"/>
        <w:rPr>
          <w:rFonts w:ascii="Arial" w:cs="Arial" w:eastAsia="Arial" w:hAnsi="Arial"/>
          <w:sz w:val="18"/>
          <w:szCs w:val="18"/>
          <w:color w:val="auto"/>
        </w:rPr>
      </w:pPr>
    </w:p>
    <w:p>
      <w:pPr>
        <w:ind w:left="880" w:hanging="31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dividend rights and rates;</w:t>
      </w:r>
    </w:p>
    <w:p>
      <w:pPr>
        <w:spacing w:after="0" w:line="198" w:lineRule="exact"/>
        <w:rPr>
          <w:rFonts w:ascii="Arial" w:cs="Arial" w:eastAsia="Arial" w:hAnsi="Arial"/>
          <w:sz w:val="18"/>
          <w:szCs w:val="18"/>
          <w:color w:val="auto"/>
        </w:rPr>
      </w:pPr>
    </w:p>
    <w:p>
      <w:pPr>
        <w:ind w:left="880" w:hanging="31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dissolution;</w:t>
      </w:r>
    </w:p>
    <w:p>
      <w:pPr>
        <w:spacing w:after="0" w:line="198" w:lineRule="exact"/>
        <w:rPr>
          <w:rFonts w:ascii="Arial" w:cs="Arial" w:eastAsia="Arial" w:hAnsi="Arial"/>
          <w:sz w:val="18"/>
          <w:szCs w:val="18"/>
          <w:color w:val="auto"/>
        </w:rPr>
      </w:pPr>
    </w:p>
    <w:p>
      <w:pPr>
        <w:ind w:left="880" w:hanging="31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terms concerning the distribution of assets;</w:t>
      </w:r>
    </w:p>
    <w:p>
      <w:pPr>
        <w:spacing w:after="0" w:line="198" w:lineRule="exact"/>
        <w:rPr>
          <w:rFonts w:ascii="Arial" w:cs="Arial" w:eastAsia="Arial" w:hAnsi="Arial"/>
          <w:sz w:val="18"/>
          <w:szCs w:val="18"/>
          <w:color w:val="auto"/>
        </w:rPr>
      </w:pPr>
    </w:p>
    <w:p>
      <w:pPr>
        <w:ind w:left="880" w:hanging="31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conversion or exchange terms;</w:t>
      </w:r>
    </w:p>
    <w:p>
      <w:pPr>
        <w:spacing w:after="0" w:line="198" w:lineRule="exact"/>
        <w:rPr>
          <w:rFonts w:ascii="Arial" w:cs="Arial" w:eastAsia="Arial" w:hAnsi="Arial"/>
          <w:sz w:val="18"/>
          <w:szCs w:val="18"/>
          <w:color w:val="auto"/>
        </w:rPr>
      </w:pPr>
    </w:p>
    <w:p>
      <w:pPr>
        <w:ind w:left="880" w:hanging="31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redemption prices; and</w:t>
      </w:r>
    </w:p>
    <w:p>
      <w:pPr>
        <w:spacing w:after="0" w:line="198" w:lineRule="exact"/>
        <w:rPr>
          <w:rFonts w:ascii="Arial" w:cs="Arial" w:eastAsia="Arial" w:hAnsi="Arial"/>
          <w:sz w:val="18"/>
          <w:szCs w:val="18"/>
          <w:color w:val="auto"/>
        </w:rPr>
      </w:pPr>
    </w:p>
    <w:p>
      <w:pPr>
        <w:ind w:left="880" w:hanging="31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liquidation preferences.</w:t>
      </w:r>
    </w:p>
    <w:p>
      <w:pPr>
        <w:spacing w:after="0" w:line="212" w:lineRule="exact"/>
        <w:rPr>
          <w:sz w:val="20"/>
          <w:szCs w:val="20"/>
          <w:color w:val="auto"/>
        </w:rPr>
      </w:pPr>
    </w:p>
    <w:p>
      <w:pPr>
        <w:ind w:firstLine="589"/>
        <w:spacing w:after="0" w:line="238" w:lineRule="auto"/>
        <w:rPr>
          <w:sz w:val="20"/>
          <w:szCs w:val="20"/>
          <w:color w:val="auto"/>
        </w:rPr>
      </w:pPr>
      <w:r>
        <w:rPr>
          <w:rFonts w:ascii="Arial" w:cs="Arial" w:eastAsia="Arial" w:hAnsi="Arial"/>
          <w:sz w:val="18"/>
          <w:szCs w:val="18"/>
          <w:color w:val="auto"/>
        </w:rPr>
        <w:t>All shares of preferred stock will, when issued, be fully paid and nonassessable and will not have any preemptive or similar rights. Our board of directors could authorize the issuance of shares of preferred stock with terms and conditions that could have the effect of discouraging a takeover or other transaction that might involve a premium price for holders of the shares or that holders might believe to be in their best interests.</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we specify otherwise, the preferred stock will rank, relating to dividends and upon our liquidation, dissolution or winding up:</w:t>
      </w:r>
    </w:p>
    <w:p>
      <w:pPr>
        <w:spacing w:after="0" w:line="198" w:lineRule="exact"/>
        <w:rPr>
          <w:sz w:val="20"/>
          <w:szCs w:val="20"/>
          <w:color w:val="auto"/>
        </w:rPr>
      </w:pPr>
    </w:p>
    <w:p>
      <w:pPr>
        <w:ind w:left="880" w:hanging="31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senior to all classes or series of our common stock and to all of our equity securities ranking junior to the preferred stock;</w:t>
      </w:r>
    </w:p>
    <w:p>
      <w:pPr>
        <w:spacing w:after="0" w:line="198" w:lineRule="exact"/>
        <w:rPr>
          <w:rFonts w:ascii="Arial" w:cs="Arial" w:eastAsia="Arial" w:hAnsi="Arial"/>
          <w:sz w:val="18"/>
          <w:szCs w:val="18"/>
          <w:color w:val="auto"/>
        </w:rPr>
      </w:pPr>
    </w:p>
    <w:p>
      <w:pPr>
        <w:ind w:left="880" w:right="40" w:hanging="319"/>
        <w:spacing w:after="0" w:line="24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a parity with all of our equity securities the terms of which specifically provide that the equity securities rank on a parity with the preferred stock; and</w:t>
      </w:r>
    </w:p>
    <w:p>
      <w:pPr>
        <w:spacing w:after="0" w:line="183" w:lineRule="exact"/>
        <w:rPr>
          <w:rFonts w:ascii="Arial" w:cs="Arial" w:eastAsia="Arial" w:hAnsi="Arial"/>
          <w:sz w:val="18"/>
          <w:szCs w:val="18"/>
          <w:color w:val="auto"/>
        </w:rPr>
      </w:pPr>
    </w:p>
    <w:p>
      <w:pPr>
        <w:ind w:left="880" w:right="360" w:hanging="319"/>
        <w:spacing w:after="0" w:line="24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junior to all of our equity securities the terms of which specifically provide that the equity securities rank senior to the preferred stock.</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“VSAT.”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ectPr>
          <w:pgSz w:w="11900" w:h="16838" w:orient="portrait"/>
          <w:cols w:equalWidth="0" w:num="1">
            <w:col w:w="11240"/>
          </w:cols>
          <w:pgMar w:left="320" w:top="674" w:right="339" w:bottom="1440" w:gutter="0" w:footer="0" w:header="0"/>
        </w:sectPr>
      </w:pPr>
    </w:p>
    <w:bookmarkStart w:id="121" w:name="page122"/>
    <w:bookmarkEnd w:id="121"/>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463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Beijing Viasat Science and Technology Co., Ltd.</w:t>
      </w:r>
    </w:p>
    <w:p>
      <w:pPr>
        <w:spacing w:after="0"/>
        <w:rPr>
          <w:sz w:val="20"/>
          <w:szCs w:val="20"/>
          <w:color w:val="auto"/>
        </w:rPr>
      </w:pPr>
      <w:r>
        <w:rPr>
          <w:rFonts w:ascii="Arial" w:cs="Arial" w:eastAsia="Arial" w:hAnsi="Arial"/>
          <w:sz w:val="18"/>
          <w:szCs w:val="18"/>
          <w:color w:val="auto"/>
        </w:rPr>
        <w:t>Carmel Comunicaciones,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Engreen,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Engreen India Private Limited</w:t>
      </w:r>
    </w:p>
    <w:p>
      <w:pPr>
        <w:spacing w:after="0" w:line="9" w:lineRule="exact"/>
        <w:rPr>
          <w:sz w:val="20"/>
          <w:szCs w:val="20"/>
          <w:color w:val="auto"/>
        </w:rPr>
      </w:pPr>
    </w:p>
    <w:p>
      <w:pPr>
        <w:ind w:right="1660"/>
        <w:spacing w:after="0" w:line="250" w:lineRule="auto"/>
        <w:rPr>
          <w:sz w:val="20"/>
          <w:szCs w:val="20"/>
          <w:color w:val="auto"/>
        </w:rPr>
      </w:pPr>
      <w:r>
        <w:rPr>
          <w:rFonts w:ascii="Arial" w:cs="Arial" w:eastAsia="Arial" w:hAnsi="Arial"/>
          <w:sz w:val="18"/>
          <w:szCs w:val="18"/>
          <w:color w:val="auto"/>
        </w:rPr>
        <w:t>IOM Licensing Holding Company Limited mmWaveBroadband Co TrellisWare Technologies,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VGlobal Corp,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(IOM)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Antenna Systems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Australia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Brasil Participações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Brasil Serviços de Comunicações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Broadband Holdings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Canada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Carrier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China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Colombia S.A.S</w:t>
      </w:r>
    </w:p>
    <w:p>
      <w:pPr>
        <w:spacing w:after="0" w:line="9" w:lineRule="exact"/>
        <w:rPr>
          <w:sz w:val="20"/>
          <w:szCs w:val="20"/>
          <w:color w:val="auto"/>
        </w:rPr>
      </w:pPr>
    </w:p>
    <w:p>
      <w:pPr>
        <w:ind w:right="1660"/>
        <w:spacing w:after="0" w:line="255" w:lineRule="auto"/>
        <w:rPr>
          <w:sz w:val="20"/>
          <w:szCs w:val="20"/>
          <w:color w:val="auto"/>
        </w:rPr>
      </w:pPr>
      <w:r>
        <w:rPr>
          <w:rFonts w:ascii="Arial" w:cs="Arial" w:eastAsia="Arial" w:hAnsi="Arial"/>
          <w:sz w:val="18"/>
          <w:szCs w:val="18"/>
          <w:color w:val="auto"/>
        </w:rPr>
        <w:t>Viasat Communications Germany GmbH Viasat Communications Italy S.r.l. Viasat Europe Limited Viasat Europe Sàrl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Viasat Germany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Honduras, S. de 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Ibérica, S.L..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India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Israel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Italy S.r.l.</w:t>
      </w:r>
    </w:p>
    <w:p>
      <w:pPr>
        <w:spacing w:after="0" w:line="12"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 xml:space="preserve">Viasat Japan </w:t>
      </w:r>
      <w:r>
        <w:rPr>
          <w:rFonts w:ascii="SimSun" w:cs="SimSun" w:eastAsia="SimSun" w:hAnsi="SimSun"/>
          <w:sz w:val="18"/>
          <w:szCs w:val="18"/>
          <w:color w:val="auto"/>
        </w:rPr>
        <w:t>合同会社</w:t>
      </w:r>
      <w:r>
        <w:rPr>
          <w:rFonts w:ascii="Arial" w:cs="Arial" w:eastAsia="Arial" w:hAnsi="Arial"/>
          <w:sz w:val="18"/>
          <w:szCs w:val="18"/>
          <w:color w:val="auto"/>
        </w:rPr>
        <w:t xml:space="preserve"> (Viasat Japan G.K.).</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Viasat Kenya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Kenya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Netherlands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Nigeria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Peru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Polska LLC sp. z 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Satellite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Viasat Satellite Ventures Holdings Luxembourg S.a.r.l.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Viasat Services Holding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South Africa (Pty) Ltd</w:t>
      </w:r>
    </w:p>
    <w:p>
      <w:pPr>
        <w:spacing w:after="0" w:line="9" w:lineRule="exact"/>
        <w:rPr>
          <w:sz w:val="20"/>
          <w:szCs w:val="20"/>
          <w:color w:val="auto"/>
        </w:rPr>
      </w:pPr>
    </w:p>
    <w:p>
      <w:pPr>
        <w:ind w:right="2000"/>
        <w:spacing w:after="0" w:line="250" w:lineRule="auto"/>
        <w:rPr>
          <w:sz w:val="20"/>
          <w:szCs w:val="20"/>
          <w:color w:val="auto"/>
        </w:rPr>
      </w:pPr>
      <w:r>
        <w:rPr>
          <w:rFonts w:ascii="Arial" w:cs="Arial" w:eastAsia="Arial" w:hAnsi="Arial"/>
          <w:sz w:val="18"/>
          <w:szCs w:val="18"/>
          <w:color w:val="auto"/>
        </w:rPr>
        <w:t>Viasat South Africa Holdings Limited Viasat Technologies Limited Viasat Tecnologia S.A. de C.V.</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Viasat UK Defence and Security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VS3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Worldwide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VParent,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VService, Inc.</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35572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Isle of 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Isle of 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Honduras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Kenya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ectPr>
          <w:pgSz w:w="11900" w:h="16838" w:orient="portrait"/>
          <w:cols w:equalWidth="0" w:num="2">
            <w:col w:w="4920" w:space="720"/>
            <w:col w:w="5600"/>
          </w:cols>
          <w:pgMar w:left="320" w:top="333"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Nos. 333-74276, 333-85522, 333-135652, 333-141238, 333-143425, 333-164556 and 333-229605) and Form S-8 (File Nos. 333-21113, 333-40396, 333-67010, 333-68757, 333-109959, 333-131382, 333-153828, 333-159708, 333-160361, 333-167379, 333-169593, 333-182015, 333-184029, 333-191326, 333-204440, 333-207064, 333-220556, 333-228221, 333-231791 and 333-234634) of Viasat, Inc. of our report dated May 28, 2020 relating to the financial statements, financial statement schedule and the effectiveness of internal control over financial reporting, which appears in this Form 10-K.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San Diego,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May 28, 2020</w:t>
      </w:r>
    </w:p>
    <w:p>
      <w:pPr>
        <w:sectPr>
          <w:pgSz w:w="11900" w:h="16838" w:orient="portrait"/>
          <w:cols w:equalWidth="0" w:num="1">
            <w:col w:w="11240"/>
          </w:cols>
          <w:pgMar w:left="320" w:top="130"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03" w:lineRule="exact"/>
        <w:rPr>
          <w:rFonts w:ascii="Arial" w:cs="Arial" w:eastAsia="Arial" w:hAnsi="Arial"/>
          <w:sz w:val="18"/>
          <w:szCs w:val="18"/>
          <w:color w:val="auto"/>
        </w:rPr>
      </w:pPr>
    </w:p>
    <w:p>
      <w:pPr>
        <w:ind w:left="500" w:right="1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00" w:right="6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00" w:right="220" w:hanging="493"/>
        <w:spacing w:after="0"/>
        <w:tabs>
          <w:tab w:leader="none" w:pos="1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00" w:right="40" w:hanging="493"/>
        <w:spacing w:after="0"/>
        <w:tabs>
          <w:tab w:leader="none" w:pos="1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00" w:right="220" w:hanging="493"/>
        <w:spacing w:after="0"/>
        <w:tabs>
          <w:tab w:leader="none" w:pos="1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00" w:right="140" w:hanging="493"/>
        <w:spacing w:after="0" w:line="246" w:lineRule="auto"/>
        <w:tabs>
          <w:tab w:leader="none" w:pos="1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2020</w:t>
      </w:r>
    </w:p>
    <w:p>
      <w:pPr>
        <w:spacing w:after="0" w:line="21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Mark Dankberg</w:t>
      </w:r>
    </w:p>
    <w:p>
      <w:pPr>
        <w:ind w:left="6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CERTIFICATION OF CHIEF FINANCIAL OFFICER PURSUANT</w:t>
      </w:r>
    </w:p>
    <w:p>
      <w:pPr>
        <w:ind w:left="31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03" w:lineRule="exact"/>
        <w:rPr>
          <w:rFonts w:ascii="Arial" w:cs="Arial" w:eastAsia="Arial" w:hAnsi="Arial"/>
          <w:sz w:val="18"/>
          <w:szCs w:val="18"/>
          <w:color w:val="auto"/>
        </w:rPr>
      </w:pPr>
    </w:p>
    <w:p>
      <w:pPr>
        <w:ind w:left="500" w:right="1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00" w:right="6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00" w:right="220" w:hanging="493"/>
        <w:spacing w:after="0"/>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00" w:right="40" w:hanging="493"/>
        <w:spacing w:after="0"/>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00" w:right="220" w:hanging="493"/>
        <w:spacing w:after="0"/>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00" w:right="140" w:hanging="493"/>
        <w:spacing w:after="0" w:line="246"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2020</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Shawn Duffy</w:t>
      </w:r>
    </w:p>
    <w:p>
      <w:pPr>
        <w:ind w:left="6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3"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jc w:val="both"/>
        <w:ind w:left="520" w:right="100" w:firstLine="483"/>
        <w:spacing w:after="0"/>
        <w:tabs>
          <w:tab w:leader="none" w:pos="12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March 31, 2020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520" w:right="840" w:firstLine="483"/>
        <w:spacing w:after="0" w:line="246" w:lineRule="auto"/>
        <w:tabs>
          <w:tab w:leader="none" w:pos="12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28, 2020</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Mark Dankberg</w:t>
      </w:r>
    </w:p>
    <w:p>
      <w:pPr>
        <w:ind w:left="67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jc w:val="both"/>
        <w:ind w:left="520" w:right="100" w:firstLine="483"/>
        <w:spacing w:after="0"/>
        <w:tabs>
          <w:tab w:leader="none" w:pos="12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March 31, 2020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520" w:right="840" w:firstLine="483"/>
        <w:spacing w:after="0" w:line="246" w:lineRule="auto"/>
        <w:tabs>
          <w:tab w:leader="none" w:pos="12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28, 2020</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Shawn Duffy</w:t>
      </w:r>
    </w:p>
    <w:p>
      <w:pPr>
        <w:ind w:left="67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lvl w:ilvl="1">
      <w:lvlJc w:val="left"/>
      <w:lvlText w:val="o"/>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lowerRoman"/>
      <w:start w:val="2"/>
    </w:lvl>
  </w:abstractNum>
  <w:abstractNum w:abstractNumId="15">
    <w:nsid w:val="5072367"/>
    <w:multiLevelType w:val="hybridMultilevel"/>
    <w:lvl w:ilvl="0">
      <w:lvlJc w:val="left"/>
      <w:lvlText w:val="(%1)"/>
      <w:numFmt w:val="lowerRoman"/>
      <w:start w:val="4"/>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6"/>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2"/>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lowerRoman"/>
      <w:start w:val="2"/>
    </w:lvl>
  </w:abstractNum>
  <w:abstractNum w:abstractNumId="35">
    <w:nsid w:val="4B588F54"/>
    <w:multiLevelType w:val="hybridMultilevel"/>
    <w:lvl w:ilvl="0">
      <w:lvlJc w:val="left"/>
      <w:lvlText w:val="(%1)"/>
      <w:numFmt w:val="lowerRoman"/>
      <w:start w:val="2"/>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3"/>
    </w:lvl>
  </w:abstractNum>
  <w:abstractNum w:abstractNumId="38">
    <w:nsid w:val="38437FDB"/>
    <w:multiLevelType w:val="hybridMultilevel"/>
    <w:lvl w:ilvl="0">
      <w:lvlJc w:val="left"/>
      <w:lvlText w:val="*"/>
      <w:numFmt w:val="bullet"/>
      <w:start w:val="1"/>
    </w:lvl>
    <w:lvl w:ilvl="1">
      <w:lvlJc w:val="left"/>
      <w:lvlText w:val="%2"/>
      <w:numFmt w:val="decimal"/>
      <w:start w:val="104"/>
    </w:lvl>
  </w:abstractNum>
  <w:abstractNum w:abstractNumId="39">
    <w:nsid w:val="7644A45C"/>
    <w:multiLevelType w:val="hybridMultilevel"/>
    <w:lvl w:ilvl="0">
      <w:lvlJc w:val="left"/>
      <w:lvlText w:val="(%1)"/>
      <w:numFmt w:val="lowerLetter"/>
      <w:start w:val="16"/>
    </w:lvl>
  </w:abstractNum>
  <w:abstractNum w:abstractNumId="40">
    <w:nsid w:val="32FFF902"/>
    <w:multiLevelType w:val="hybridMultilevel"/>
    <w:lvl w:ilvl="0">
      <w:lvlJc w:val="left"/>
      <w:lvlText w:val="(%1)"/>
      <w:numFmt w:val="lowerRoman"/>
      <w:start w:val="2"/>
    </w:lvl>
  </w:abstractNum>
  <w:abstractNum w:abstractNumId="41">
    <w:nsid w:val="684A481A"/>
    <w:multiLevelType w:val="hybridMultilevel"/>
    <w:lvl w:ilvl="0">
      <w:lvlJc w:val="left"/>
      <w:lvlText w:val="%1."/>
      <w:numFmt w:val="decimal"/>
      <w:start w:val="842"/>
    </w:lvl>
  </w:abstractNum>
  <w:abstractNum w:abstractNumId="42">
    <w:nsid w:val="579478FE"/>
    <w:multiLevelType w:val="hybridMultilevel"/>
    <w:lvl w:ilvl="0">
      <w:lvlJc w:val="left"/>
      <w:lvlText w:val="%1."/>
      <w:numFmt w:val="decimal"/>
      <w:start w:val="12"/>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lowerLetter"/>
      <w:start w:val="1"/>
    </w:lvl>
  </w:abstractNum>
  <w:abstractNum w:abstractNumId="55">
    <w:nsid w:val="275AC79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1" Type="http://schemas.openxmlformats.org/officeDocument/2006/relationships/image" Target="media/image83.png"/><Relationship Id="rId115" Type="http://schemas.openxmlformats.org/officeDocument/2006/relationships/image" Target="media/image84.png"/><Relationship Id="rId116" Type="http://schemas.openxmlformats.org/officeDocument/2006/relationships/image" Target="media/image85.png"/><Relationship Id="rId117" Type="http://schemas.openxmlformats.org/officeDocument/2006/relationships/image" Target="media/image86.png"/><Relationship Id="rId118" Type="http://schemas.openxmlformats.org/officeDocument/2006/relationships/image" Target="media/image87.png"/><Relationship Id="rId119" Type="http://schemas.openxmlformats.org/officeDocument/2006/relationships/image" Target="media/image88.png"/><Relationship Id="rId120"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90" Type="http://schemas.openxmlformats.org/officeDocument/2006/relationships/hyperlink" Target="http://www.sec.gov/Archives/edgar/data/797721/000109581100004805/a66909ex3-1.txt" TargetMode="External"/><Relationship Id="rId91" Type="http://schemas.openxmlformats.org/officeDocument/2006/relationships/hyperlink" Target="http://www.sec.gov/Archives/edgar/data/797721/000119312512490491/d447607dex31.htm" TargetMode="External"/><Relationship Id="rId92" Type="http://schemas.openxmlformats.org/officeDocument/2006/relationships/hyperlink" Target="http://www.sec.gov/Archives/edgar/data/797721/000119312517290459/d414724dex41.htm" TargetMode="External"/><Relationship Id="rId93" Type="http://schemas.openxmlformats.org/officeDocument/2006/relationships/hyperlink" Target="http://www.sec.gov/Archives/edgar/data/797721/000119312519088484/d727895dex41.htm" TargetMode="External"/><Relationship Id="rId94" Type="http://schemas.openxmlformats.org/officeDocument/2006/relationships/hyperlink" Target="http://www.sec.gov/Archives/edgar/data/797721/000093639208000182/a38834exv99w1.htm" TargetMode="External"/><Relationship Id="rId95" Type="http://schemas.openxmlformats.org/officeDocument/2006/relationships/hyperlink" Target="http://www.sec.gov/Archives/edgar/data/797721/000119312519289747/d823563dex107.htm" TargetMode="External"/><Relationship Id="rId96" Type="http://schemas.openxmlformats.org/officeDocument/2006/relationships/hyperlink" Target="http://www.sec.gov/Archives/edgar/data/797721/000119312519289747/d823563dex101.htm" TargetMode="External"/><Relationship Id="rId97" Type="http://schemas.openxmlformats.org/officeDocument/2006/relationships/hyperlink" Target="http://www.sec.gov/Archives/edgar/data/797721/000119312515199042/d875350dex104.htm" TargetMode="External"/><Relationship Id="rId98" Type="http://schemas.openxmlformats.org/officeDocument/2006/relationships/hyperlink" Target="http://www.sec.gov/Archives/edgar/data/797721/000119312518036708/d493158dex101.htm" TargetMode="External"/><Relationship Id="rId99" Type="http://schemas.openxmlformats.org/officeDocument/2006/relationships/hyperlink" Target="http://www.sec.gov/Archives/edgar/data/797721/000119312517182146/d351569dex105.htm" TargetMode="External"/><Relationship Id="rId100" Type="http://schemas.openxmlformats.org/officeDocument/2006/relationships/hyperlink" Target="http://www.sec.gov/Archives/edgar/data/797721/000119312515199042/d875350dex106.htm" TargetMode="External"/><Relationship Id="rId102" Type="http://schemas.openxmlformats.org/officeDocument/2006/relationships/hyperlink" Target="http://www.sec.gov/Archives/edgar/data/797721/000119312515199042/d875350dex107.htm" TargetMode="External"/><Relationship Id="rId103" Type="http://schemas.openxmlformats.org/officeDocument/2006/relationships/hyperlink" Target="http://www.sec.gov/Archives/edgar/data/797721/000095012310071941/a56801exv10w1.htm" TargetMode="External"/><Relationship Id="rId104" Type="http://schemas.openxmlformats.org/officeDocument/2006/relationships/hyperlink" Target="http://www.sec.gov/Archives/edgar/data/797721/000119312513454965/d636795dex101.htm" TargetMode="External"/><Relationship Id="rId105" Type="http://schemas.openxmlformats.org/officeDocument/2006/relationships/hyperlink" Target="http://www.sec.gov/Archives/edgar/data/797721/000119312515089537/d887434dex102.htm" TargetMode="External"/><Relationship Id="rId106" Type="http://schemas.openxmlformats.org/officeDocument/2006/relationships/hyperlink" Target="http://www.sec.gov/Archives/edgar/data/797721/000119312516600648/d198247dex101.htm" TargetMode="External"/><Relationship Id="rId107" Type="http://schemas.openxmlformats.org/officeDocument/2006/relationships/hyperlink" Target="http://www.sec.gov/Archives/edgar/data/797721/000156459018014641/vsat-ex10103_745.htm" TargetMode="External"/><Relationship Id="rId108" Type="http://schemas.openxmlformats.org/officeDocument/2006/relationships/hyperlink" Target="http://www.sec.gov/Archives/edgar/data/797721/000119312519014040/d684351dex101.htm" TargetMode="External"/><Relationship Id="rId109" Type="http://schemas.openxmlformats.org/officeDocument/2006/relationships/hyperlink" Target="http://www.sec.gov/Archives/edgar/data/797721/000119312515089537/d887434dex101.htm" TargetMode="External"/><Relationship Id="rId110" Type="http://schemas.openxmlformats.org/officeDocument/2006/relationships/hyperlink" Target="http://www.sec.gov/Archives/edgar/data/797721/000119312515284965/d933025dex101.htm" TargetMode="External"/><Relationship Id="rId111" Type="http://schemas.openxmlformats.org/officeDocument/2006/relationships/hyperlink" Target="http://www.sec.gov/Archives/edgar/data/797721/000119312516516584/d152081dex101.htm" TargetMode="External"/><Relationship Id="rId112" Type="http://schemas.openxmlformats.org/officeDocument/2006/relationships/hyperlink" Target="http://www.sec.gov/Archives/edgar/data/797721/000119312516736730/d259569dex101.htm" TargetMode="External"/><Relationship Id="rId113" Type="http://schemas.openxmlformats.org/officeDocument/2006/relationships/hyperlink" Target="http://www.sec.gov/Archives/edgar/data/797721/000119312518223698/d548983dex101.htm" TargetMode="External"/><Relationship Id="rId114" Type="http://schemas.openxmlformats.org/officeDocument/2006/relationships/hyperlink" Target="http://www.sec.gov/Archives/edgar/data/797721/000119312519057936/d71367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2020-05-29T05:19:02Z</dcterms:created>
  <dcterms:modified xsi:type="dcterms:W3CDTF">2020-05-29T05:19:02Z</dcterms:modified>
</cp:coreProperties>
</file>