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 w:lineRule="exact"/>
        <w:rPr>
          <w:sz w:val="24"/>
          <w:szCs w:val="24"/>
          <w:color w:val="auto"/>
        </w:rPr>
      </w:pPr>
    </w:p>
    <w:p>
      <w:pPr>
        <w:ind w:left="460" w:right="460" w:hanging="452"/>
        <w:spacing w:after="0" w:line="244"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28,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16" w:lineRule="exact"/>
        <w:rPr>
          <w:sz w:val="24"/>
          <w:szCs w:val="24"/>
          <w:color w:val="auto"/>
        </w:rPr>
      </w:pPr>
    </w:p>
    <w:p>
      <w:pPr>
        <w:sectPr>
          <w:pgSz w:w="11900" w:h="16838" w:orient="portrait"/>
          <w:cols w:equalWidth="0" w:num="3">
            <w:col w:w="6180" w:space="580"/>
            <w:col w:w="140" w:space="580"/>
            <w:col w:w="394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tbl>
      <w:tblPr>
        <w:tblLayout w:type="fixed"/>
        <w:tblInd w:w="2020" w:type="dxa"/>
        <w:tblCellMar>
          <w:top w:w="0" w:type="dxa"/>
          <w:left w:w="0" w:type="dxa"/>
          <w:bottom w:w="0" w:type="dxa"/>
          <w:right w:w="0" w:type="dxa"/>
        </w:tblCellMar>
      </w:tblPr>
      <w:tr>
        <w:trPr>
          <w:trHeight w:val="529"/>
        </w:trPr>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60" w:type="dxa"/>
            <w:vAlign w:val="bottom"/>
            <w:gridSpan w:val="2"/>
          </w:tcPr>
          <w:p>
            <w:pPr>
              <w:jc w:val="center"/>
              <w:ind w:right="2192"/>
              <w:spacing w:after="0"/>
              <w:rPr>
                <w:sz w:val="20"/>
                <w:szCs w:val="20"/>
                <w:color w:val="auto"/>
              </w:rPr>
            </w:pPr>
            <w:r>
              <w:rPr>
                <w:rFonts w:ascii="Arial" w:cs="Arial" w:eastAsia="Arial" w:hAnsi="Arial"/>
                <w:sz w:val="43"/>
                <w:szCs w:val="43"/>
                <w:b w:val="1"/>
                <w:bCs w:val="1"/>
                <w:color w:val="auto"/>
                <w:w w:val="94"/>
              </w:rPr>
              <w:t>ViaSat, Inc.</w:t>
            </w:r>
          </w:p>
        </w:tc>
      </w:tr>
      <w:tr>
        <w:trPr>
          <w:trHeight w:val="228"/>
        </w:trPr>
        <w:tc>
          <w:tcPr>
            <w:tcW w:w="1760" w:type="dxa"/>
            <w:vAlign w:val="bottom"/>
          </w:tcPr>
          <w:p>
            <w:pPr>
              <w:spacing w:after="0"/>
              <w:rPr>
                <w:sz w:val="19"/>
                <w:szCs w:val="19"/>
                <w:color w:val="auto"/>
              </w:rPr>
            </w:pPr>
          </w:p>
        </w:tc>
        <w:tc>
          <w:tcPr>
            <w:tcW w:w="5400" w:type="dxa"/>
            <w:vAlign w:val="bottom"/>
            <w:gridSpan w:val="3"/>
          </w:tcPr>
          <w:p>
            <w:pPr>
              <w:jc w:val="center"/>
              <w:ind w:right="1452"/>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r>
      <w:tr>
        <w:trPr>
          <w:trHeight w:val="178"/>
        </w:trPr>
        <w:tc>
          <w:tcPr>
            <w:tcW w:w="1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2280" w:type="dxa"/>
            <w:vAlign w:val="bottom"/>
          </w:tcPr>
          <w:p>
            <w:pPr>
              <w:spacing w:after="0"/>
              <w:rPr>
                <w:sz w:val="15"/>
                <w:szCs w:val="15"/>
                <w:color w:val="auto"/>
              </w:rPr>
            </w:pPr>
          </w:p>
        </w:tc>
      </w:tr>
      <w:tr>
        <w:trPr>
          <w:trHeight w:val="305"/>
        </w:trPr>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400" w:type="dxa"/>
            <w:vAlign w:val="bottom"/>
            <w:gridSpan w:val="3"/>
          </w:tcPr>
          <w:p>
            <w:pPr>
              <w:jc w:val="center"/>
              <w:ind w:left="4257"/>
              <w:spacing w:after="0"/>
              <w:rPr>
                <w:sz w:val="20"/>
                <w:szCs w:val="20"/>
                <w:color w:val="auto"/>
              </w:rPr>
            </w:pPr>
            <w:r>
              <w:rPr>
                <w:rFonts w:ascii="Arial" w:cs="Arial" w:eastAsia="Arial" w:hAnsi="Arial"/>
                <w:sz w:val="18"/>
                <w:szCs w:val="18"/>
                <w:b w:val="1"/>
                <w:bCs w:val="1"/>
                <w:color w:val="auto"/>
                <w:w w:val="89"/>
              </w:rPr>
              <w:t>33-0174996</w:t>
            </w:r>
          </w:p>
        </w:tc>
      </w:tr>
      <w:tr>
        <w:trPr>
          <w:trHeight w:val="149"/>
        </w:trPr>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7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jc w:val="center"/>
              <w:ind w:left="115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7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80" w:type="dxa"/>
            <w:vAlign w:val="bottom"/>
          </w:tcPr>
          <w:p>
            <w:pPr>
              <w:jc w:val="center"/>
              <w:ind w:left="1152"/>
              <w:spacing w:after="0"/>
              <w:rPr>
                <w:sz w:val="20"/>
                <w:szCs w:val="20"/>
                <w:color w:val="auto"/>
              </w:rPr>
            </w:pPr>
            <w:r>
              <w:rPr>
                <w:rFonts w:ascii="Arial" w:cs="Arial" w:eastAsia="Arial" w:hAnsi="Arial"/>
                <w:sz w:val="14"/>
                <w:szCs w:val="14"/>
                <w:b w:val="1"/>
                <w:bCs w:val="1"/>
                <w:color w:val="auto"/>
                <w:w w:val="89"/>
              </w:rPr>
              <w:t>Identification No.)</w:t>
            </w:r>
          </w:p>
        </w:tc>
      </w:tr>
      <w:tr>
        <w:trPr>
          <w:trHeight w:val="364"/>
        </w:trPr>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60" w:type="dxa"/>
            <w:vAlign w:val="bottom"/>
            <w:gridSpan w:val="2"/>
          </w:tcPr>
          <w:p>
            <w:pPr>
              <w:jc w:val="center"/>
              <w:ind w:right="2212"/>
              <w:spacing w:after="0"/>
              <w:rPr>
                <w:sz w:val="20"/>
                <w:szCs w:val="20"/>
                <w:color w:val="auto"/>
              </w:rPr>
            </w:pPr>
            <w:r>
              <w:rPr>
                <w:rFonts w:ascii="Arial" w:cs="Arial" w:eastAsia="Arial" w:hAnsi="Arial"/>
                <w:sz w:val="18"/>
                <w:szCs w:val="18"/>
                <w:b w:val="1"/>
                <w:bCs w:val="1"/>
                <w:color w:val="auto"/>
                <w:w w:val="89"/>
              </w:rPr>
              <w:t>6155 El Camino Real</w:t>
            </w: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60" w:type="dxa"/>
            <w:vAlign w:val="bottom"/>
            <w:gridSpan w:val="2"/>
          </w:tcPr>
          <w:p>
            <w:pPr>
              <w:jc w:val="center"/>
              <w:ind w:right="2192"/>
              <w:spacing w:after="0"/>
              <w:rPr>
                <w:sz w:val="20"/>
                <w:szCs w:val="20"/>
                <w:color w:val="auto"/>
              </w:rPr>
            </w:pPr>
            <w:r>
              <w:rPr>
                <w:rFonts w:ascii="Arial" w:cs="Arial" w:eastAsia="Arial" w:hAnsi="Arial"/>
                <w:sz w:val="18"/>
                <w:szCs w:val="18"/>
                <w:b w:val="1"/>
                <w:bCs w:val="1"/>
                <w:color w:val="auto"/>
                <w:w w:val="90"/>
              </w:rPr>
              <w:t>Carlsbad, California 92009</w:t>
            </w:r>
          </w:p>
        </w:tc>
      </w:tr>
      <w:tr>
        <w:trPr>
          <w:trHeight w:val="218"/>
        </w:trPr>
        <w:tc>
          <w:tcPr>
            <w:tcW w:w="1760" w:type="dxa"/>
            <w:vAlign w:val="bottom"/>
          </w:tcPr>
          <w:p>
            <w:pPr>
              <w:spacing w:after="0"/>
              <w:rPr>
                <w:sz w:val="18"/>
                <w:szCs w:val="18"/>
                <w:color w:val="auto"/>
              </w:rPr>
            </w:pPr>
          </w:p>
        </w:tc>
        <w:tc>
          <w:tcPr>
            <w:tcW w:w="3120" w:type="dxa"/>
            <w:vAlign w:val="bottom"/>
            <w:gridSpan w:val="2"/>
          </w:tcPr>
          <w:p>
            <w:pPr>
              <w:jc w:val="center"/>
              <w:ind w:left="657"/>
              <w:spacing w:after="0"/>
              <w:rPr>
                <w:sz w:val="20"/>
                <w:szCs w:val="20"/>
                <w:color w:val="auto"/>
              </w:rPr>
            </w:pPr>
            <w:r>
              <w:rPr>
                <w:rFonts w:ascii="Arial" w:cs="Arial" w:eastAsia="Arial" w:hAnsi="Arial"/>
                <w:sz w:val="18"/>
                <w:szCs w:val="18"/>
                <w:b w:val="1"/>
                <w:bCs w:val="1"/>
                <w:color w:val="auto"/>
                <w:w w:val="89"/>
              </w:rPr>
              <w:t>(760) 476-2200</w:t>
            </w:r>
          </w:p>
        </w:tc>
        <w:tc>
          <w:tcPr>
            <w:tcW w:w="2280" w:type="dxa"/>
            <w:vAlign w:val="bottom"/>
          </w:tcPr>
          <w:p>
            <w:pPr>
              <w:spacing w:after="0"/>
              <w:rPr>
                <w:sz w:val="18"/>
                <w:szCs w:val="18"/>
                <w:color w:val="auto"/>
              </w:rPr>
            </w:pPr>
          </w:p>
        </w:tc>
      </w:tr>
      <w:tr>
        <w:trPr>
          <w:trHeight w:val="174"/>
        </w:trPr>
        <w:tc>
          <w:tcPr>
            <w:tcW w:w="1760" w:type="dxa"/>
            <w:vAlign w:val="bottom"/>
          </w:tcPr>
          <w:p>
            <w:pPr>
              <w:spacing w:after="0"/>
              <w:rPr>
                <w:sz w:val="15"/>
                <w:szCs w:val="15"/>
                <w:color w:val="auto"/>
              </w:rPr>
            </w:pPr>
          </w:p>
        </w:tc>
        <w:tc>
          <w:tcPr>
            <w:tcW w:w="5400" w:type="dxa"/>
            <w:vAlign w:val="bottom"/>
            <w:gridSpan w:val="3"/>
          </w:tcPr>
          <w:p>
            <w:pPr>
              <w:jc w:val="center"/>
              <w:ind w:right="1452"/>
              <w:spacing w:after="0"/>
              <w:rPr>
                <w:sz w:val="20"/>
                <w:szCs w:val="20"/>
                <w:color w:val="auto"/>
              </w:rPr>
            </w:pPr>
            <w:r>
              <w:rPr>
                <w:rFonts w:ascii="Arial" w:cs="Arial" w:eastAsia="Arial" w:hAnsi="Arial"/>
                <w:sz w:val="14"/>
                <w:szCs w:val="14"/>
                <w:b w:val="1"/>
                <w:bCs w:val="1"/>
                <w:color w:val="auto"/>
                <w:w w:val="85"/>
              </w:rPr>
              <w:t>(Address of principal executive offices and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00" w:space="420"/>
            <w:col w:w="622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outstanding of the registrant’s common stock, $0.0001 par value, as of January 25, 2013 was 44,549,274.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1040" w:type="dxa"/>
            <w:vAlign w:val="bottom"/>
            <w:gridSpan w:val="16"/>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040" w:type="dxa"/>
            <w:vAlign w:val="bottom"/>
            <w:gridSpan w:val="16"/>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08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and Comprehensive Income (Loss)</w:t>
              </w:r>
            </w:hyperlink>
          </w:p>
        </w:tc>
        <w:tc>
          <w:tcPr>
            <w:tcW w:w="45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Equity</w:t>
              </w:r>
            </w:hyperlink>
          </w:p>
        </w:tc>
        <w:tc>
          <w:tcPr>
            <w:tcW w:w="420" w:type="dxa"/>
            <w:vAlign w:val="bottom"/>
            <w:tcBorders>
              <w:top w:val="single" w:sz="8" w:color="0000EE"/>
            </w:tcBorders>
          </w:tcPr>
          <w:p>
            <w:pPr>
              <w:spacing w:after="0"/>
              <w:rPr>
                <w:sz w:val="17"/>
                <w:szCs w:val="17"/>
                <w:color w:val="auto"/>
              </w:rPr>
            </w:pPr>
          </w:p>
        </w:tc>
        <w:tc>
          <w:tcPr>
            <w:tcW w:w="69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the Condensed Consolidated Financial Statements</w:t>
              </w:r>
            </w:hyperlink>
          </w:p>
        </w:tc>
        <w:tc>
          <w:tcPr>
            <w:tcW w:w="64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3.</w:t>
              </w:r>
            </w:hyperlink>
          </w:p>
        </w:tc>
        <w:tc>
          <w:tcPr>
            <w:tcW w:w="6320" w:type="dxa"/>
            <w:vAlign w:val="bottom"/>
            <w:tcBorders>
              <w:top w:val="single" w:sz="8" w:color="0000EE"/>
            </w:tcBorders>
            <w:gridSpan w:val="13"/>
          </w:tcPr>
          <w:p>
            <w:pPr>
              <w:ind w:left="2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42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4.</w:t>
              </w:r>
            </w:hyperlink>
          </w:p>
        </w:tc>
        <w:tc>
          <w:tcPr>
            <w:tcW w:w="176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6"/>
              </w:rPr>
            </w:pPr>
            <w:hyperlink w:anchor="page56">
              <w:r>
                <w:rPr>
                  <w:rFonts w:ascii="Arial" w:cs="Arial" w:eastAsia="Arial" w:hAnsi="Arial"/>
                  <w:sz w:val="18"/>
                  <w:szCs w:val="18"/>
                  <w:color w:val="0000EE"/>
                  <w:w w:val="86"/>
                </w:rPr>
                <w:t>Controls and Procedures</w:t>
              </w:r>
            </w:hyperlink>
          </w:p>
        </w:tc>
        <w:tc>
          <w:tcPr>
            <w:tcW w:w="2520" w:type="dxa"/>
            <w:vAlign w:val="bottom"/>
            <w:tcBorders>
              <w:top w:val="single" w:sz="8" w:color="0000EE"/>
            </w:tcBorders>
            <w:gridSpan w:val="6"/>
          </w:tcPr>
          <w:p>
            <w:pPr>
              <w:spacing w:after="0"/>
              <w:rPr>
                <w:sz w:val="17"/>
                <w:szCs w:val="17"/>
                <w:color w:val="auto"/>
              </w:rPr>
            </w:pPr>
          </w:p>
        </w:tc>
        <w:tc>
          <w:tcPr>
            <w:tcW w:w="62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8"/>
        </w:trPr>
        <w:tc>
          <w:tcPr>
            <w:tcW w:w="11040" w:type="dxa"/>
            <w:vAlign w:val="bottom"/>
            <w:gridSpan w:val="16"/>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20" w:type="dxa"/>
            <w:vAlign w:val="bottom"/>
            <w:tcBorders>
              <w:bottom w:val="single" w:sz="8" w:color="0000EE"/>
            </w:tcBorders>
            <w:gridSpan w:val="2"/>
          </w:tcPr>
          <w:p>
            <w:pPr>
              <w:spacing w:after="0" w:line="184"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1.</w:t>
              </w:r>
            </w:hyperlink>
          </w:p>
        </w:tc>
        <w:tc>
          <w:tcPr>
            <w:tcW w:w="1340" w:type="dxa"/>
            <w:vAlign w:val="bottom"/>
            <w:tcBorders>
              <w:bottom w:val="single" w:sz="8" w:color="0000EE"/>
            </w:tcBorders>
            <w:gridSpan w:val="4"/>
          </w:tcPr>
          <w:p>
            <w:pPr>
              <w:ind w:left="20"/>
              <w:spacing w:after="0" w:line="184"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Legal Proceedings</w:t>
              </w:r>
            </w:hyperlink>
          </w:p>
        </w:tc>
        <w:tc>
          <w:tcPr>
            <w:tcW w:w="9180" w:type="dxa"/>
            <w:vAlign w:val="bottom"/>
            <w:gridSpan w:val="10"/>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Item 1A. Risk Factors</w:t>
              </w:r>
            </w:hyperlink>
          </w:p>
        </w:tc>
        <w:tc>
          <w:tcPr>
            <w:tcW w:w="948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Exhibits</w:t>
              </w:r>
            </w:hyperlink>
          </w:p>
        </w:tc>
        <w:tc>
          <w:tcPr>
            <w:tcW w:w="990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December 28, 2012</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30,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Current assets: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98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112,667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237,551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126,437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20,214</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36,663</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533,532</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563,152</w:t>
            </w: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690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Satellites, net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547,805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585,731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347,730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acquired intangible assets, net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51,069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83,561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assets</w:t>
            </w:r>
          </w:p>
        </w:tc>
        <w:tc>
          <w:tcPr>
            <w:tcW w:w="1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185,238</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98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1,748,935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1,727,153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920"/>
              <w:spacing w:after="0"/>
              <w:rPr>
                <w:sz w:val="20"/>
                <w:szCs w:val="20"/>
                <w:color w:val="auto"/>
              </w:rPr>
            </w:pPr>
            <w:r>
              <w:rPr>
                <w:rFonts w:ascii="Arial" w:cs="Arial" w:eastAsia="Arial" w:hAnsi="Arial"/>
                <w:sz w:val="18"/>
                <w:szCs w:val="18"/>
                <w:b w:val="1"/>
                <w:bCs w:val="1"/>
                <w:color w:val="auto"/>
              </w:rPr>
              <w:t>LIABILITIES AND EQUITY</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98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139,547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159,762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1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217,504</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236,042</w:t>
            </w: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690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Senior Notes, net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585,265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547,791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liabilities</w:t>
            </w:r>
          </w:p>
        </w:tc>
        <w:tc>
          <w:tcPr>
            <w:tcW w:w="1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58,039</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860,870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834,960</w:t>
            </w:r>
          </w:p>
        </w:tc>
        <w:tc>
          <w:tcPr>
            <w:tcW w:w="0" w:type="dxa"/>
            <w:vAlign w:val="bottom"/>
          </w:tcPr>
          <w:p>
            <w:pPr>
              <w:spacing w:after="0"/>
              <w:rPr>
                <w:sz w:val="1"/>
                <w:szCs w:val="1"/>
                <w:color w:val="auto"/>
              </w:rPr>
            </w:pPr>
          </w:p>
        </w:tc>
      </w:tr>
      <w:tr>
        <w:trPr>
          <w:trHeight w:val="221"/>
        </w:trPr>
        <w:tc>
          <w:tcPr>
            <w:tcW w:w="692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Paid-in capital</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695,908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649,672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219,115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Common stock held in treasury</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(33,260)</w:t>
            </w: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Total ViaSat, Inc. stockholders’ equity</w:t>
            </w: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883,599</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887,975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1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860"/>
              <w:spacing w:after="0"/>
              <w:rPr>
                <w:sz w:val="20"/>
                <w:szCs w:val="20"/>
                <w:color w:val="auto"/>
              </w:rPr>
            </w:pPr>
            <w:r>
              <w:rPr>
                <w:rFonts w:ascii="Arial" w:cs="Arial" w:eastAsia="Arial" w:hAnsi="Arial"/>
                <w:sz w:val="18"/>
                <w:szCs w:val="18"/>
                <w:color w:val="auto"/>
              </w:rPr>
              <w:t>Total equity</w:t>
            </w:r>
          </w:p>
        </w:tc>
        <w:tc>
          <w:tcPr>
            <w:tcW w:w="1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888,065</w:t>
            </w:r>
          </w:p>
        </w:tc>
        <w:tc>
          <w:tcPr>
            <w:tcW w:w="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892,193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198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1,748,935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1,727,153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0"/>
              </w:rPr>
              <w:t>Three Months Ended</w:t>
            </w:r>
          </w:p>
        </w:tc>
        <w:tc>
          <w:tcPr>
            <w:tcW w:w="78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28, 2012</w:t>
            </w: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December 30, 2011</w:t>
            </w:r>
          </w:p>
        </w:tc>
        <w:tc>
          <w:tcPr>
            <w:tcW w:w="7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28, 2012</w:t>
            </w: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December 30, 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60" w:type="dxa"/>
            <w:vAlign w:val="bottom"/>
            <w:gridSpan w:val="5"/>
          </w:tcPr>
          <w:p>
            <w:pPr>
              <w:jc w:val="right"/>
              <w:ind w:right="760"/>
              <w:spacing w:after="0" w:line="142" w:lineRule="exact"/>
              <w:rPr>
                <w:sz w:val="20"/>
                <w:szCs w:val="20"/>
                <w:color w:val="auto"/>
              </w:rPr>
            </w:pPr>
            <w:r>
              <w:rPr>
                <w:rFonts w:ascii="Arial" w:cs="Arial" w:eastAsia="Arial" w:hAnsi="Arial"/>
                <w:sz w:val="14"/>
                <w:szCs w:val="14"/>
                <w:b w:val="1"/>
                <w:bCs w:val="1"/>
                <w:color w:val="auto"/>
                <w:w w:val="87"/>
              </w:rPr>
              <w:t>(In thousands, except per share data)</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420"/>
              <w:spacing w:after="0" w:line="149" w:lineRule="exact"/>
              <w:rPr>
                <w:sz w:val="20"/>
                <w:szCs w:val="20"/>
                <w:color w:val="auto"/>
              </w:rPr>
            </w:pPr>
            <w:r>
              <w:rPr>
                <w:rFonts w:ascii="Arial" w:cs="Arial" w:eastAsia="Arial" w:hAnsi="Arial"/>
                <w:sz w:val="14"/>
                <w:szCs w:val="14"/>
                <w:color w:val="auto"/>
              </w:rPr>
              <w:t>Product revenues</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164,694</w:t>
            </w:r>
          </w:p>
        </w:tc>
        <w:tc>
          <w:tcPr>
            <w:tcW w:w="400" w:type="dxa"/>
            <w:vAlign w:val="bottom"/>
          </w:tcPr>
          <w:p>
            <w:pPr>
              <w:spacing w:after="0"/>
              <w:rPr>
                <w:sz w:val="12"/>
                <w:szCs w:val="12"/>
                <w:color w:val="auto"/>
              </w:rPr>
            </w:pPr>
          </w:p>
        </w:tc>
        <w:tc>
          <w:tcPr>
            <w:tcW w:w="6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121,862</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480,898</w:t>
            </w:r>
          </w:p>
        </w:tc>
        <w:tc>
          <w:tcPr>
            <w:tcW w:w="3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391,019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Service revenues</w:t>
            </w:r>
          </w:p>
        </w:tc>
        <w:tc>
          <w:tcPr>
            <w:tcW w:w="3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121,748</w:t>
            </w: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83,102</w:t>
            </w:r>
          </w:p>
        </w:tc>
        <w:tc>
          <w:tcPr>
            <w:tcW w:w="72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330,129</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232,070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20" w:type="dxa"/>
            <w:vAlign w:val="bottom"/>
            <w:gridSpan w:val="2"/>
          </w:tcPr>
          <w:p>
            <w:pPr>
              <w:spacing w:after="0" w:line="155" w:lineRule="exact"/>
              <w:rPr>
                <w:sz w:val="20"/>
                <w:szCs w:val="20"/>
                <w:color w:val="auto"/>
              </w:rPr>
            </w:pPr>
            <w:r>
              <w:rPr>
                <w:rFonts w:ascii="Arial" w:cs="Arial" w:eastAsia="Arial" w:hAnsi="Arial"/>
                <w:sz w:val="14"/>
                <w:szCs w:val="14"/>
                <w:color w:val="auto"/>
              </w:rPr>
              <w:t>Total revenues</w:t>
            </w:r>
          </w:p>
        </w:tc>
        <w:tc>
          <w:tcPr>
            <w:tcW w:w="3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286,442</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tcPr>
          <w:p>
            <w:pPr>
              <w:jc w:val="right"/>
              <w:ind w:right="720"/>
              <w:spacing w:after="0" w:line="155" w:lineRule="exact"/>
              <w:rPr>
                <w:sz w:val="20"/>
                <w:szCs w:val="20"/>
                <w:color w:val="auto"/>
              </w:rPr>
            </w:pPr>
            <w:r>
              <w:rPr>
                <w:rFonts w:ascii="Arial" w:cs="Arial" w:eastAsia="Arial" w:hAnsi="Arial"/>
                <w:sz w:val="14"/>
                <w:szCs w:val="14"/>
                <w:color w:val="auto"/>
              </w:rPr>
              <w:t>204,964</w:t>
            </w:r>
          </w:p>
        </w:tc>
        <w:tc>
          <w:tcPr>
            <w:tcW w:w="3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811,027</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623,089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420"/>
              <w:spacing w:after="0" w:line="149" w:lineRule="exact"/>
              <w:rPr>
                <w:sz w:val="20"/>
                <w:szCs w:val="20"/>
                <w:color w:val="auto"/>
              </w:rPr>
            </w:pPr>
            <w:r>
              <w:rPr>
                <w:rFonts w:ascii="Arial" w:cs="Arial" w:eastAsia="Arial" w:hAnsi="Arial"/>
                <w:sz w:val="14"/>
                <w:szCs w:val="14"/>
                <w:color w:val="auto"/>
              </w:rPr>
              <w:t>Cost of product revenues</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119,250</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89,463</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349,720</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289,657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Cost of service revenues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92,145</w:t>
            </w: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57,318</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266,096</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62,209</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45,640</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172,789</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131,752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Independent research and development</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7,612</w:t>
            </w: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5,999</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23,739</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18,502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acquired intangible assets</w:t>
            </w: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3,960</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4,752</w:t>
            </w:r>
          </w:p>
        </w:tc>
        <w:tc>
          <w:tcPr>
            <w:tcW w:w="7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12,065</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14,291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operations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1,266</w:t>
            </w: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1,792</w:t>
            </w:r>
          </w:p>
        </w:tc>
        <w:tc>
          <w:tcPr>
            <w:tcW w:w="3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(13,382)</w:t>
            </w: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Other income (expense):</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income</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20</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36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(10,672)</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(331)</w:t>
            </w:r>
          </w:p>
        </w:tc>
        <w:tc>
          <w:tcPr>
            <w:tcW w:w="3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(33,771)</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on extinguishment of debt</w:t>
            </w: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(26,501)</w:t>
            </w: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(26,501)</w:t>
            </w: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4"/>
                <w:szCs w:val="14"/>
                <w:color w:val="auto"/>
              </w:rPr>
              <w:t>(Loss) income before income taxes</w:t>
            </w: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(35,869)</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tcPr>
          <w:p>
            <w:pPr>
              <w:jc w:val="right"/>
              <w:ind w:right="720"/>
              <w:spacing w:after="0" w:line="155" w:lineRule="exact"/>
              <w:rPr>
                <w:sz w:val="20"/>
                <w:szCs w:val="20"/>
                <w:color w:val="auto"/>
              </w:rPr>
            </w:pPr>
            <w:r>
              <w:rPr>
                <w:rFonts w:ascii="Arial" w:cs="Arial" w:eastAsia="Arial" w:hAnsi="Arial"/>
                <w:sz w:val="14"/>
                <w:szCs w:val="14"/>
                <w:color w:val="auto"/>
              </w:rPr>
              <w:t>1,481</w:t>
            </w:r>
          </w:p>
        </w:tc>
        <w:tc>
          <w:tcPr>
            <w:tcW w:w="360" w:type="dxa"/>
            <w:vAlign w:val="bottom"/>
          </w:tcPr>
          <w:p>
            <w:pPr>
              <w:spacing w:after="0"/>
              <w:rPr>
                <w:sz w:val="13"/>
                <w:szCs w:val="13"/>
                <w:color w:val="auto"/>
              </w:rPr>
            </w:pPr>
          </w:p>
        </w:tc>
        <w:tc>
          <w:tcPr>
            <w:tcW w:w="110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(73,511)</w:t>
            </w: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7,566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 from income taxes</w:t>
            </w: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(15,255)</w:t>
            </w: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(3,637)</w:t>
            </w:r>
          </w:p>
        </w:tc>
        <w:tc>
          <w:tcPr>
            <w:tcW w:w="3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(30,607)</w:t>
            </w: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(7,315)</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4"/>
                <w:szCs w:val="14"/>
                <w:color w:val="auto"/>
              </w:rPr>
              <w:t>Net (loss) income</w:t>
            </w: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(20,614)</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tcPr>
          <w:p>
            <w:pPr>
              <w:jc w:val="right"/>
              <w:ind w:right="720"/>
              <w:spacing w:after="0" w:line="155" w:lineRule="exact"/>
              <w:rPr>
                <w:sz w:val="20"/>
                <w:szCs w:val="20"/>
                <w:color w:val="auto"/>
              </w:rPr>
            </w:pPr>
            <w:r>
              <w:rPr>
                <w:rFonts w:ascii="Arial" w:cs="Arial" w:eastAsia="Arial" w:hAnsi="Arial"/>
                <w:sz w:val="14"/>
                <w:szCs w:val="14"/>
                <w:color w:val="auto"/>
              </w:rPr>
              <w:t>5,118</w:t>
            </w:r>
          </w:p>
        </w:tc>
        <w:tc>
          <w:tcPr>
            <w:tcW w:w="360" w:type="dxa"/>
            <w:vAlign w:val="bottom"/>
          </w:tcPr>
          <w:p>
            <w:pPr>
              <w:spacing w:after="0"/>
              <w:rPr>
                <w:sz w:val="13"/>
                <w:szCs w:val="13"/>
                <w:color w:val="auto"/>
              </w:rPr>
            </w:pPr>
          </w:p>
        </w:tc>
        <w:tc>
          <w:tcPr>
            <w:tcW w:w="110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(42,904)</w:t>
            </w: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14,881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Net income (loss) attributable to the noncontrolling interest, net of tax</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w:t>
            </w: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(22)</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4"/>
                <w:szCs w:val="14"/>
                <w:color w:val="auto"/>
              </w:rPr>
              <w:t>Net (loss) income attributable to ViaSat, Inc.</w:t>
            </w: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3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(20,776)</w:t>
            </w:r>
          </w:p>
        </w:tc>
        <w:tc>
          <w:tcPr>
            <w:tcW w:w="640" w:type="dxa"/>
            <w:vAlign w:val="bottom"/>
            <w:gridSpan w:val="2"/>
          </w:tcPr>
          <w:p>
            <w:pPr>
              <w:ind w:left="320"/>
              <w:spacing w:after="0" w:line="155"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720"/>
              <w:spacing w:after="0" w:line="155" w:lineRule="exact"/>
              <w:rPr>
                <w:sz w:val="20"/>
                <w:szCs w:val="20"/>
                <w:color w:val="auto"/>
              </w:rPr>
            </w:pPr>
            <w:r>
              <w:rPr>
                <w:rFonts w:ascii="Arial" w:cs="Arial" w:eastAsia="Arial" w:hAnsi="Arial"/>
                <w:sz w:val="14"/>
                <w:szCs w:val="14"/>
                <w:color w:val="auto"/>
              </w:rPr>
              <w:t>5,140</w:t>
            </w:r>
          </w:p>
        </w:tc>
        <w:tc>
          <w:tcPr>
            <w:tcW w:w="3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(43,103)</w:t>
            </w:r>
          </w:p>
        </w:tc>
        <w:tc>
          <w:tcPr>
            <w:tcW w:w="78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14,874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Basic net (loss) income per share attributable to ViaSat, Inc. common</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stockholders</w:t>
            </w:r>
          </w:p>
        </w:tc>
        <w:tc>
          <w:tcPr>
            <w:tcW w:w="3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(0.47)</w:t>
            </w:r>
          </w:p>
        </w:tc>
        <w:tc>
          <w:tcPr>
            <w:tcW w:w="64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720"/>
              <w:spacing w:after="0" w:line="159" w:lineRule="exact"/>
              <w:rPr>
                <w:sz w:val="20"/>
                <w:szCs w:val="20"/>
                <w:color w:val="auto"/>
              </w:rPr>
            </w:pPr>
            <w:r>
              <w:rPr>
                <w:rFonts w:ascii="Arial" w:cs="Arial" w:eastAsia="Arial" w:hAnsi="Arial"/>
                <w:sz w:val="14"/>
                <w:szCs w:val="14"/>
                <w:color w:val="auto"/>
              </w:rPr>
              <w:t>0.12</w:t>
            </w:r>
          </w:p>
        </w:tc>
        <w:tc>
          <w:tcPr>
            <w:tcW w:w="3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(0.99)</w:t>
            </w:r>
          </w:p>
        </w:tc>
        <w:tc>
          <w:tcPr>
            <w:tcW w:w="7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tcPr>
          <w:p>
            <w:pPr>
              <w:spacing w:after="0" w:line="138" w:lineRule="exact"/>
              <w:rPr>
                <w:sz w:val="20"/>
                <w:szCs w:val="20"/>
                <w:color w:val="auto"/>
              </w:rPr>
            </w:pPr>
            <w:r>
              <w:rPr>
                <w:rFonts w:ascii="Arial" w:cs="Arial" w:eastAsia="Arial" w:hAnsi="Arial"/>
                <w:sz w:val="14"/>
                <w:szCs w:val="14"/>
                <w:color w:val="auto"/>
              </w:rPr>
              <w:t>Diluted net (loss) income per share attributable to ViaSat, Inc. common</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tcPr>
          <w:p>
            <w:pPr>
              <w:ind w:left="200"/>
              <w:spacing w:after="0" w:line="159" w:lineRule="exact"/>
              <w:rPr>
                <w:sz w:val="20"/>
                <w:szCs w:val="20"/>
                <w:color w:val="auto"/>
              </w:rPr>
            </w:pPr>
            <w:r>
              <w:rPr>
                <w:rFonts w:ascii="Arial" w:cs="Arial" w:eastAsia="Arial" w:hAnsi="Arial"/>
                <w:sz w:val="14"/>
                <w:szCs w:val="14"/>
                <w:color w:val="auto"/>
              </w:rPr>
              <w:t>stockholders</w:t>
            </w:r>
          </w:p>
        </w:tc>
        <w:tc>
          <w:tcPr>
            <w:tcW w:w="3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(0.47)</w:t>
            </w:r>
          </w:p>
        </w:tc>
        <w:tc>
          <w:tcPr>
            <w:tcW w:w="64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720"/>
              <w:spacing w:after="0" w:line="159" w:lineRule="exact"/>
              <w:rPr>
                <w:sz w:val="20"/>
                <w:szCs w:val="20"/>
                <w:color w:val="auto"/>
              </w:rPr>
            </w:pPr>
            <w:r>
              <w:rPr>
                <w:rFonts w:ascii="Arial" w:cs="Arial" w:eastAsia="Arial" w:hAnsi="Arial"/>
                <w:sz w:val="14"/>
                <w:szCs w:val="14"/>
                <w:color w:val="auto"/>
              </w:rPr>
              <w:t>0.12</w:t>
            </w:r>
          </w:p>
        </w:tc>
        <w:tc>
          <w:tcPr>
            <w:tcW w:w="3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(0.99)</w:t>
            </w:r>
          </w:p>
        </w:tc>
        <w:tc>
          <w:tcPr>
            <w:tcW w:w="78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Shares used in computing basic net (loss) income per share</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44,189</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42,452</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43,662</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computing diluted net (loss) income per share</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44,189</w:t>
            </w: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44,333</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43,662</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44,015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 (loss):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Net (loss) income</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(20,614)</w:t>
            </w:r>
          </w:p>
        </w:tc>
        <w:tc>
          <w:tcPr>
            <w:tcW w:w="6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5,118</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(42,904)</w:t>
            </w: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tcPr>
          <w:p>
            <w:pPr>
              <w:ind w:left="420"/>
              <w:spacing w:after="0" w:line="138" w:lineRule="exact"/>
              <w:rPr>
                <w:sz w:val="20"/>
                <w:szCs w:val="20"/>
                <w:color w:val="auto"/>
              </w:rPr>
            </w:pPr>
            <w:r>
              <w:rPr>
                <w:rFonts w:ascii="Arial" w:cs="Arial" w:eastAsia="Arial" w:hAnsi="Arial"/>
                <w:sz w:val="14"/>
                <w:szCs w:val="14"/>
                <w:color w:val="auto"/>
              </w:rPr>
              <w:t>Unrealized gain (loss) on hedging, net of tax of $77, $(268), $103</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tcPr>
          <w:p>
            <w:pPr>
              <w:ind w:left="640"/>
              <w:spacing w:after="0" w:line="159" w:lineRule="exact"/>
              <w:rPr>
                <w:sz w:val="20"/>
                <w:szCs w:val="20"/>
                <w:color w:val="auto"/>
              </w:rPr>
            </w:pPr>
            <w:r>
              <w:rPr>
                <w:rFonts w:ascii="Arial" w:cs="Arial" w:eastAsia="Arial" w:hAnsi="Arial"/>
                <w:sz w:val="14"/>
                <w:szCs w:val="14"/>
                <w:color w:val="auto"/>
              </w:rPr>
              <w:t>and $(268) respectively</w:t>
            </w:r>
          </w:p>
        </w:tc>
        <w:tc>
          <w:tcPr>
            <w:tcW w:w="36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121</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tcPr>
          <w:p>
            <w:pPr>
              <w:jc w:val="right"/>
              <w:ind w:right="720"/>
              <w:spacing w:after="0" w:line="159" w:lineRule="exact"/>
              <w:rPr>
                <w:sz w:val="20"/>
                <w:szCs w:val="20"/>
                <w:color w:val="auto"/>
              </w:rPr>
            </w:pPr>
            <w:r>
              <w:rPr>
                <w:rFonts w:ascii="Arial" w:cs="Arial" w:eastAsia="Arial" w:hAnsi="Arial"/>
                <w:sz w:val="14"/>
                <w:szCs w:val="14"/>
                <w:color w:val="auto"/>
              </w:rPr>
              <w:t>137</w:t>
            </w:r>
          </w:p>
        </w:tc>
        <w:tc>
          <w:tcPr>
            <w:tcW w:w="36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161</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Foreign currency translation adjustments, net of tax of $29, $(74),</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$(11) and $(74) respectively</w:t>
            </w:r>
          </w:p>
        </w:tc>
        <w:tc>
          <w:tcPr>
            <w:tcW w:w="3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(55)</w:t>
            </w: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680"/>
              <w:spacing w:after="0" w:line="159" w:lineRule="exact"/>
              <w:rPr>
                <w:sz w:val="20"/>
                <w:szCs w:val="20"/>
                <w:color w:val="auto"/>
              </w:rPr>
            </w:pPr>
            <w:r>
              <w:rPr>
                <w:rFonts w:ascii="Arial" w:cs="Arial" w:eastAsia="Arial" w:hAnsi="Arial"/>
                <w:sz w:val="14"/>
                <w:szCs w:val="14"/>
                <w:color w:val="auto"/>
              </w:rPr>
              <w:t>(241)</w:t>
            </w: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232</w:t>
            </w:r>
          </w:p>
        </w:tc>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4"/>
                <w:szCs w:val="14"/>
                <w:color w:val="auto"/>
              </w:rPr>
              <w:t>Other comprehensive income (loss), net of tax</w:t>
            </w: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66</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tcPr>
          <w:p>
            <w:pPr>
              <w:jc w:val="right"/>
              <w:ind w:right="680"/>
              <w:spacing w:after="0" w:line="155" w:lineRule="exact"/>
              <w:rPr>
                <w:sz w:val="20"/>
                <w:szCs w:val="20"/>
                <w:color w:val="auto"/>
              </w:rPr>
            </w:pPr>
            <w:r>
              <w:rPr>
                <w:rFonts w:ascii="Arial" w:cs="Arial" w:eastAsia="Arial" w:hAnsi="Arial"/>
                <w:sz w:val="14"/>
                <w:szCs w:val="14"/>
                <w:color w:val="auto"/>
              </w:rPr>
              <w:t>(104)</w:t>
            </w:r>
          </w:p>
        </w:tc>
        <w:tc>
          <w:tcPr>
            <w:tcW w:w="3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393</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 income</w:t>
            </w: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(20,548)</w:t>
            </w: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5,014</w:t>
            </w:r>
          </w:p>
        </w:tc>
        <w:tc>
          <w:tcPr>
            <w:tcW w:w="3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(42,511)</w:t>
            </w: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13,362</w:t>
            </w:r>
          </w:p>
        </w:tc>
        <w:tc>
          <w:tcPr>
            <w:tcW w:w="0" w:type="dxa"/>
            <w:vAlign w:val="bottom"/>
          </w:tcPr>
          <w:p>
            <w:pPr>
              <w:spacing w:after="0"/>
              <w:rPr>
                <w:sz w:val="1"/>
                <w:szCs w:val="1"/>
                <w:color w:val="auto"/>
              </w:rPr>
            </w:pPr>
          </w:p>
        </w:tc>
      </w:tr>
      <w:tr>
        <w:trPr>
          <w:trHeight w:val="145"/>
        </w:trPr>
        <w:tc>
          <w:tcPr>
            <w:tcW w:w="4820" w:type="dxa"/>
            <w:vAlign w:val="bottom"/>
            <w:gridSpan w:val="2"/>
          </w:tcPr>
          <w:p>
            <w:pPr>
              <w:spacing w:after="0" w:line="145" w:lineRule="exact"/>
              <w:rPr>
                <w:sz w:val="20"/>
                <w:szCs w:val="20"/>
                <w:color w:val="auto"/>
              </w:rPr>
            </w:pPr>
            <w:r>
              <w:rPr>
                <w:rFonts w:ascii="Arial" w:cs="Arial" w:eastAsia="Arial" w:hAnsi="Arial"/>
                <w:sz w:val="14"/>
                <w:szCs w:val="14"/>
                <w:color w:val="auto"/>
              </w:rPr>
              <w:t>Less: comprehensive income (loss) attributable to the noncontrolling</w:t>
            </w:r>
          </w:p>
        </w:tc>
        <w:tc>
          <w:tcPr>
            <w:tcW w:w="3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tcPr>
          <w:p>
            <w:pPr>
              <w:ind w:left="200"/>
              <w:spacing w:after="0" w:line="159" w:lineRule="exact"/>
              <w:rPr>
                <w:sz w:val="20"/>
                <w:szCs w:val="20"/>
                <w:color w:val="auto"/>
              </w:rPr>
            </w:pPr>
            <w:r>
              <w:rPr>
                <w:rFonts w:ascii="Arial" w:cs="Arial" w:eastAsia="Arial" w:hAnsi="Arial"/>
                <w:sz w:val="14"/>
                <w:szCs w:val="14"/>
                <w:color w:val="auto"/>
              </w:rPr>
              <w:t>interest, net of tax</w:t>
            </w:r>
          </w:p>
        </w:tc>
        <w:tc>
          <w:tcPr>
            <w:tcW w:w="36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162</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tcPr>
          <w:p>
            <w:pPr>
              <w:jc w:val="right"/>
              <w:ind w:right="680"/>
              <w:spacing w:after="0" w:line="159" w:lineRule="exact"/>
              <w:rPr>
                <w:sz w:val="20"/>
                <w:szCs w:val="20"/>
                <w:color w:val="auto"/>
              </w:rPr>
            </w:pPr>
            <w:r>
              <w:rPr>
                <w:rFonts w:ascii="Arial" w:cs="Arial" w:eastAsia="Arial" w:hAnsi="Arial"/>
                <w:sz w:val="14"/>
                <w:szCs w:val="14"/>
                <w:color w:val="auto"/>
              </w:rPr>
              <w:t>(22)</w:t>
            </w:r>
          </w:p>
        </w:tc>
        <w:tc>
          <w:tcPr>
            <w:tcW w:w="36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199</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 income attributable to ViaSat, Inc.</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(20,710)</w:t>
            </w: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5,036</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(42,710)</w:t>
            </w: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4"/>
                <w:szCs w:val="14"/>
                <w:b w:val="1"/>
                <w:bCs w:val="1"/>
                <w:color w:val="auto"/>
                <w:w w:val="88"/>
              </w:rPr>
              <w:t>Nine Months Ended</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28, 2012</w:t>
            </w: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3"/>
          </w:tcPr>
          <w:p>
            <w:pPr>
              <w:jc w:val="center"/>
              <w:ind w:left="413"/>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Net (loss) income</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(42,904)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income to net cash provided by operating activities: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Depreciation</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98,997</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17,720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(30,997)</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19,410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Loss on disposition of fixed assets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7,070</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loss on extinguishment of debt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6,726</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Repayment of discount on the 2016 Notes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(3,418)</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Receipt of premium on the Additional 2020 Notes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10,500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Other non-cash adjustments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3,256</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resulting from changes in operating assets and liabilities: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(26,830)</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1,256</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(8,920)</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935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Accrued liabilities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(12,536)</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8,873</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49,138</w:t>
            </w: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64,965</w:t>
            </w: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76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property, equipment and satellites, net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(120,182)</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Cash paid for patents, licenses and other assets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(18,880)</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(17,104)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(139,062)</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(176,271)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Proceeds from issuance of Additional 2020 Notes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300,000</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2016 Notes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(271,582)</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Payment of debt issuance costs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(8,059)</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under equity plans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19,512</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Purchase of common stock in treasury</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(7,902)</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capital lease</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(925)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Payments of satellite performance incentives obligation</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(1,025)</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line of credit borrowings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Payments on line of credit</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30,019</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(59,916)</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172,583</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40,490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112,667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7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w w:val="96"/>
              </w:rPr>
              <w:t>Issuance of common stock in satisfaction of certain accrued employee compensation liabilities</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7,060</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rPr>
              <w:t>ViaSat, Inc. Stockholders</w:t>
            </w: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60" w:type="dxa"/>
            <w:vAlign w:val="bottom"/>
            <w:tcBorders>
              <w:bottom w:val="single" w:sz="8" w:color="auto"/>
            </w:tcBorders>
            <w:gridSpan w:val="4"/>
          </w:tcPr>
          <w:p>
            <w:pPr>
              <w:ind w:left="340"/>
              <w:spacing w:after="0" w:line="129" w:lineRule="exact"/>
              <w:rPr>
                <w:sz w:val="20"/>
                <w:szCs w:val="20"/>
                <w:color w:val="auto"/>
              </w:rPr>
            </w:pPr>
            <w:r>
              <w:rPr>
                <w:rFonts w:ascii="Arial" w:cs="Arial" w:eastAsia="Arial" w:hAnsi="Arial"/>
                <w:sz w:val="14"/>
                <w:szCs w:val="14"/>
                <w:b w:val="1"/>
                <w:bCs w:val="1"/>
                <w:color w:val="auto"/>
                <w:w w:val="87"/>
              </w:rPr>
              <w:t>Common Stock</w:t>
            </w: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4"/>
          </w:tcPr>
          <w:p>
            <w:pPr>
              <w:ind w:left="180"/>
              <w:spacing w:after="0" w:line="129" w:lineRule="exact"/>
              <w:rPr>
                <w:sz w:val="20"/>
                <w:szCs w:val="20"/>
                <w:color w:val="auto"/>
              </w:rPr>
            </w:pPr>
            <w:r>
              <w:rPr>
                <w:rFonts w:ascii="Arial" w:cs="Arial" w:eastAsia="Arial" w:hAnsi="Arial"/>
                <w:sz w:val="14"/>
                <w:szCs w:val="14"/>
                <w:b w:val="1"/>
                <w:bCs w:val="1"/>
                <w:color w:val="auto"/>
              </w:rPr>
              <w:t>Common Stock Held</w:t>
            </w: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4"/>
          </w:tcPr>
          <w:p>
            <w:pPr>
              <w:ind w:left="460"/>
              <w:spacing w:after="0" w:line="142" w:lineRule="exact"/>
              <w:rPr>
                <w:sz w:val="20"/>
                <w:szCs w:val="20"/>
                <w:color w:val="auto"/>
              </w:rPr>
            </w:pPr>
            <w:r>
              <w:rPr>
                <w:rFonts w:ascii="Arial" w:cs="Arial" w:eastAsia="Arial" w:hAnsi="Arial"/>
                <w:sz w:val="14"/>
                <w:szCs w:val="14"/>
                <w:b w:val="1"/>
                <w:bCs w:val="1"/>
                <w:color w:val="auto"/>
              </w:rPr>
              <w:t>in Treasury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0"/>
              </w:rPr>
              <w:t>Other</w:t>
            </w: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8"/>
              </w:rPr>
              <w:t>Noncontrolling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9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Paid-in</w:t>
            </w:r>
          </w:p>
        </w:tc>
        <w:tc>
          <w:tcPr>
            <w:tcW w:w="9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8"/>
              </w:rPr>
              <w:t>Retained</w:t>
            </w:r>
          </w:p>
        </w:tc>
        <w:tc>
          <w:tcPr>
            <w:tcW w:w="9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Number of</w:t>
            </w: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1"/>
                <w:szCs w:val="11"/>
                <w:color w:val="auto"/>
              </w:rPr>
            </w:pPr>
          </w:p>
        </w:tc>
        <w:tc>
          <w:tcPr>
            <w:tcW w:w="9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Interest in</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Issued</w:t>
            </w:r>
          </w:p>
        </w:tc>
        <w:tc>
          <w:tcPr>
            <w:tcW w:w="12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Earnings</w:t>
            </w: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6"/>
          </w:tcPr>
          <w:p>
            <w:pPr>
              <w:jc w:val="right"/>
              <w:ind w:right="20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30, 2012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43,776,202</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4</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$649,672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$262,218</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(727,674)</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 (25,358)</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4,218</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741,620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17,025</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17,025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under Employee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Purchase Plan</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2,487</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19,664</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19,664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6"/>
              </w:rPr>
              <w:t>Shares issued in settlement of certain</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employee compensation</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liabilities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197,149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7,060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RSU awards vesting</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576,061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0"/>
              </w:rPr>
              <w:t>Purchase of treasury shares pursuant to</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vesting of certain RSU agreements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(209,135)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Other noncontrolling interest activity</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(43,103)</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199</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9"/>
              </w:rPr>
              <w:t>Other comprehensive income, net of</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tax</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28, 2012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45,368,506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4</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695,908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2"/>
              </w:rPr>
              <w:t>$ 219,115</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(936,809)</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(33,260)</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4,466</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888,065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7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accompanying condensed consolidated balance sheet at December 28, 2012, the condensed consolidated statements of operations and comprehensive income (loss) for the three and nine months ended December 28, 2012 and December 30, 2011, the condensed consolidated statements of cash flows for the nine months ended December 28, 2012 and December 30, 2011 and the condensed consolidated statement of equity for the nine months ended December 28, 2012 have been prepared by the management of ViaSat, Inc. (also referred to hereafter as the Company or ViaSat), and have not been audited. These financial statements have been prepared on the same basis as the audited consolidated financial statements for the fiscal year ended March 30, 2012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30, 2012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2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condensed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Company’s fiscal year is the 52 or 53 weeks ending on the Friday closest to March 31 of the specified year. For example, references to fiscal year 2013 refer to the fiscal year ending on March 29, 2013. The Company’s quarters for fiscal year 2013 end on June 29, 2012, September 28, 2012, December 28, 2012 and March 29, 2013. This results in a 53 week fiscal year approximately every four to five years. Fiscal years 2013 and 2012 are both 52-week years.</w:t>
      </w:r>
    </w:p>
    <w:p>
      <w:pPr>
        <w:spacing w:after="0" w:line="107"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December 28, 2012 and December 30, 2011, the Company recorded losses of approximately $0.6 million and $0.5 million, respectively, related to loss contracts. During the nine months ended December 28, 2012 and December 30, 2011, the Company recorded losses of approximately $3.1 million and $1.2 million, respectively, related to loss contracts.</w:t>
      </w:r>
    </w:p>
    <w:p>
      <w:pPr>
        <w:spacing w:after="0" w:line="10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7"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0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the Company establishes VSOE of the selling price using the price charged for a deliverable when sold separately and for software license updates, product support and hardware systems support, based on the renewal rates offered to customers.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and the stage of the product lifecycle. The determination of ESP considers the Company’s pricing model and go-to-market strategy. As the Company,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2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condensed consolidated financial statements.</w:t>
      </w:r>
    </w:p>
    <w:p>
      <w:pPr>
        <w:spacing w:after="0" w:line="14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completed for fiscal year 2004 and subsequent fiscal years. Although the Company has recorded contract revenues subsequent to fiscal year 2003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December 28, 2012 and March 30, 2012, the Company had $6.9 million and $6.7 million, respectively, in contract-related reserves for its estimate of potential refunds to customers for potential cost adjustments on several multi-year U.S. government cost reimbursable contracts (see Note 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In accordance with the authoritative guidance for advertising costs (ASC 720-35), advertising costs are expensed as incurred and included in selling, general and administrative expenses (SG&amp;A). Advertising expenses for the three months ended December 28, 2012 and December 30, 2011 were $5.5 million and $0.1 million, respectively, and for the nine months ended December 28, 2012 and December 30, 2011 were $17.0 million and $1.6 million,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compensates third parties based on specific commission programs directly related to certain product and service sales. These commission costs are recorded as an element of selling, general and administrative expense as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gateway facilities,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w:t>
      </w:r>
    </w:p>
    <w:p>
      <w:pPr>
        <w:spacing w:after="0" w:line="121"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Interest expense is capitalized on the carrying value of assets under construction, in accordance with the authoritative guidance for the capitalization of interest (ASC 835-20). During the three and nine months ended December 28, 2012, with respect to assets under construction, the Company capitalized $0.7 million and $2.3 million of interest expense, respectively. With respect to ViaSat-1, related gateway and networking equipment and other assets, the Company capitalized $8.1 million and $23.4 million of interest expense during the three and nine months ended December 30, 2011, respectively.</w:t>
      </w:r>
    </w:p>
    <w:p>
      <w:pPr>
        <w:spacing w:after="0" w:line="113"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Company owns two satellites: its new high-capacity Ka-band spot-beam satellite, ViaSat-1 (which was successfully launched into orbit in October 2011 and commenced commercial operation in January 2012) and WildBlue-1 (which was placed into service in March 2007). In addition, the Company has an exclusive prepaid lifetime capital lease of Ka-band capacity over the continental United States on Telesat Canada’s Anik F2 satellite (which was placed into service in April 2005) and owns related gateway and networking equipment for all of its satellites. The Company periodically reviews the remaining estimated useful life of its satellites to determine if revisions to estimated lives are necessary. The Company’s property and equipment also includes the indoor and outdoor customer premise equipment (CPE) units leased to subscribers under a retail leasing program as part of the Company’s satellite services segment. The Company depreciates the satellites, gateway and networking equipment, CPE units and related installation costs over their estimated useful lives. The total cost and accumulated depreciation of CPE units included in property and equipment, net, as of December 28, 2012 were $140.9 million and $45.9 million, respectively. The total cost and accumulated depreciation of CPE units included in property and equipment, net, as of March 30, 2012 were $85.3 million and $33.1 million, respectively.</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Occasionally, the Company may enter into capital lease arrangements for various machinery, equipment, computer-related equipment, software, furniture or fixtures. As of December 28, 2012 and March 30, 2012, assets under capital leases totaled approximately $3.1 million. Accumulated amortization related to such capital leases was $1.2 million and $0.8 million as of December 28, 2012 and March 30, 2012, respectively. The Company records amortization of assets leased under capital lease arrangements within depreciation expense.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As of December 28, 2012 and March 30, 2012, the Company had $3.2 million of capitalized costs related to patents included in other assets. As of December 28, 2012 and March 30, 2012, the Company had $8.6 million and $8.4 million, respectively, of capitalized costs related to acquiring and obtaining orbital slots and other licenses included in other assets. Accumulated amortization related to these assets was approximately $0.6 million and $0.4 million as of December 28, 2012 and March 30, 2012, respectively. Amortization expense related to these assets was an insignificant amount for the three and nine months ended December 28, 2012 and December 30, 2011. If a patent, orbital slot or orbital license is rejected, abandoned or otherwise invalidated, the unamortized cost is expensed in that period. During the three and nine months ended December 28, 2012 and December 30, 2011, the Company did not write off any significant costs due to abandonment or impairment.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Debt issuance costs are amortized and recognized as interest expense on a straight-line basis over the expected term of the related debt, which is not materially different from the effective interest rate basis. During the three and nine months ended December 28, 2012, the Company paid and capitalized approximately $5.8 million and $8.1 million, respectively, in debt issuance costs. During the three and nine months ended December 30, 2011, the Company did not pay or capitalize any debt issuance costs. Unamortized debt issuance costs related to extinguished debt are expensed at the time the debt is extinguished and recorded in loss on extinguishment of debt in the consolidated statements of operations. Unamortized debt issuance costs are recorded in prepaid expenses and other current assets and in other long-term assets in the consolidated balance sheets, depending on the amounts expected to be amortized to interest expense within the next twelve months.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$55.6 million and $42.0 million related to software developed for resale were included in other assets as of December 28, 2012 and March 30, 2012, respectively. The Company capitalized $6.6 million and $19.1 million of costs related to software developed for resale for the three and nine months ended December 28, 2012, respectively. The Company capitalized $6.5 million and $15.8 million of costs related to software developed for resale for the three and nine months ended December 30, 2011, respectively. Amortization expense for software development costs was $1.7 million and $5.5 million for the three and nine months ended December 28, 2012, respectively, and $0.8 million and $3.2 million for the three and nine months ended December 30, 2011,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Company’s self-insurance liability for the plans was $2.0 million and $1.7 million as of December 28, 2012 and March 30, 2012,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December 28, 2012 and March 30, 2012, no such amounts were accrued related to the aforementioned provisions.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During the first nine months of fiscal years 2013 and 2012, the Company issued 576,061 and 443,607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209,135 and 157,183 shares of common stock with a total value of $7.9 million and $7.0 million during the first nine months of fiscal years 2013 and 2012, respectively. Repurchased shares of common stock of 936,809 and 727,674 were held in treasury as of December 28, 2012 and March 30, 2012,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values of the Company’s outstanding foreign currency forward contracts as of December 28, 2012 and March 30, 2012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December 28, 2012</w:t>
            </w:r>
          </w:p>
        </w:tc>
        <w:tc>
          <w:tcPr>
            <w:tcW w:w="50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w w:val="90"/>
              </w:rPr>
              <w:t>March 30, 2012</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Other current</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Other current</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5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assets</w:t>
            </w:r>
          </w:p>
        </w:tc>
        <w:tc>
          <w:tcPr>
            <w:tcW w:w="680" w:type="dxa"/>
            <w:vAlign w:val="bottom"/>
          </w:tcPr>
          <w:p>
            <w:pPr>
              <w:spacing w:after="0"/>
              <w:rPr>
                <w:sz w:val="13"/>
                <w:szCs w:val="13"/>
                <w:color w:val="auto"/>
              </w:rPr>
            </w:pPr>
          </w:p>
        </w:tc>
        <w:tc>
          <w:tcPr>
            <w:tcW w:w="17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Accrued liabilities</w:t>
            </w:r>
          </w:p>
        </w:tc>
        <w:tc>
          <w:tcPr>
            <w:tcW w:w="160" w:type="dxa"/>
            <w:vAlign w:val="bottom"/>
          </w:tcPr>
          <w:p>
            <w:pPr>
              <w:spacing w:after="0"/>
              <w:rPr>
                <w:sz w:val="13"/>
                <w:szCs w:val="13"/>
                <w:color w:val="auto"/>
              </w:rPr>
            </w:pPr>
          </w:p>
        </w:tc>
        <w:tc>
          <w:tcPr>
            <w:tcW w:w="66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assets</w:t>
            </w:r>
          </w:p>
        </w:tc>
        <w:tc>
          <w:tcPr>
            <w:tcW w:w="720" w:type="dxa"/>
            <w:vAlign w:val="bottom"/>
          </w:tcPr>
          <w:p>
            <w:pPr>
              <w:spacing w:after="0"/>
              <w:rPr>
                <w:sz w:val="13"/>
                <w:szCs w:val="13"/>
                <w:color w:val="auto"/>
              </w:rPr>
            </w:pPr>
          </w:p>
        </w:tc>
        <w:tc>
          <w:tcPr>
            <w:tcW w:w="114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w w:val="85"/>
              </w:rPr>
              <w:t>Accrued liabilities</w:t>
            </w:r>
          </w:p>
        </w:tc>
        <w:tc>
          <w:tcPr>
            <w:tcW w:w="0" w:type="dxa"/>
            <w:vAlign w:val="bottom"/>
          </w:tcPr>
          <w:p>
            <w:pPr>
              <w:spacing w:after="0"/>
              <w:rPr>
                <w:sz w:val="1"/>
                <w:szCs w:val="1"/>
                <w:color w:val="auto"/>
              </w:rPr>
            </w:pPr>
          </w:p>
        </w:tc>
      </w:tr>
      <w:tr>
        <w:trPr>
          <w:trHeight w:val="149"/>
        </w:trPr>
        <w:tc>
          <w:tcPr>
            <w:tcW w:w="2860" w:type="dxa"/>
            <w:vAlign w:val="bottom"/>
            <w:tcBorders>
              <w:top w:val="single" w:sz="8" w:color="auto"/>
            </w:tcBorders>
          </w:tcPr>
          <w:p>
            <w:pPr>
              <w:spacing w:after="0"/>
              <w:rPr>
                <w:sz w:val="12"/>
                <w:szCs w:val="12"/>
                <w:color w:val="auto"/>
              </w:rPr>
            </w:pPr>
          </w:p>
        </w:tc>
        <w:tc>
          <w:tcPr>
            <w:tcW w:w="26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ind w:left="440"/>
              <w:spacing w:after="0" w:line="149" w:lineRule="exact"/>
              <w:rPr>
                <w:sz w:val="20"/>
                <w:szCs w:val="20"/>
                <w:color w:val="auto"/>
              </w:rPr>
            </w:pPr>
            <w:r>
              <w:rPr>
                <w:rFonts w:ascii="Arial" w:cs="Arial" w:eastAsia="Arial" w:hAnsi="Arial"/>
                <w:sz w:val="14"/>
                <w:szCs w:val="14"/>
                <w:b w:val="1"/>
                <w:bCs w:val="1"/>
                <w:color w:val="auto"/>
                <w:w w:val="93"/>
              </w:rPr>
              <w:t>(In thousands)</w:t>
            </w:r>
          </w:p>
        </w:tc>
        <w:tc>
          <w:tcPr>
            <w:tcW w:w="6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Total derivatives designated as hedging instruments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notional value of foreign currency forward contracts outstanding as of December 28, 2012 and March 30, 2012 was $2.5 million and $9.6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effects of foreign currency forward contracts in cash flow hedging relationships during the three months ended December 28, 2012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Gain or</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0"/>
              </w:rPr>
              <w:t>(Loss)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86"/>
              </w:rPr>
              <w:t>Amount</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Location of</w:t>
            </w:r>
          </w:p>
        </w:tc>
        <w:tc>
          <w:tcPr>
            <w:tcW w:w="10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Amount of</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Recognized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87"/>
              </w:rPr>
              <w:t>of Gain or</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Gain or</w:t>
            </w: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Gain or</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(Loss)</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 Income on</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80"/>
              </w:rPr>
              <w:t>(Loss)</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(Loss)</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83"/>
              </w:rPr>
              <w:t>Recognized</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10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 on</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in Accumulated</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from</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Derivatives</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Portion and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rPr>
              <w:t>OCI</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(Ineffective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81"/>
              </w:rPr>
              <w:t>on</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OCI into</w:t>
            </w: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OCI into</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Portion 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Excluded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88"/>
              </w:rPr>
              <w:t>Derivatives</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Income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Excluded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in Cash Flow Hedging Relationships</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85"/>
              </w:rPr>
              <w:t>(Effective</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(Effective</w:t>
            </w: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(Effective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from Effectiveness</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0" w:type="dxa"/>
            <w:vAlign w:val="bottom"/>
          </w:tcPr>
          <w:p>
            <w:pPr>
              <w:spacing w:after="0"/>
              <w:rPr>
                <w:sz w:val="1"/>
                <w:szCs w:val="1"/>
                <w:color w:val="auto"/>
              </w:rPr>
            </w:pPr>
          </w:p>
        </w:tc>
      </w:tr>
      <w:tr>
        <w:trPr>
          <w:trHeight w:val="155"/>
        </w:trPr>
        <w:tc>
          <w:tcPr>
            <w:tcW w:w="296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49"/>
              <w:spacing w:after="0" w:line="148" w:lineRule="exact"/>
              <w:rPr>
                <w:sz w:val="20"/>
                <w:szCs w:val="20"/>
                <w:color w:val="auto"/>
              </w:rPr>
            </w:pPr>
            <w:r>
              <w:rPr>
                <w:rFonts w:ascii="Arial" w:cs="Arial" w:eastAsia="Arial" w:hAnsi="Arial"/>
                <w:sz w:val="14"/>
                <w:szCs w:val="14"/>
                <w:b w:val="1"/>
                <w:bCs w:val="1"/>
                <w:color w:val="auto"/>
                <w:w w:val="89"/>
              </w:rPr>
              <w:t>Portion)</w:t>
            </w:r>
          </w:p>
        </w:tc>
        <w:tc>
          <w:tcPr>
            <w:tcW w:w="2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Portion)</w:t>
            </w:r>
          </w:p>
        </w:tc>
        <w:tc>
          <w:tcPr>
            <w:tcW w:w="100" w:type="dxa"/>
            <w:vAlign w:val="bottom"/>
          </w:tcPr>
          <w:p>
            <w:pPr>
              <w:spacing w:after="0"/>
              <w:rPr>
                <w:sz w:val="13"/>
                <w:szCs w:val="13"/>
                <w:color w:val="auto"/>
              </w:rPr>
            </w:pPr>
          </w:p>
        </w:tc>
        <w:tc>
          <w:tcPr>
            <w:tcW w:w="92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9"/>
              </w:rPr>
              <w:t>Portion)</w:t>
            </w:r>
          </w:p>
        </w:tc>
        <w:tc>
          <w:tcPr>
            <w:tcW w:w="1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Testing)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4"/>
              </w:rPr>
              <w:t>Testing)</w:t>
            </w:r>
          </w:p>
        </w:tc>
        <w:tc>
          <w:tcPr>
            <w:tcW w:w="0" w:type="dxa"/>
            <w:vAlign w:val="bottom"/>
          </w:tcPr>
          <w:p>
            <w:pPr>
              <w:spacing w:after="0"/>
              <w:rPr>
                <w:sz w:val="1"/>
                <w:szCs w:val="1"/>
                <w:color w:val="auto"/>
              </w:rPr>
            </w:pPr>
          </w:p>
        </w:tc>
      </w:tr>
      <w:tr>
        <w:trPr>
          <w:trHeight w:val="149"/>
        </w:trPr>
        <w:tc>
          <w:tcPr>
            <w:tcW w:w="2960" w:type="dxa"/>
            <w:vAlign w:val="bottom"/>
            <w:tcBorders>
              <w:top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740" w:type="dxa"/>
            <w:vAlign w:val="bottom"/>
            <w:tcBorders>
              <w:top w:val="single" w:sz="8" w:color="auto"/>
            </w:tcBorders>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rPr>
              <w:t>(In thousands)</w:t>
            </w:r>
          </w:p>
        </w:tc>
        <w:tc>
          <w:tcPr>
            <w:tcW w:w="1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Cost of product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1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 applicable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960" w:type="dxa"/>
            <w:vAlign w:val="bottom"/>
            <w:vMerge w:val="continue"/>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2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15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vMerge w:val="restart"/>
          </w:tcPr>
          <w:p>
            <w:pPr>
              <w:ind w:left="48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effects of foreign currency forward contracts in cash flow hedging relationships during the nine months ended December 28, 2012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Gain or</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0"/>
              </w:rPr>
              <w:t>(Loss)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Amount</w:t>
            </w:r>
          </w:p>
        </w:tc>
        <w:tc>
          <w:tcPr>
            <w:tcW w:w="2440" w:type="dxa"/>
            <w:vAlign w:val="bottom"/>
          </w:tcPr>
          <w:p>
            <w:pPr>
              <w:jc w:val="center"/>
              <w:ind w:right="231"/>
              <w:spacing w:after="0" w:line="149" w:lineRule="exact"/>
              <w:rPr>
                <w:sz w:val="20"/>
                <w:szCs w:val="20"/>
                <w:color w:val="auto"/>
              </w:rPr>
            </w:pPr>
            <w:r>
              <w:rPr>
                <w:rFonts w:ascii="Arial" w:cs="Arial" w:eastAsia="Arial" w:hAnsi="Arial"/>
                <w:sz w:val="14"/>
                <w:szCs w:val="14"/>
                <w:b w:val="1"/>
                <w:bCs w:val="1"/>
                <w:color w:val="auto"/>
                <w:w w:val="87"/>
              </w:rPr>
              <w:t>Location of</w:t>
            </w: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Amount of</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Recognized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 Gain or</w:t>
            </w:r>
          </w:p>
        </w:tc>
        <w:tc>
          <w:tcPr>
            <w:tcW w:w="244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9"/>
              </w:rPr>
              <w:t>Gain or</w:t>
            </w: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Gain or</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(Loss)</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 Income on</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0"/>
              </w:rPr>
              <w:t>(Loss)</w:t>
            </w:r>
          </w:p>
        </w:tc>
        <w:tc>
          <w:tcPr>
            <w:tcW w:w="244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0"/>
              </w:rPr>
              <w:t>(Loss)</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Recognized</w:t>
            </w:r>
          </w:p>
        </w:tc>
        <w:tc>
          <w:tcPr>
            <w:tcW w:w="244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 on</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 Accumulated</w:t>
            </w:r>
          </w:p>
        </w:tc>
        <w:tc>
          <w:tcPr>
            <w:tcW w:w="244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9"/>
              </w:rPr>
              <w:t>from</w:t>
            </w: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from</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Derivatives</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Portion and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OCI</w:t>
            </w:r>
          </w:p>
        </w:tc>
        <w:tc>
          <w:tcPr>
            <w:tcW w:w="244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(Ineffective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on</w:t>
            </w:r>
          </w:p>
        </w:tc>
        <w:tc>
          <w:tcPr>
            <w:tcW w:w="244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95"/>
              </w:rPr>
              <w:t>OCI into</w:t>
            </w: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OCI into</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Portion 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Excluded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244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Income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Excluded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in Cash Flow Hedging Relationships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(Effective</w:t>
            </w:r>
          </w:p>
        </w:tc>
        <w:tc>
          <w:tcPr>
            <w:tcW w:w="244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8"/>
              </w:rPr>
              <w:t>(Effective</w:t>
            </w: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(Effective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from Effectiveness</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0" w:type="dxa"/>
            <w:vAlign w:val="bottom"/>
          </w:tcPr>
          <w:p>
            <w:pPr>
              <w:spacing w:after="0"/>
              <w:rPr>
                <w:sz w:val="1"/>
                <w:szCs w:val="1"/>
                <w:color w:val="auto"/>
              </w:rPr>
            </w:pPr>
          </w:p>
        </w:tc>
      </w:tr>
      <w:tr>
        <w:trPr>
          <w:trHeight w:val="155"/>
        </w:trPr>
        <w:tc>
          <w:tcPr>
            <w:tcW w:w="29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9"/>
              </w:rPr>
              <w:t>Portion)</w:t>
            </w:r>
          </w:p>
        </w:tc>
        <w:tc>
          <w:tcPr>
            <w:tcW w:w="2440" w:type="dxa"/>
            <w:vAlign w:val="bottom"/>
          </w:tcPr>
          <w:p>
            <w:pPr>
              <w:jc w:val="center"/>
              <w:ind w:right="211"/>
              <w:spacing w:after="0" w:line="148" w:lineRule="exact"/>
              <w:rPr>
                <w:sz w:val="20"/>
                <w:szCs w:val="20"/>
                <w:color w:val="auto"/>
              </w:rPr>
            </w:pPr>
            <w:r>
              <w:rPr>
                <w:rFonts w:ascii="Arial" w:cs="Arial" w:eastAsia="Arial" w:hAnsi="Arial"/>
                <w:sz w:val="14"/>
                <w:szCs w:val="14"/>
                <w:b w:val="1"/>
                <w:bCs w:val="1"/>
                <w:color w:val="auto"/>
                <w:w w:val="89"/>
              </w:rPr>
              <w:t>Portion)</w:t>
            </w:r>
          </w:p>
        </w:tc>
        <w:tc>
          <w:tcPr>
            <w:tcW w:w="100" w:type="dxa"/>
            <w:vAlign w:val="bottom"/>
          </w:tcPr>
          <w:p>
            <w:pPr>
              <w:spacing w:after="0"/>
              <w:rPr>
                <w:sz w:val="13"/>
                <w:szCs w:val="13"/>
                <w:color w:val="auto"/>
              </w:rPr>
            </w:pPr>
          </w:p>
        </w:tc>
        <w:tc>
          <w:tcPr>
            <w:tcW w:w="94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9"/>
              </w:rPr>
              <w:t>Portion)</w:t>
            </w:r>
          </w:p>
        </w:tc>
        <w:tc>
          <w:tcPr>
            <w:tcW w:w="1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Testing)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4"/>
              </w:rPr>
              <w:t>Testing)</w:t>
            </w:r>
          </w:p>
        </w:tc>
        <w:tc>
          <w:tcPr>
            <w:tcW w:w="0" w:type="dxa"/>
            <w:vAlign w:val="bottom"/>
          </w:tcPr>
          <w:p>
            <w:pPr>
              <w:spacing w:after="0"/>
              <w:rPr>
                <w:sz w:val="1"/>
                <w:szCs w:val="1"/>
                <w:color w:val="auto"/>
              </w:rPr>
            </w:pPr>
          </w:p>
        </w:tc>
      </w:tr>
      <w:tr>
        <w:trPr>
          <w:trHeight w:val="149"/>
        </w:trPr>
        <w:tc>
          <w:tcPr>
            <w:tcW w:w="2960" w:type="dxa"/>
            <w:vAlign w:val="bottom"/>
            <w:tcBorders>
              <w:top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80" w:type="dxa"/>
            <w:vAlign w:val="bottom"/>
            <w:tcBorders>
              <w:top w:val="single" w:sz="8" w:color="auto"/>
            </w:tcBorders>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rPr>
              <w:t>(In thousands)</w:t>
            </w:r>
          </w:p>
        </w:tc>
        <w:tc>
          <w:tcPr>
            <w:tcW w:w="15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w:t>
            </w:r>
          </w:p>
        </w:tc>
        <w:tc>
          <w:tcPr>
            <w:tcW w:w="2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product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w:t>
            </w:r>
          </w:p>
        </w:tc>
        <w:tc>
          <w:tcPr>
            <w:tcW w:w="1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 applicable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6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(463)</w:t>
            </w:r>
          </w:p>
        </w:tc>
        <w:tc>
          <w:tcPr>
            <w:tcW w:w="2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(727)</w:t>
            </w:r>
          </w:p>
        </w:tc>
        <w:tc>
          <w:tcPr>
            <w:tcW w:w="15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effects of foreign currency forward contracts in cash flow hedging relationships during the three months ended December 30, 2011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Gain or</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0"/>
              </w:rPr>
              <w:t>(Loss)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Amount</w:t>
            </w:r>
          </w:p>
        </w:tc>
        <w:tc>
          <w:tcPr>
            <w:tcW w:w="2440" w:type="dxa"/>
            <w:vAlign w:val="bottom"/>
          </w:tcPr>
          <w:p>
            <w:pPr>
              <w:jc w:val="center"/>
              <w:ind w:right="231"/>
              <w:spacing w:after="0" w:line="149" w:lineRule="exact"/>
              <w:rPr>
                <w:sz w:val="20"/>
                <w:szCs w:val="20"/>
                <w:color w:val="auto"/>
              </w:rPr>
            </w:pPr>
            <w:r>
              <w:rPr>
                <w:rFonts w:ascii="Arial" w:cs="Arial" w:eastAsia="Arial" w:hAnsi="Arial"/>
                <w:sz w:val="14"/>
                <w:szCs w:val="14"/>
                <w:b w:val="1"/>
                <w:bCs w:val="1"/>
                <w:color w:val="auto"/>
                <w:w w:val="87"/>
              </w:rPr>
              <w:t>Location of</w:t>
            </w: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Amount of</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Recognized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 Gain or</w:t>
            </w:r>
          </w:p>
        </w:tc>
        <w:tc>
          <w:tcPr>
            <w:tcW w:w="244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9"/>
              </w:rPr>
              <w:t>Gain or</w:t>
            </w: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Gain or</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(Loss)</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 Income on</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0"/>
              </w:rPr>
              <w:t>(Loss)</w:t>
            </w:r>
          </w:p>
        </w:tc>
        <w:tc>
          <w:tcPr>
            <w:tcW w:w="244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0"/>
              </w:rPr>
              <w:t>(Loss)</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Recognized</w:t>
            </w:r>
          </w:p>
        </w:tc>
        <w:tc>
          <w:tcPr>
            <w:tcW w:w="244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 on</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 Accumulated</w:t>
            </w:r>
          </w:p>
        </w:tc>
        <w:tc>
          <w:tcPr>
            <w:tcW w:w="244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9"/>
              </w:rPr>
              <w:t>from</w:t>
            </w: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from</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Derivatives</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Portion and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OCI</w:t>
            </w:r>
          </w:p>
        </w:tc>
        <w:tc>
          <w:tcPr>
            <w:tcW w:w="244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(Ineffective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on</w:t>
            </w:r>
          </w:p>
        </w:tc>
        <w:tc>
          <w:tcPr>
            <w:tcW w:w="244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95"/>
              </w:rPr>
              <w:t>OCI into</w:t>
            </w: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OCI into</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Portion 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Excluded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244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Income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Excluded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in Cash Flow Hedging Relationships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(Effective</w:t>
            </w:r>
          </w:p>
        </w:tc>
        <w:tc>
          <w:tcPr>
            <w:tcW w:w="244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8"/>
              </w:rPr>
              <w:t>(Effective</w:t>
            </w: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(Effective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from Effectiveness</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0" w:type="dxa"/>
            <w:vAlign w:val="bottom"/>
          </w:tcPr>
          <w:p>
            <w:pPr>
              <w:spacing w:after="0"/>
              <w:rPr>
                <w:sz w:val="1"/>
                <w:szCs w:val="1"/>
                <w:color w:val="auto"/>
              </w:rPr>
            </w:pPr>
          </w:p>
        </w:tc>
      </w:tr>
      <w:tr>
        <w:trPr>
          <w:trHeight w:val="155"/>
        </w:trPr>
        <w:tc>
          <w:tcPr>
            <w:tcW w:w="29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9"/>
              </w:rPr>
              <w:t>Portion)</w:t>
            </w:r>
          </w:p>
        </w:tc>
        <w:tc>
          <w:tcPr>
            <w:tcW w:w="2440" w:type="dxa"/>
            <w:vAlign w:val="bottom"/>
          </w:tcPr>
          <w:p>
            <w:pPr>
              <w:jc w:val="center"/>
              <w:ind w:right="211"/>
              <w:spacing w:after="0" w:line="148" w:lineRule="exact"/>
              <w:rPr>
                <w:sz w:val="20"/>
                <w:szCs w:val="20"/>
                <w:color w:val="auto"/>
              </w:rPr>
            </w:pPr>
            <w:r>
              <w:rPr>
                <w:rFonts w:ascii="Arial" w:cs="Arial" w:eastAsia="Arial" w:hAnsi="Arial"/>
                <w:sz w:val="14"/>
                <w:szCs w:val="14"/>
                <w:b w:val="1"/>
                <w:bCs w:val="1"/>
                <w:color w:val="auto"/>
                <w:w w:val="89"/>
              </w:rPr>
              <w:t>Portion)</w:t>
            </w:r>
          </w:p>
        </w:tc>
        <w:tc>
          <w:tcPr>
            <w:tcW w:w="100" w:type="dxa"/>
            <w:vAlign w:val="bottom"/>
          </w:tcPr>
          <w:p>
            <w:pPr>
              <w:spacing w:after="0"/>
              <w:rPr>
                <w:sz w:val="13"/>
                <w:szCs w:val="13"/>
                <w:color w:val="auto"/>
              </w:rPr>
            </w:pPr>
          </w:p>
        </w:tc>
        <w:tc>
          <w:tcPr>
            <w:tcW w:w="94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9"/>
              </w:rPr>
              <w:t>Portion)</w:t>
            </w:r>
          </w:p>
        </w:tc>
        <w:tc>
          <w:tcPr>
            <w:tcW w:w="1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Testing)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4"/>
              </w:rPr>
              <w:t>Testing)</w:t>
            </w:r>
          </w:p>
        </w:tc>
        <w:tc>
          <w:tcPr>
            <w:tcW w:w="0" w:type="dxa"/>
            <w:vAlign w:val="bottom"/>
          </w:tcPr>
          <w:p>
            <w:pPr>
              <w:spacing w:after="0"/>
              <w:rPr>
                <w:sz w:val="1"/>
                <w:szCs w:val="1"/>
                <w:color w:val="auto"/>
              </w:rPr>
            </w:pPr>
          </w:p>
        </w:tc>
      </w:tr>
      <w:tr>
        <w:trPr>
          <w:trHeight w:val="149"/>
        </w:trPr>
        <w:tc>
          <w:tcPr>
            <w:tcW w:w="2960" w:type="dxa"/>
            <w:vAlign w:val="bottom"/>
            <w:tcBorders>
              <w:top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80" w:type="dxa"/>
            <w:vAlign w:val="bottom"/>
            <w:tcBorders>
              <w:top w:val="single" w:sz="8" w:color="auto"/>
            </w:tcBorders>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rPr>
              <w:t>(In thousands)</w:t>
            </w:r>
          </w:p>
        </w:tc>
        <w:tc>
          <w:tcPr>
            <w:tcW w:w="15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w:t>
            </w:r>
          </w:p>
        </w:tc>
        <w:tc>
          <w:tcPr>
            <w:tcW w:w="2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product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1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 applicable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6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(243)</w:t>
            </w:r>
          </w:p>
        </w:tc>
        <w:tc>
          <w:tcPr>
            <w:tcW w:w="2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5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effects of foreign currency forward contracts in cash flow hedging relationships during the nine months ended December 30, 2011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Gain or</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0"/>
              </w:rPr>
              <w:t>(Loss)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Amount</w:t>
            </w:r>
          </w:p>
        </w:tc>
        <w:tc>
          <w:tcPr>
            <w:tcW w:w="242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7"/>
              </w:rPr>
              <w:t>Location of</w:t>
            </w: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Amount of</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Recognized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 Gain or</w:t>
            </w:r>
          </w:p>
        </w:tc>
        <w:tc>
          <w:tcPr>
            <w:tcW w:w="242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93"/>
              </w:rPr>
              <w:t>Gain or</w:t>
            </w: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Gain or</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(Loss)</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 Income on</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(Loss)</w:t>
            </w:r>
          </w:p>
        </w:tc>
        <w:tc>
          <w:tcPr>
            <w:tcW w:w="242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0"/>
              </w:rPr>
              <w:t>(Loss)</w:t>
            </w: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0"/>
              </w:rPr>
              <w:t>(Loss)</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Recognized</w:t>
            </w:r>
          </w:p>
        </w:tc>
        <w:tc>
          <w:tcPr>
            <w:tcW w:w="242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5"/>
              </w:rPr>
              <w:t>Reclassified</w:t>
            </w: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 on</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 Accumulated</w:t>
            </w:r>
          </w:p>
        </w:tc>
        <w:tc>
          <w:tcPr>
            <w:tcW w:w="242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96"/>
              </w:rPr>
              <w:t>from</w:t>
            </w: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from</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Derivatives</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Portion and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OCI</w:t>
            </w:r>
          </w:p>
        </w:tc>
        <w:tc>
          <w:tcPr>
            <w:tcW w:w="242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(Ineffective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on</w:t>
            </w:r>
          </w:p>
        </w:tc>
        <w:tc>
          <w:tcPr>
            <w:tcW w:w="242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91"/>
              </w:rPr>
              <w:t>OCI into</w:t>
            </w: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OCI into</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Portion 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Excluded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Derivatives</w:t>
            </w:r>
          </w:p>
        </w:tc>
        <w:tc>
          <w:tcPr>
            <w:tcW w:w="242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Income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Excluded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in Cash Flow Hedging Relationships</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(Effective</w:t>
            </w:r>
          </w:p>
        </w:tc>
        <w:tc>
          <w:tcPr>
            <w:tcW w:w="2420" w:type="dxa"/>
            <w:vAlign w:val="bottom"/>
          </w:tcPr>
          <w:p>
            <w:pPr>
              <w:jc w:val="center"/>
              <w:ind w:right="211"/>
              <w:spacing w:after="0" w:line="149" w:lineRule="exact"/>
              <w:rPr>
                <w:sz w:val="20"/>
                <w:szCs w:val="20"/>
                <w:color w:val="auto"/>
              </w:rPr>
            </w:pPr>
            <w:r>
              <w:rPr>
                <w:rFonts w:ascii="Arial" w:cs="Arial" w:eastAsia="Arial" w:hAnsi="Arial"/>
                <w:sz w:val="14"/>
                <w:szCs w:val="14"/>
                <w:b w:val="1"/>
                <w:bCs w:val="1"/>
                <w:color w:val="auto"/>
                <w:w w:val="85"/>
              </w:rPr>
              <w:t>(Effective</w:t>
            </w: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(Effective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from Effectiveness</w:t>
            </w:r>
          </w:p>
        </w:tc>
        <w:tc>
          <w:tcPr>
            <w:tcW w:w="2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0" w:type="dxa"/>
            <w:vAlign w:val="bottom"/>
          </w:tcPr>
          <w:p>
            <w:pPr>
              <w:spacing w:after="0"/>
              <w:rPr>
                <w:sz w:val="1"/>
                <w:szCs w:val="1"/>
                <w:color w:val="auto"/>
              </w:rPr>
            </w:pPr>
          </w:p>
        </w:tc>
      </w:tr>
      <w:tr>
        <w:trPr>
          <w:trHeight w:val="155"/>
        </w:trPr>
        <w:tc>
          <w:tcPr>
            <w:tcW w:w="296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9"/>
              </w:rPr>
              <w:t>Portion)</w:t>
            </w:r>
          </w:p>
        </w:tc>
        <w:tc>
          <w:tcPr>
            <w:tcW w:w="2420" w:type="dxa"/>
            <w:vAlign w:val="bottom"/>
          </w:tcPr>
          <w:p>
            <w:pPr>
              <w:jc w:val="center"/>
              <w:ind w:right="191"/>
              <w:spacing w:after="0" w:line="148" w:lineRule="exact"/>
              <w:rPr>
                <w:sz w:val="20"/>
                <w:szCs w:val="20"/>
                <w:color w:val="auto"/>
              </w:rPr>
            </w:pPr>
            <w:r>
              <w:rPr>
                <w:rFonts w:ascii="Arial" w:cs="Arial" w:eastAsia="Arial" w:hAnsi="Arial"/>
                <w:sz w:val="14"/>
                <w:szCs w:val="14"/>
                <w:b w:val="1"/>
                <w:bCs w:val="1"/>
                <w:color w:val="auto"/>
                <w:w w:val="89"/>
              </w:rPr>
              <w:t>Portion)</w:t>
            </w:r>
          </w:p>
        </w:tc>
        <w:tc>
          <w:tcPr>
            <w:tcW w:w="100" w:type="dxa"/>
            <w:vAlign w:val="bottom"/>
          </w:tcPr>
          <w:p>
            <w:pPr>
              <w:spacing w:after="0"/>
              <w:rPr>
                <w:sz w:val="13"/>
                <w:szCs w:val="13"/>
                <w:color w:val="auto"/>
              </w:rPr>
            </w:pPr>
          </w:p>
        </w:tc>
        <w:tc>
          <w:tcPr>
            <w:tcW w:w="94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9"/>
              </w:rPr>
              <w:t>Portion)</w:t>
            </w:r>
          </w:p>
        </w:tc>
        <w:tc>
          <w:tcPr>
            <w:tcW w:w="1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Testing)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4"/>
              </w:rPr>
              <w:t>Testing)</w:t>
            </w:r>
          </w:p>
        </w:tc>
        <w:tc>
          <w:tcPr>
            <w:tcW w:w="0" w:type="dxa"/>
            <w:vAlign w:val="bottom"/>
          </w:tcPr>
          <w:p>
            <w:pPr>
              <w:spacing w:after="0"/>
              <w:rPr>
                <w:sz w:val="1"/>
                <w:szCs w:val="1"/>
                <w:color w:val="auto"/>
              </w:rPr>
            </w:pPr>
          </w:p>
        </w:tc>
      </w:tr>
      <w:tr>
        <w:trPr>
          <w:trHeight w:val="149"/>
        </w:trPr>
        <w:tc>
          <w:tcPr>
            <w:tcW w:w="2960" w:type="dxa"/>
            <w:vAlign w:val="bottom"/>
            <w:tcBorders>
              <w:top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60" w:type="dxa"/>
            <w:vAlign w:val="bottom"/>
            <w:tcBorders>
              <w:top w:val="single" w:sz="8" w:color="auto"/>
            </w:tcBorders>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rPr>
              <w:t>(In thousands)</w:t>
            </w:r>
          </w:p>
        </w:tc>
        <w:tc>
          <w:tcPr>
            <w:tcW w:w="15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w:t>
            </w:r>
          </w:p>
        </w:tc>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product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 applicable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6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(880)</w:t>
            </w:r>
          </w:p>
        </w:tc>
        <w:tc>
          <w:tcPr>
            <w:tcW w:w="2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5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At December 28, 2012, the estimated net amount of unrealized gains or losses related to foreign currency forward contracts that was expected to be reclassified to earnings within the next twelve months was approximately $0.1 million. The Company’s foreign currency forward contracts outstanding as of December 28, 2012 will mature within nine to twenty three months from their inception. There were no gains or losses from ineffectiveness of these derivative instruments recorded for the three and nine months ended December 28, 2012 and December 30, 2011.</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Stock-based compensation expense is recognized in the condensed consolidated statements of operations and comprehensive income (loss) for the three and nine months ended December 28, 2012 and December 30, 2011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 The Company recognized $7.0 million and $19.4 million of stock-based compensation expense for the three and nine months ended December 28, 2012, respectively, and $5.8 million and $14.8 million of stock-based compensation expense for the three and nine months ended December 30, 2011, respectively.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nine months ended December 28, 2012 and December 30, 2011, the Company recorded no incremental tax benefits from stock options exercised and restricted stock unit award vesting as the excess tax benefit from stock options exercised and restricted stock unit award vesting increased the Company’s net operating loss carryforward.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 The Company’s policy is to recognize interest expense and penalties related to income tax matters as a component of income tax expense. Current income tax expense is the amount of income taxes expected to be payable for the current fiscal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 The Company’s analysis of the need for a valuation allowance considered the loss incurred during the nine months ended December 28, 2012. However, a substantial portion of the current loss was the result of an extinguishment of debt charge that was recorded upon the refinancing of certain of the Company’s debt obligations at lower interest rates, which is expected to provide a benefit to net income in the future. The Company’s evaluation considered other factors, including the Company’s history of positive earnings, taxable income adjusted for certain items, the Company’s significant growth in contractual backlog, and trends and forecasted income by jurisdiction. Consideration was also given to the lengthy period over which these net deferred tax assets can be realized, and the Company’s history of not having federal tax loss carryforwards expire unused.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June 2011, the FASB issued ASU 2011-05, Comprehensive Income (ASC 220): Presentation of Comprehensive Income. The new authoritative guidance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requires an entity to present the total of comprehensive income, the components of net income, and the components of other comprehensive income either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single continuous statement of comprehensive income or in two separate but consecutive statements. The new authoritative guidance eliminates the option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present the components of other comprehensive income as part of the statement of equity. In December 2011, the FASB further amended its guidance to defer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related to the presentation of reclassification adjustments indefinitely as a result of concerns raised by stakeholders that the new presentation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requirements would be difficult for preparers and add unnecessary complexity to financial statements. The authoritative guidance (other than the portion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regarding the presentation of reclassification adjustments which, as noted above, has been deferred indefinitely) became effective for the Company beginning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quarter of fiscal year 2013. In the first quarter of fiscal year 2013, the Company retrospectively adopted the new accounting standard for the presentation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comprehensive income in financial statements which resulted in the presentation of a total for comprehensive income (loss), and the components of net income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(loss) and other comprehensive income (loss) in one statement. The adoption of this standard only changed how the Company presents comprehensive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(loss) and did not impact the Company’s consolidated financial position, results of operations or cash flows.</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September 2011, the FASB issued ASU 2011-08, Intangibles—Goodwill and Other (ASC 350): Testing Goodwill for Impairment. The new authoritative guidance simplifies how an entity tests goodwill for impairment. The new authoritative guidance allows an entity to first assess qualitative factors to determine whether it is necessary to perform the two-step quantitative goodwill impairment test. The two-step quantitative impairment test is required only if, based on its qualitative assessment, an entity determines that it is more likely than not that the fair value of a reporting unit is less than its carrying amount. This authoritative guidance is</w:t>
      </w:r>
    </w:p>
    <w:p>
      <w:pPr>
        <w:sectPr>
          <w:pgSz w:w="11900" w:h="16838" w:orient="portrait"/>
          <w:cols w:equalWidth="0" w:num="1">
            <w:col w:w="11380"/>
          </w:cols>
          <w:pgMar w:left="240" w:top="459" w:right="279" w:bottom="1440" w:gutter="0" w:footer="0" w:header="0"/>
        </w:sectPr>
      </w:pP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80"/>
          </w:cols>
          <w:pgMar w:left="240" w:top="459" w:right="2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effective for interim and annual goodwill impairment tests performed for fiscal years beginning after December 15, 2011. Early adoption is permitted if an entity’s financial statements for the more recent interim and annual period have not yet been issued. The Company early adopted this authoritative guidance in the fourth quarter of fiscal year 2012. Adoption of this authoritative guidance did not have a material impact on the Company’s consolidated financial statements and disclosures.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December 2011, the FASB issued ASU 2011-11, Balance Sheet (ASC 210): Disclosures about offsetting Assets and Liabilities. The new authoritative guidance requires an entity to disclose information about offsetting and related arrangements to enable users of its financial statements to evaluate the effect or potential effect of netting arrangements on an entity’s financial position, including the effect or potential effect of rights of setoff associated with certain financial instruments and derivative instruments in the scope of this authoritative guidance. This authoritative guidance will be effective for the Company beginning in the first quarter of fiscal year 2014 and should be applied retrospectively for all comparative periods presented. The Company is currently evaluating the impact that this authoritative guidance may have on its consolidated financial statements and disclosures.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July 2012, the FASB issued ASU 2012-02, Intangibles—Goodwill and Other (ASC 350): Testing Indefinite-Lived Intangible Assets for Impairment. The new authoritative guidance simplifies the requirements for testing for indefinite-lived intangible assets other than goodwill and permits an entity to first assess qualitative factors to determine whether it is necessary to perform a quantitative fair value test. The guidance is effective for the Company for annual and, if any, interim impairment tests in the fiscal year ending April 4, 2014 with early adoption permitted. The Company anticipates that the adoption of this standard will not have a material impact on the Company or its condensed consolidated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As of</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754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December 28, 2012</w:t>
            </w:r>
          </w:p>
        </w:tc>
        <w:tc>
          <w:tcPr>
            <w:tcW w:w="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30, 2012</w:t>
            </w: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Billed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118,740</w:t>
            </w:r>
          </w:p>
        </w:tc>
        <w:tc>
          <w:tcPr>
            <w:tcW w:w="8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108,758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Unbilled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120,065</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103,929</w:t>
            </w:r>
          </w:p>
        </w:tc>
        <w:tc>
          <w:tcPr>
            <w:tcW w:w="0" w:type="dxa"/>
            <w:vAlign w:val="bottom"/>
          </w:tcPr>
          <w:p>
            <w:pPr>
              <w:spacing w:after="0"/>
              <w:rPr>
                <w:sz w:val="1"/>
                <w:szCs w:val="1"/>
                <w:color w:val="auto"/>
              </w:rPr>
            </w:pPr>
          </w:p>
        </w:tc>
      </w:tr>
      <w:tr>
        <w:trPr>
          <w:trHeight w:val="223"/>
        </w:trPr>
        <w:tc>
          <w:tcPr>
            <w:tcW w:w="7540" w:type="dxa"/>
            <w:vAlign w:val="bottom"/>
          </w:tcPr>
          <w:p>
            <w:pPr>
              <w:ind w:left="4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9"/>
                <w:szCs w:val="19"/>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(1,254)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237,551</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42,279</w:t>
            </w:r>
          </w:p>
        </w:tc>
        <w:tc>
          <w:tcPr>
            <w:tcW w:w="8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46,208</w:t>
            </w: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25,643</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23,932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58,515</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126,437</w:t>
            </w:r>
          </w:p>
        </w:tc>
        <w:tc>
          <w:tcPr>
            <w:tcW w:w="800" w:type="dxa"/>
            <w:vAlign w:val="bottom"/>
          </w:tcPr>
          <w:p>
            <w:pPr>
              <w:spacing w:after="0"/>
              <w:rPr>
                <w:sz w:val="19"/>
                <w:szCs w:val="19"/>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127,646</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32,823</w:t>
            </w:r>
          </w:p>
        </w:tc>
        <w:tc>
          <w:tcPr>
            <w:tcW w:w="8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25,103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36,663</w:t>
            </w:r>
          </w:p>
        </w:tc>
        <w:tc>
          <w:tcPr>
            <w:tcW w:w="800" w:type="dxa"/>
            <w:vAlign w:val="bottom"/>
          </w:tcPr>
          <w:p>
            <w:pPr>
              <w:spacing w:after="0"/>
              <w:rPr>
                <w:sz w:val="19"/>
                <w:szCs w:val="19"/>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30,917</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Satellite — WildBlue-1 (estimated useful life of 10 years)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195,890</w:t>
            </w:r>
          </w:p>
        </w:tc>
        <w:tc>
          <w:tcPr>
            <w:tcW w:w="8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195,890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lease of satellite capacity — Anik F2 (estimated useful life of 10 years)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99,090</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99,090</w:t>
            </w:r>
          </w:p>
        </w:tc>
        <w:tc>
          <w:tcPr>
            <w:tcW w:w="0" w:type="dxa"/>
            <w:vAlign w:val="bottom"/>
          </w:tcPr>
          <w:p>
            <w:pPr>
              <w:spacing w:after="0"/>
              <w:rPr>
                <w:sz w:val="1"/>
                <w:szCs w:val="1"/>
                <w:color w:val="auto"/>
              </w:rPr>
            </w:pPr>
          </w:p>
        </w:tc>
      </w:tr>
      <w:tr>
        <w:trPr>
          <w:trHeight w:val="223"/>
        </w:trPr>
        <w:tc>
          <w:tcPr>
            <w:tcW w:w="7540" w:type="dxa"/>
            <w:vAlign w:val="bottom"/>
          </w:tcPr>
          <w:p>
            <w:pPr>
              <w:ind w:left="440"/>
              <w:spacing w:after="0"/>
              <w:rPr>
                <w:sz w:val="20"/>
                <w:szCs w:val="20"/>
                <w:color w:val="auto"/>
              </w:rPr>
            </w:pPr>
            <w:r>
              <w:rPr>
                <w:rFonts w:ascii="Arial" w:cs="Arial" w:eastAsia="Arial" w:hAnsi="Arial"/>
                <w:sz w:val="18"/>
                <w:szCs w:val="18"/>
                <w:color w:val="auto"/>
              </w:rPr>
              <w:t>Satellite — ViaSat-1 (estimated useful life of 17 years)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363,204</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658,184</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657,957</w:t>
            </w:r>
          </w:p>
        </w:tc>
        <w:tc>
          <w:tcPr>
            <w:tcW w:w="0" w:type="dxa"/>
            <w:vAlign w:val="bottom"/>
          </w:tcPr>
          <w:p>
            <w:pPr>
              <w:spacing w:after="0"/>
              <w:rPr>
                <w:sz w:val="1"/>
                <w:szCs w:val="1"/>
                <w:color w:val="auto"/>
              </w:rPr>
            </w:pPr>
          </w:p>
        </w:tc>
      </w:tr>
      <w:tr>
        <w:trPr>
          <w:trHeight w:val="223"/>
        </w:trPr>
        <w:tc>
          <w:tcPr>
            <w:tcW w:w="7540" w:type="dxa"/>
            <w:vAlign w:val="bottom"/>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9"/>
                <w:szCs w:val="19"/>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(110,379)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(72,226)</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547,805</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Machinery and equipment (estimated useful life of 2-5 years)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220,527</w:t>
            </w:r>
          </w:p>
        </w:tc>
        <w:tc>
          <w:tcPr>
            <w:tcW w:w="8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195,975</w:t>
            </w: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Computer equipment and software (estimated useful life of 2-7 years)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144,734</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127,596</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CPE leased equipment (estimated useful life of 3-5 years)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140,885</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85,271</w:t>
            </w: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Furniture and fixtures (estimated useful life of 7 years)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14,969</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14,093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Leasehold improvements (estimated useful life of 2-17 years)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52,456</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51,205</w:t>
            </w: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Building (estimated useful life of 24 years)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8,923</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23"/>
        </w:trPr>
        <w:tc>
          <w:tcPr>
            <w:tcW w:w="7540" w:type="dxa"/>
            <w:vAlign w:val="bottom"/>
          </w:tcPr>
          <w:p>
            <w:pPr>
              <w:ind w:left="44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23,642</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610,520</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504,017</w:t>
            </w:r>
          </w:p>
        </w:tc>
        <w:tc>
          <w:tcPr>
            <w:tcW w:w="0" w:type="dxa"/>
            <w:vAlign w:val="bottom"/>
          </w:tcPr>
          <w:p>
            <w:pPr>
              <w:spacing w:after="0"/>
              <w:rPr>
                <w:sz w:val="1"/>
                <w:szCs w:val="1"/>
                <w:color w:val="auto"/>
              </w:rPr>
            </w:pPr>
          </w:p>
        </w:tc>
      </w:tr>
      <w:tr>
        <w:trPr>
          <w:trHeight w:val="223"/>
        </w:trPr>
        <w:tc>
          <w:tcPr>
            <w:tcW w:w="7540" w:type="dxa"/>
            <w:vAlign w:val="bottom"/>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9"/>
                <w:szCs w:val="19"/>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(262,790)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(209,044)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347,730</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Other acquired intangible assets, net:</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Technology (weighted average useful life of 6 years)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54,361</w:t>
            </w:r>
          </w:p>
        </w:tc>
        <w:tc>
          <w:tcPr>
            <w:tcW w:w="8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54,240</w:t>
            </w: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Contracts and customer relationships (weighted average useful life of 7 years)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88,786</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88,758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 co-location rights (weighted average useful life of 9 years)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Trade name (weighted average useful life of 3 years)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5,680</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(weighted average useful life of 6 years)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163,735</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163,585</w:t>
            </w: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accumulated amortization</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(112,666)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(100,544)</w:t>
            </w:r>
          </w:p>
        </w:tc>
        <w:tc>
          <w:tcPr>
            <w:tcW w:w="0" w:type="dxa"/>
            <w:vAlign w:val="bottom"/>
          </w:tcPr>
          <w:p>
            <w:pPr>
              <w:spacing w:after="0"/>
              <w:rPr>
                <w:sz w:val="1"/>
                <w:szCs w:val="1"/>
                <w:color w:val="auto"/>
              </w:rPr>
            </w:pPr>
          </w:p>
        </w:tc>
      </w:tr>
      <w:tr>
        <w:trPr>
          <w:trHeight w:val="222"/>
        </w:trPr>
        <w:tc>
          <w:tcPr>
            <w:tcW w:w="75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51,069</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Capitalized software costs, net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55,649</w:t>
            </w:r>
          </w:p>
        </w:tc>
        <w:tc>
          <w:tcPr>
            <w:tcW w:w="8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41,992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Patents, orbital slots and other licenses,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11,236</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11,194</w:t>
            </w: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84,217</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53,602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34,136</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185,238</w:t>
            </w:r>
          </w:p>
        </w:tc>
        <w:tc>
          <w:tcPr>
            <w:tcW w:w="800" w:type="dxa"/>
            <w:vAlign w:val="bottom"/>
          </w:tcPr>
          <w:p>
            <w:pPr>
              <w:spacing w:after="0"/>
              <w:rPr>
                <w:sz w:val="19"/>
                <w:szCs w:val="19"/>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136,795</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Collections in excess of revenues and deferred revenues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66,106</w:t>
            </w:r>
          </w:p>
        </w:tc>
        <w:tc>
          <w:tcPr>
            <w:tcW w:w="8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88,114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vacation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18,097</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17,573</w:t>
            </w: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Warranty reserve, current portion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7,894</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6,238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employee compensation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13,627</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21,384</w:t>
            </w:r>
          </w:p>
        </w:tc>
        <w:tc>
          <w:tcPr>
            <w:tcW w:w="0" w:type="dxa"/>
            <w:vAlign w:val="bottom"/>
          </w:tcPr>
          <w:p>
            <w:pPr>
              <w:spacing w:after="0"/>
              <w:rPr>
                <w:sz w:val="1"/>
                <w:szCs w:val="1"/>
                <w:color w:val="auto"/>
              </w:rPr>
            </w:pPr>
          </w:p>
        </w:tc>
      </w:tr>
      <w:tr>
        <w:trPr>
          <w:trHeight w:val="223"/>
        </w:trPr>
        <w:tc>
          <w:tcPr>
            <w:tcW w:w="7540" w:type="dxa"/>
            <w:vAlign w:val="bottom"/>
          </w:tcPr>
          <w:p>
            <w:pPr>
              <w:ind w:left="4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33,823</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139,547</w:t>
            </w:r>
          </w:p>
        </w:tc>
        <w:tc>
          <w:tcPr>
            <w:tcW w:w="8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159,762</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 long-term portion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16,188</w:t>
            </w:r>
          </w:p>
        </w:tc>
        <w:tc>
          <w:tcPr>
            <w:tcW w:w="8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11,414</w:t>
            </w: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Deferred rent, long-term portion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10,701</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8,237</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reserve, long-term portion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Deferred income taxes, long-term portion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2,684</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tax position liabilities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540" w:type="dxa"/>
            <w:vAlign w:val="bottom"/>
          </w:tcPr>
          <w:p>
            <w:pPr>
              <w:jc w:val="right"/>
              <w:ind w:right="2672"/>
              <w:spacing w:after="0"/>
              <w:rPr>
                <w:sz w:val="20"/>
                <w:szCs w:val="20"/>
                <w:color w:val="auto"/>
              </w:rPr>
            </w:pPr>
            <w:r>
              <w:rPr>
                <w:rFonts w:ascii="Arial" w:cs="Arial" w:eastAsia="Arial" w:hAnsi="Arial"/>
                <w:sz w:val="18"/>
                <w:szCs w:val="18"/>
                <w:color w:val="auto"/>
                <w:w w:val="98"/>
              </w:rPr>
              <w:t>Satellite performance incentives obligation, long-term portion</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21,235</w:t>
            </w:r>
          </w:p>
        </w:tc>
        <w:tc>
          <w:tcPr>
            <w:tcW w:w="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50,353</w:t>
            </w:r>
          </w:p>
        </w:tc>
        <w:tc>
          <w:tcPr>
            <w:tcW w:w="0" w:type="dxa"/>
            <w:vAlign w:val="bottom"/>
          </w:tcPr>
          <w:p>
            <w:pPr>
              <w:spacing w:after="0"/>
              <w:rPr>
                <w:sz w:val="1"/>
                <w:szCs w:val="1"/>
                <w:color w:val="auto"/>
              </w:rPr>
            </w:pPr>
          </w:p>
        </w:tc>
      </w:tr>
      <w:tr>
        <w:trPr>
          <w:trHeight w:val="20"/>
        </w:trPr>
        <w:tc>
          <w:tcPr>
            <w:tcW w:w="7540" w:type="dxa"/>
            <w:vAlign w:val="bottom"/>
            <w:vMerge w:val="restart"/>
          </w:tcPr>
          <w:p>
            <w:pPr>
              <w:jc w:val="right"/>
              <w:ind w:right="2112"/>
              <w:spacing w:after="0"/>
              <w:rPr>
                <w:sz w:val="20"/>
                <w:szCs w:val="20"/>
                <w:color w:val="auto"/>
              </w:rPr>
            </w:pPr>
            <w:r>
              <w:rPr>
                <w:rFonts w:ascii="Arial" w:cs="Arial" w:eastAsia="Arial" w:hAnsi="Arial"/>
                <w:sz w:val="18"/>
                <w:szCs w:val="18"/>
                <w:color w:val="auto"/>
              </w:rPr>
              <w:t>15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131" w:right="6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51"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90" w:lineRule="exact"/>
        <w:rPr>
          <w:rFonts w:ascii="Arial" w:cs="Arial" w:eastAsia="Arial" w:hAnsi="Arial"/>
          <w:sz w:val="18"/>
          <w:szCs w:val="18"/>
          <w:color w:val="auto"/>
        </w:rPr>
      </w:pPr>
    </w:p>
    <w:p>
      <w:pPr>
        <w:ind w:left="440" w:right="40" w:hanging="324"/>
        <w:spacing w:after="0" w:line="259"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the Company’s hierarchy for its assets and liabilities measured at fair value on a recurring basis as of December 28, 2012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30, 2012:</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Fair Value as of</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December 28, 2012</w:t>
            </w:r>
          </w:p>
        </w:tc>
        <w:tc>
          <w:tcPr>
            <w:tcW w:w="11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Level 1</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58,166</w:t>
            </w:r>
          </w:p>
        </w:tc>
        <w:tc>
          <w:tcPr>
            <w:tcW w:w="54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58,166</w:t>
            </w:r>
          </w:p>
        </w:tc>
        <w:tc>
          <w:tcPr>
            <w:tcW w:w="960" w:type="dxa"/>
            <w:vAlign w:val="bottom"/>
            <w:gridSpan w:val="2"/>
          </w:tcPr>
          <w:p>
            <w:pPr>
              <w:spacing w:after="0"/>
              <w:rPr>
                <w:sz w:val="20"/>
                <w:szCs w:val="20"/>
                <w:color w:val="auto"/>
              </w:rPr>
            </w:pPr>
            <w:r>
              <w:rPr>
                <w:rFonts w:ascii="Arial" w:cs="Arial" w:eastAsia="Arial" w:hAnsi="Arial"/>
                <w:sz w:val="18"/>
                <w:szCs w:val="18"/>
                <w:color w:val="auto"/>
              </w:rPr>
              <w:t>$ —</w:t>
            </w: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58,166</w:t>
            </w:r>
          </w:p>
        </w:tc>
        <w:tc>
          <w:tcPr>
            <w:tcW w:w="5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58,166</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$ 179</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gridSpan w:val="2"/>
            <w:vMerge w:val="continue"/>
          </w:tcPr>
          <w:p>
            <w:pPr>
              <w:spacing w:after="0"/>
              <w:rPr>
                <w:sz w:val="19"/>
                <w:szCs w:val="19"/>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179</w:t>
            </w:r>
          </w:p>
        </w:tc>
        <w:tc>
          <w:tcPr>
            <w:tcW w:w="5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gridSpan w:val="2"/>
          </w:tcPr>
          <w:p>
            <w:pPr>
              <w:spacing w:after="0"/>
              <w:rPr>
                <w:sz w:val="20"/>
                <w:szCs w:val="20"/>
                <w:color w:val="auto"/>
              </w:rPr>
            </w:pPr>
            <w:r>
              <w:rPr>
                <w:rFonts w:ascii="Arial" w:cs="Arial" w:eastAsia="Arial" w:hAnsi="Arial"/>
                <w:sz w:val="18"/>
                <w:szCs w:val="18"/>
                <w:color w:val="auto"/>
              </w:rPr>
              <w:t>$ 179</w:t>
            </w: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Fair Value as of</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March 30, 2012</w:t>
            </w:r>
          </w:p>
        </w:tc>
        <w:tc>
          <w:tcPr>
            <w:tcW w:w="11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Level 1</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70,379</w:t>
            </w:r>
          </w:p>
        </w:tc>
        <w:tc>
          <w:tcPr>
            <w:tcW w:w="54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70,379</w:t>
            </w:r>
          </w:p>
        </w:tc>
        <w:tc>
          <w:tcPr>
            <w:tcW w:w="960" w:type="dxa"/>
            <w:vAlign w:val="bottom"/>
            <w:gridSpan w:val="2"/>
          </w:tcPr>
          <w:p>
            <w:pPr>
              <w:spacing w:after="0"/>
              <w:rPr>
                <w:sz w:val="20"/>
                <w:szCs w:val="20"/>
                <w:color w:val="auto"/>
              </w:rPr>
            </w:pPr>
            <w:r>
              <w:rPr>
                <w:rFonts w:ascii="Arial" w:cs="Arial" w:eastAsia="Arial" w:hAnsi="Arial"/>
                <w:sz w:val="18"/>
                <w:szCs w:val="18"/>
                <w:color w:val="auto"/>
              </w:rPr>
              <w:t>$ —</w:t>
            </w: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70,379</w:t>
            </w:r>
          </w:p>
        </w:tc>
        <w:tc>
          <w:tcPr>
            <w:tcW w:w="5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70,379</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$ 443</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10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gridSpan w:val="2"/>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443</w:t>
            </w:r>
          </w:p>
        </w:tc>
        <w:tc>
          <w:tcPr>
            <w:tcW w:w="5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$ 443</w:t>
            </w: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 (Level 1).</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 xml:space="preserve">Foreign currency forward contracts </w:t>
      </w:r>
      <w:r>
        <w:rPr>
          <w:rFonts w:ascii="Arial" w:cs="Arial" w:eastAsia="Arial" w:hAnsi="Arial"/>
          <w:sz w:val="16"/>
          <w:szCs w:val="16"/>
          <w:color w:val="auto"/>
        </w:rPr>
        <w:t>— The Company uses derivative financial instruments to manage foreign currency risk relating to foreign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 The Company’s long-term debt consists of borrowings under (1) capital lease obligations reported at the present value of future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minimum lease payments with current accrued interest, and (2) the Company’s 6.875% Senior Notes due 2020 (the 2020 Notes) reported at amortized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However, for disclosure purposes, the Company is required to measure the fair value of outstanding debt on a recurring basis. As of December 28, 2012, the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the Company’s outstanding long-term debt related to the initial $275.0 million of 2020 Notes (the Initial 2020 Notes) was determined using quoted prices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active markets (Level 1) and was approximately $287.4 million. As of March 30, 2012, the fair value of the Company’s outstanding long-term debt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Initial 2020 Notes had been determined using recent market transactions for similar notes (Level 2) and was approximately $280.2 million. The Initial 2020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were exchanged in August 2012 for substantially identical Initial 2020 Notes that had been registered with the Securities and Exchange Commission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 which resulted in a change of the inputs used to measure the fair value of the Initial 2020 Notes from Level 2 (as of March 30, 2012) to Level 1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28, 2012). The fair value of the Company’s outstanding long-term debt related to the additional $300.0 million of 2020 Notes issued in October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Additional 2020 Notes) was determined using recent market transactions for similar notes (Level 2) and was approximately $313.5 million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28, 2012. The Additional 2020 Notes were exchanged subsequent to the quarter end in January 2013 for substantially identical Additional 2020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had been registered with the SEC. The fair value of the Company’s outstanding long-term debt related to its former 8.875% Senior Notes due 2016 (the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and collectively with the 2020 Notes, the Senior Notes), which were repurchased and redeemed in connection with the issuance of the Additional 2020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had been determined using quoted prices in active markets (Level 1) and was approximately $298.4 million as of March 30, 2012. The fair value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capital lease obligations was estimated to approximate their carrying value based on current rates (Level 2).</w:t>
      </w:r>
    </w:p>
    <w:p>
      <w:pPr>
        <w:spacing w:after="0" w:line="16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color w:val="auto"/>
        </w:rPr>
        <w:t xml:space="preserve">Satellite performance incentives obligation </w:t>
      </w:r>
      <w:r>
        <w:rPr>
          <w:rFonts w:ascii="Arial" w:cs="Arial" w:eastAsia="Arial" w:hAnsi="Arial"/>
          <w:sz w:val="18"/>
          <w:szCs w:val="18"/>
          <w:color w:val="auto"/>
        </w:rPr>
        <w:t>— The Company’s contract with the manufacturer of ViaSat-1 requires the Company to make monthly in-orbit</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performance incentive payments, including interest at 7.0%, over a fifteen-year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on a recurring basis. The fair value of the Company’s outstanding satellite performance incentives is estimated to approximate their carrying value based on current rates (Level 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Per Share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380" w:type="dxa"/>
            <w:vAlign w:val="bottom"/>
            <w:gridSpan w:val="3"/>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480" w:type="dxa"/>
            <w:vAlign w:val="bottom"/>
            <w:gridSpan w:val="4"/>
          </w:tcPr>
          <w:p>
            <w:pPr>
              <w:ind w:lef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December 28, 2012</w:t>
            </w: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December 30, 2011</w:t>
            </w:r>
          </w:p>
        </w:tc>
        <w:tc>
          <w:tcPr>
            <w:tcW w:w="18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December 28, 2012</w:t>
            </w:r>
          </w:p>
        </w:tc>
        <w:tc>
          <w:tcPr>
            <w:tcW w:w="2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December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80" w:type="dxa"/>
            <w:vAlign w:val="bottom"/>
          </w:tcPr>
          <w:p>
            <w:pPr>
              <w:spacing w:after="0"/>
              <w:rPr>
                <w:sz w:val="20"/>
                <w:szCs w:val="20"/>
                <w:color w:val="auto"/>
              </w:rPr>
            </w:pPr>
            <w:r>
              <w:rPr>
                <w:rFonts w:ascii="Arial" w:cs="Arial" w:eastAsia="Arial" w:hAnsi="Arial"/>
                <w:sz w:val="18"/>
                <w:szCs w:val="18"/>
                <w:color w:val="auto"/>
                <w:w w:val="97"/>
              </w:rPr>
              <w:t>Common shares outstanding used in calculating basic net (loss) income per share</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tcPr>
          <w:p>
            <w:pPr>
              <w:ind w:left="220"/>
              <w:spacing w:after="0"/>
              <w:rPr>
                <w:sz w:val="20"/>
                <w:szCs w:val="20"/>
                <w:color w:val="auto"/>
              </w:rPr>
            </w:pPr>
            <w:r>
              <w:rPr>
                <w:rFonts w:ascii="Arial" w:cs="Arial" w:eastAsia="Arial" w:hAnsi="Arial"/>
                <w:sz w:val="18"/>
                <w:szCs w:val="18"/>
                <w:color w:val="auto"/>
              </w:rPr>
              <w:t>attributable to ViaSat, Inc. common stockholders</w:t>
            </w:r>
          </w:p>
        </w:tc>
        <w:tc>
          <w:tcPr>
            <w:tcW w:w="1100" w:type="dxa"/>
            <w:vAlign w:val="bottom"/>
          </w:tcPr>
          <w:p>
            <w:pPr>
              <w:jc w:val="right"/>
              <w:spacing w:after="0"/>
              <w:rPr>
                <w:sz w:val="20"/>
                <w:szCs w:val="20"/>
                <w:color w:val="auto"/>
              </w:rPr>
            </w:pPr>
            <w:r>
              <w:rPr>
                <w:rFonts w:ascii="Arial" w:cs="Arial" w:eastAsia="Arial" w:hAnsi="Arial"/>
                <w:sz w:val="18"/>
                <w:szCs w:val="18"/>
                <w:color w:val="auto"/>
              </w:rPr>
              <w:t>44,189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42,452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43,662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3"/>
              </w:rPr>
              <w:t>Options to purchase common stock as determined by application of the treasury stock</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method</w:t>
            </w: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380" w:type="dxa"/>
            <w:vAlign w:val="bottom"/>
          </w:tcPr>
          <w:p>
            <w:pPr>
              <w:spacing w:after="0"/>
              <w:rPr>
                <w:sz w:val="20"/>
                <w:szCs w:val="20"/>
                <w:color w:val="auto"/>
              </w:rPr>
            </w:pPr>
            <w:r>
              <w:rPr>
                <w:rFonts w:ascii="Arial" w:cs="Arial" w:eastAsia="Arial" w:hAnsi="Arial"/>
                <w:sz w:val="18"/>
                <w:szCs w:val="18"/>
                <w:color w:val="auto"/>
                <w:w w:val="96"/>
              </w:rPr>
              <w:t>Restricted stock units to acquire common stock as determined by application of the</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tcPr>
          <w:p>
            <w:pPr>
              <w:ind w:left="220"/>
              <w:spacing w:after="0"/>
              <w:rPr>
                <w:sz w:val="20"/>
                <w:szCs w:val="20"/>
                <w:color w:val="auto"/>
              </w:rPr>
            </w:pPr>
            <w:r>
              <w:rPr>
                <w:rFonts w:ascii="Arial" w:cs="Arial" w:eastAsia="Arial" w:hAnsi="Arial"/>
                <w:sz w:val="18"/>
                <w:szCs w:val="18"/>
                <w:color w:val="auto"/>
              </w:rPr>
              <w:t>treasury stock method</w:t>
            </w: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6"/>
              </w:rPr>
              <w:t>Potentially issuable shares in connection with certain terms of the amended ViaSat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401(k) Profit Sharing Plan and Employee Stock Purchase Plan equivalents</w:t>
            </w: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80" w:type="dxa"/>
            <w:vAlign w:val="bottom"/>
          </w:tcPr>
          <w:p>
            <w:pPr>
              <w:spacing w:after="0"/>
              <w:rPr>
                <w:sz w:val="20"/>
                <w:szCs w:val="20"/>
                <w:color w:val="auto"/>
              </w:rPr>
            </w:pPr>
            <w:r>
              <w:rPr>
                <w:rFonts w:ascii="Arial" w:cs="Arial" w:eastAsia="Arial" w:hAnsi="Arial"/>
                <w:sz w:val="18"/>
                <w:szCs w:val="18"/>
                <w:color w:val="auto"/>
                <w:w w:val="90"/>
              </w:rPr>
              <w:t>Shares used in computing diluted net (loss) income per share attributable to ViaSat, Inc.</w:t>
            </w: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tcPr>
          <w:p>
            <w:pPr>
              <w:ind w:left="220"/>
              <w:spacing w:after="0"/>
              <w:rPr>
                <w:sz w:val="20"/>
                <w:szCs w:val="20"/>
                <w:color w:val="auto"/>
              </w:rPr>
            </w:pPr>
            <w:r>
              <w:rPr>
                <w:rFonts w:ascii="Arial" w:cs="Arial" w:eastAsia="Arial" w:hAnsi="Arial"/>
                <w:sz w:val="18"/>
                <w:szCs w:val="18"/>
                <w:color w:val="auto"/>
              </w:rPr>
              <w:t>common stockholders</w:t>
            </w:r>
          </w:p>
        </w:tc>
        <w:tc>
          <w:tcPr>
            <w:tcW w:w="1100" w:type="dxa"/>
            <w:vAlign w:val="bottom"/>
          </w:tcPr>
          <w:p>
            <w:pPr>
              <w:jc w:val="right"/>
              <w:spacing w:after="0"/>
              <w:rPr>
                <w:sz w:val="20"/>
                <w:szCs w:val="20"/>
                <w:color w:val="auto"/>
              </w:rPr>
            </w:pPr>
            <w:r>
              <w:rPr>
                <w:rFonts w:ascii="Arial" w:cs="Arial" w:eastAsia="Arial" w:hAnsi="Arial"/>
                <w:sz w:val="18"/>
                <w:szCs w:val="18"/>
                <w:color w:val="auto"/>
              </w:rPr>
              <w:t>44,189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44,333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43,662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44,015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5620"/>
              <w:spacing w:after="0"/>
              <w:rPr>
                <w:sz w:val="20"/>
                <w:szCs w:val="20"/>
                <w:color w:val="auto"/>
              </w:rPr>
            </w:pPr>
            <w:r>
              <w:rPr>
                <w:rFonts w:ascii="Arial" w:cs="Arial" w:eastAsia="Arial" w:hAnsi="Arial"/>
                <w:sz w:val="18"/>
                <w:szCs w:val="18"/>
                <w:color w:val="auto"/>
              </w:rPr>
              <w:t>17</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The weighted average number of shares used to calculate basic and diluted net income (loss) per share attributable to ViaSat, Inc. common stockholders is the same for both the three and nine months ended December 28, 2012, as the Company incurred a net loss for the three and nine months ended December 28, 2012 and inclusion of common share equivalents would be antidilutive. Common share equivalents excluded from the calculation for the three months ended December 28, 2012 were 1,579,179 shares relating to stock options, 388,487 shares relating to restricted stock units and 140,809 shares relating to certain terms of the amended ViaSat 401(k) Profit Sharing Plan and Employee Stock Purchase Plan. Common share equivalents excluded from the calculation for the nine months ended December 28, 2012 were 1,604,192 shares relating to stock options, 376,659 shares relating to restricted stock units and 158,504 shares relating to certain terms of the amended ViaSat 401(k) Profit Sharing Plan and Employee Stock Purchase Plan. Antidilutive shares relating to stock options excluded from the calculation for the three and nine months ended December 30, 2011 were 432,272 and 308,349 shares, respectively. Antidilutive shares relating to restricted stock units excluded from the calculation for the three and nine months ended December 30, 2011 were 641 and 118,121 shares,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first nine months of fiscal year 2013, the Company’s goodwill increased by approximately $0.1 million related to the effects of foreign currency translation recorded within the Company’s government systems and commercial networks segments. Other acquired intangible assets are amortized using the straight-line method over their estimated useful lives of three to ten years. Amortization expense related to other acquired intangible assets was $4.0 million and $4.8 million for the three months ended December 28, 2012 and December 30, 2011, respectively, and $12.1 million and $14.3 million for the nine months ended December 28, 2012 and December 30, 2011, respectively.</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December 28, 2012</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12,065</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Arial" w:cs="Arial" w:eastAsia="Arial" w:hAnsi="Arial"/>
                <w:sz w:val="18"/>
                <w:szCs w:val="18"/>
                <w:color w:val="auto"/>
              </w:rPr>
              <w:t>Expected for the remainder of fiscal year 2013</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13,804</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4,629</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51,069</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long-term debt consisted of the following as of December 28, 2012 and March 30, 2012:</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080" w:type="dxa"/>
            <w:vAlign w:val="bottom"/>
            <w:gridSpan w:val="4"/>
          </w:tcPr>
          <w:p>
            <w:pPr>
              <w:ind w:left="1200"/>
              <w:spacing w:after="0"/>
              <w:rPr>
                <w:sz w:val="20"/>
                <w:szCs w:val="20"/>
                <w:color w:val="auto"/>
              </w:rPr>
            </w:pPr>
            <w:r>
              <w:rPr>
                <w:rFonts w:ascii="Arial" w:cs="Arial" w:eastAsia="Arial" w:hAnsi="Arial"/>
                <w:sz w:val="14"/>
                <w:szCs w:val="14"/>
                <w:b w:val="1"/>
                <w:bCs w:val="1"/>
                <w:color w:val="auto"/>
              </w:rPr>
              <w:t>December 28, 2012</w:t>
            </w:r>
          </w:p>
        </w:tc>
        <w:tc>
          <w:tcPr>
            <w:tcW w:w="108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30,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ind w:left="76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Senior Notes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2020 Notes</w:t>
            </w:r>
          </w:p>
        </w:tc>
        <w:tc>
          <w:tcPr>
            <w:tcW w:w="14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575,000</w:t>
            </w:r>
          </w:p>
        </w:tc>
        <w:tc>
          <w:tcPr>
            <w:tcW w:w="78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Unamortized premium on the 2020 Notes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10,265</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2016 Notes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Unamortized discount on the 2016 Notes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21"/>
        </w:trPr>
        <w:tc>
          <w:tcPr>
            <w:tcW w:w="4520" w:type="dxa"/>
            <w:vAlign w:val="bottom"/>
            <w:gridSpan w:val="2"/>
          </w:tcPr>
          <w:p>
            <w:pPr>
              <w:spacing w:after="0"/>
              <w:rPr>
                <w:sz w:val="20"/>
                <w:szCs w:val="20"/>
                <w:color w:val="auto"/>
              </w:rPr>
            </w:pPr>
            <w:r>
              <w:rPr>
                <w:rFonts w:ascii="Arial" w:cs="Arial" w:eastAsia="Arial" w:hAnsi="Arial"/>
                <w:sz w:val="18"/>
                <w:szCs w:val="18"/>
                <w:color w:val="auto"/>
              </w:rPr>
              <w:t>Total Senior Notes, net of premium or discount</w:t>
            </w:r>
          </w:p>
        </w:tc>
        <w:tc>
          <w:tcPr>
            <w:tcW w:w="1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585,265</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547,791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the Senior Notes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520" w:type="dxa"/>
            <w:vAlign w:val="bottom"/>
            <w:gridSpan w:val="2"/>
          </w:tcPr>
          <w:p>
            <w:pPr>
              <w:spacing w:after="0"/>
              <w:rPr>
                <w:sz w:val="20"/>
                <w:szCs w:val="20"/>
                <w:color w:val="auto"/>
              </w:rPr>
            </w:pPr>
            <w:r>
              <w:rPr>
                <w:rFonts w:ascii="Arial" w:cs="Arial" w:eastAsia="Arial" w:hAnsi="Arial"/>
                <w:sz w:val="18"/>
                <w:szCs w:val="18"/>
                <w:color w:val="auto"/>
              </w:rPr>
              <w:t>Total Senior Notes long-term, net</w:t>
            </w:r>
          </w:p>
        </w:tc>
        <w:tc>
          <w:tcPr>
            <w:tcW w:w="1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585,265</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547,791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Long-Term Debt</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20" w:type="dxa"/>
            <w:vAlign w:val="bottom"/>
            <w:gridSpan w:val="2"/>
          </w:tcPr>
          <w:p>
            <w:pPr>
              <w:spacing w:after="0"/>
              <w:rPr>
                <w:sz w:val="20"/>
                <w:szCs w:val="20"/>
                <w:color w:val="auto"/>
              </w:rPr>
            </w:pPr>
            <w:r>
              <w:rPr>
                <w:rFonts w:ascii="Arial" w:cs="Arial" w:eastAsia="Arial" w:hAnsi="Arial"/>
                <w:sz w:val="18"/>
                <w:szCs w:val="18"/>
                <w:color w:val="auto"/>
              </w:rPr>
              <w:t>Total other long-term debt</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1,089</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other long-term debt</w:t>
            </w:r>
          </w:p>
        </w:tc>
        <w:tc>
          <w:tcPr>
            <w:tcW w:w="1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2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586,354</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Less: current portion</w:t>
            </w:r>
          </w:p>
        </w:tc>
        <w:tc>
          <w:tcPr>
            <w:tcW w:w="1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4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585,327</w:t>
            </w: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380"/>
          </w:cols>
          <w:pgMar w:left="240" w:top="459" w:right="279" w:bottom="1440" w:gutter="0" w:footer="0" w:header="0"/>
        </w:sect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80"/>
          </w:cols>
          <w:pgMar w:left="240" w:top="459" w:right="2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estimated aggregate amounts and timing of payments on the Company’s long-term debt obligations as of December 28, 2012 for the next five years and thereafter were as follows (excluding the effects of premium accretion on the 2020 Notes):</w:t>
      </w:r>
    </w:p>
    <w:p>
      <w:pPr>
        <w:sectPr>
          <w:pgSz w:w="11900" w:h="16838" w:orient="portrait"/>
          <w:cols w:equalWidth="0" w:num="1">
            <w:col w:w="11400"/>
          </w:cols>
          <w:pgMar w:left="240" w:top="459" w:right="259" w:bottom="1440" w:gutter="0" w:footer="0" w:header="0"/>
        </w:sectPr>
      </w:pPr>
    </w:p>
    <w:p>
      <w:pPr>
        <w:spacing w:after="0" w:line="32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For the remainder of fiscal year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For the fiscal year ending 2014</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For the fiscal year ending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For the fiscal year ending 2016</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For the fiscal year ending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24130</wp:posOffset>
            </wp:positionV>
            <wp:extent cx="49225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2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Less: imputed interest</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Plus: unamortized premium on the 2020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-107315</wp:posOffset>
            </wp:positionV>
            <wp:extent cx="49225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4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2"/>
        <w:spacing w:after="0"/>
        <w:rPr>
          <w:sz w:val="20"/>
          <w:szCs w:val="20"/>
          <w:color w:val="auto"/>
        </w:rPr>
      </w:pPr>
      <w:r>
        <w:rPr>
          <w:rFonts w:ascii="Arial" w:cs="Arial" w:eastAsia="Arial" w:hAnsi="Arial"/>
          <w:sz w:val="12"/>
          <w:szCs w:val="12"/>
          <w:b w:val="1"/>
          <w:bCs w:val="1"/>
          <w:color w:val="auto"/>
        </w:rPr>
        <w:t>(In thousands)</w:t>
      </w:r>
    </w:p>
    <w:p>
      <w:pPr>
        <w:spacing w:after="0" w:line="29" w:lineRule="exact"/>
        <w:rPr>
          <w:sz w:val="20"/>
          <w:szCs w:val="20"/>
          <w:color w:val="auto"/>
        </w:rPr>
      </w:pPr>
    </w:p>
    <w:p>
      <w:pPr>
        <w:ind w:left="582" w:hanging="582"/>
        <w:spacing w:after="0"/>
        <w:tabs>
          <w:tab w:leader="none" w:pos="582" w:val="left"/>
        </w:tabs>
        <w:numPr>
          <w:ilvl w:val="0"/>
          <w:numId w:val="4"/>
        </w:numPr>
        <w:rPr>
          <w:rFonts w:ascii="Arial" w:cs="Arial" w:eastAsia="Arial" w:hAnsi="Arial"/>
          <w:sz w:val="15"/>
          <w:szCs w:val="15"/>
          <w:color w:val="auto"/>
        </w:rPr>
      </w:pPr>
      <w:r>
        <w:rPr>
          <w:rFonts w:ascii="Arial" w:cs="Arial" w:eastAsia="Arial" w:hAnsi="Arial"/>
          <w:sz w:val="15"/>
          <w:szCs w:val="15"/>
          <w:color w:val="auto"/>
        </w:rPr>
        <w:t>327</w:t>
      </w:r>
    </w:p>
    <w:p>
      <w:pPr>
        <w:spacing w:after="0" w:line="35" w:lineRule="exact"/>
        <w:rPr>
          <w:rFonts w:ascii="Arial" w:cs="Arial" w:eastAsia="Arial" w:hAnsi="Arial"/>
          <w:sz w:val="15"/>
          <w:szCs w:val="15"/>
          <w:color w:val="auto"/>
        </w:rPr>
      </w:pPr>
    </w:p>
    <w:p>
      <w:pPr>
        <w:ind w:left="582"/>
        <w:spacing w:after="0"/>
        <w:rPr>
          <w:rFonts w:ascii="Arial" w:cs="Arial" w:eastAsia="Arial" w:hAnsi="Arial"/>
          <w:sz w:val="15"/>
          <w:szCs w:val="15"/>
          <w:color w:val="auto"/>
        </w:rPr>
      </w:pPr>
      <w:r>
        <w:rPr>
          <w:rFonts w:ascii="Arial" w:cs="Arial" w:eastAsia="Arial" w:hAnsi="Arial"/>
          <w:sz w:val="15"/>
          <w:szCs w:val="15"/>
          <w:color w:val="auto"/>
        </w:rPr>
        <w:t>786</w:t>
      </w:r>
    </w:p>
    <w:p>
      <w:pPr>
        <w:spacing w:after="0" w:line="43" w:lineRule="exact"/>
        <w:rPr>
          <w:rFonts w:ascii="Arial" w:cs="Arial" w:eastAsia="Arial" w:hAnsi="Arial"/>
          <w:sz w:val="15"/>
          <w:szCs w:val="15"/>
          <w:color w:val="auto"/>
        </w:rPr>
      </w:pPr>
    </w:p>
    <w:p>
      <w:pPr>
        <w:ind w:left="582"/>
        <w:spacing w:after="0"/>
        <w:rPr>
          <w:rFonts w:ascii="Arial" w:cs="Arial" w:eastAsia="Arial" w:hAnsi="Arial"/>
          <w:sz w:val="15"/>
          <w:szCs w:val="15"/>
          <w:color w:val="auto"/>
        </w:rPr>
      </w:pP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582"/>
        <w:spacing w:after="0"/>
        <w:rPr>
          <w:rFonts w:ascii="Arial" w:cs="Arial" w:eastAsia="Arial" w:hAnsi="Arial"/>
          <w:sz w:val="15"/>
          <w:szCs w:val="15"/>
          <w:color w:val="auto"/>
        </w:rPr>
      </w:pP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582"/>
        <w:spacing w:after="0"/>
        <w:rPr>
          <w:rFonts w:ascii="Arial" w:cs="Arial" w:eastAsia="Arial" w:hAnsi="Arial"/>
          <w:sz w:val="15"/>
          <w:szCs w:val="15"/>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575,000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5314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0"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576,113</w:t>
      </w:r>
    </w:p>
    <w:p>
      <w:pPr>
        <w:spacing w:after="0" w:line="15"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24</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10,265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5314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0" w:lineRule="exact"/>
        <w:rPr>
          <w:sz w:val="20"/>
          <w:szCs w:val="20"/>
          <w:color w:val="auto"/>
        </w:rPr>
      </w:pPr>
    </w:p>
    <w:p>
      <w:pPr>
        <w:ind w:left="262" w:hanging="262"/>
        <w:spacing w:after="0"/>
        <w:tabs>
          <w:tab w:leader="none" w:pos="262" w:val="left"/>
        </w:tabs>
        <w:numPr>
          <w:ilvl w:val="0"/>
          <w:numId w:val="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586,354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5314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626" w:lineRule="exact"/>
        <w:rPr>
          <w:sz w:val="20"/>
          <w:szCs w:val="20"/>
          <w:color w:val="auto"/>
        </w:rPr>
      </w:pPr>
    </w:p>
    <w:p>
      <w:pPr>
        <w:sectPr>
          <w:pgSz w:w="11900" w:h="16838" w:orient="portrait"/>
          <w:cols w:equalWidth="0" w:num="2">
            <w:col w:w="7938" w:space="720"/>
            <w:col w:w="2742"/>
          </w:cols>
          <w:pgMar w:left="240" w:top="459" w:right="259" w:bottom="1440" w:gutter="0" w:footer="0" w:header="0"/>
          <w:type w:val="continuous"/>
        </w:sectPr>
      </w:pPr>
    </w:p>
    <w:p>
      <w:pPr>
        <w:ind w:right="140" w:firstLine="456"/>
        <w:spacing w:after="0" w:line="253" w:lineRule="auto"/>
        <w:rPr>
          <w:sz w:val="20"/>
          <w:szCs w:val="20"/>
          <w:color w:val="auto"/>
        </w:rPr>
      </w:pPr>
      <w:r>
        <w:rPr>
          <w:rFonts w:ascii="Arial" w:cs="Arial" w:eastAsia="Arial" w:hAnsi="Arial"/>
          <w:sz w:val="18"/>
          <w:szCs w:val="18"/>
          <w:color w:val="auto"/>
        </w:rPr>
        <w:t>As of December 28, 2012, the Company’s revolving credit facility (the Credit Facility), as amended, provided a revolving line of credit of $325.0 million (including up to $50.0 million of letters of credit), with a maturity date of May 9, 2017. Borrowings under the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The Company has capitalized certain amounts of interest expense on the Credit Facility in connection with the construction of various assets during the construction period. The Credit Facility is guaranteed by certain of the Company’s domestic subsidiaries and secured by substantially all of the Company’s and such subsidiaries’ assets.</w:t>
      </w:r>
    </w:p>
    <w:p>
      <w:pPr>
        <w:spacing w:after="0" w:line="147"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The Credit Facility contains financial covenants regarding a maximum total leverage ratio and a minimum interest coverage ratio. In addition, the Credit Facility contains covenants that restrict, among other things, the Company’s ability to sell assets, make investments and acquisitions, make capital expenditures, grant liens, pay dividends and make certain other restricted payments. The Credit Facility was amended on September 26, 2012 to, among other things, increase the Company’s permitted total leverage ratio for the second, third and fourth quarters of fiscal year 2013 and authorize the offering of the Additional 2020 Notes.</w:t>
      </w:r>
    </w:p>
    <w:p>
      <w:pPr>
        <w:spacing w:after="0" w:line="9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was in compliance with its financial covenants under the Credit Facility as of December 28, 2012. At December 28, 2012, the Company had no outstanding borrowings under the Credit Facility and $38.6 million outstanding under standby letters of credit, leaving borrowing availability under the Credit Facility as of December 28, 2012 of $286.4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Company’s issuance of the Additional 2020 Notes in October 2012, the Company repurchased and redeemed all of its</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$275.0 million in aggregate principal amount of 2016 Notes then outstanding through a cash tender offer and redemption, and the indenture governing the 2016 Notes was satisfied and discharged in accordance with its terms. On October 12, 2012, the Company purchased approximately $262.1 million in aggregate principal amount of the 2016 Notes pursuant to the tender offer. The total cash payment to purchase the tendered 2016 Notes in the tender offer, including accrued and unpaid interest up to, but excluding, the repurchase date and a $10 consent payment per $1,000 principal amount of notes tendered, was approximately $282.5 million. On November 14, 2012, the Company redeemed the remaining $12.9 million in aggregate principal amount of 2016 Notes pursuant to the optional redemption provisions of the 2016 Notes at a redemption price of 106.656% of the principal amount, plus accrued and unpaid interest to, but not including, the redemption date. The total cash payment to redeem the remaining 2016 Notes was approximately $14.0 million.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As a result of the repurchase and redemption of the 2016 Notes, the Company recognized a $26.5 million loss on extinguishment of debt during the three and nine months ended December 28, 2012, which was comprised of $19.8 million in cash payments (including tender offer consideration, consent payments, redemption premium and related professional fees), and $6.7 million in non-cash charges (including unamortized discount and unamortized debt issuance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2020</w:t>
      </w:r>
    </w:p>
    <w:p>
      <w:pPr>
        <w:spacing w:after="0" w:line="90"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color w:val="auto"/>
        </w:rPr>
        <w:t>In February 2012, the Company issued $275.0 million in principal amount of Initial 2020 Notes in a private placement to institutional buyers, which were exchanged in August 2012 for substantially identical Initial 2020 Notes that had been registered with the SEC. The Initial 2020 Notes were issued at the face value and are recorded as long-term debt in the Company’s condensed consolidated financial statements. On October 12, 2012, the Company issued</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$300.0 million in principal amount of Additional 2020 Notes in a private placement to institutional buyers at an issue price of 103.50% of the principal amount, which were exchanged subsequent to the quarter end in January 2013 for substantially identical Additional 2020 Notes that had been registered with the SEC. The 2020 Notes are all treated as a single class and have identical terms, except for the issue date, the issue price, the first interest payment date and the date from which interest begins to accrue. The 2020 Notes bear interest at the rate of 6.875% per year, payable semi-annually in cash in arrears, which interest payments commenced in June 2012. Deferred financing cost associated with the issuance of the 2020 Notes is amortized to interest expense on a straight-line basis over the term of the 2020 Notes, which is not materially different from an effective interest rate basis. The $10.5 million premium the Company received in connection with the issuance of the Additional 2020 Notes is recorded as long-term debt in the Company’s condensed consolidated financial statements and is being amortized as a reduction to interest expense on a straight-line basis over the term of the Additional 2020 Notes, which is not materially different from an effective interest rate basis.</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2020 Notes are guaranteed on an unsecured senior basis by each of the Company’s existing and future subsidiaries that guarantees the Credit Facility (the Guarantor Subsidiaries). The 2020 Notes and the guarantees are the Company’s and the Guarantor Subsidiaries’ general senior unsecured obligations and rank equally in right of payment with all of the Company’s existing and future unsecured unsubordinated debt. The 2020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the Company’s subsidiaries that are not guarantors of the 2020 Notes, and are senior in right of payment to all of their existing and future subordinated indebtedness.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3"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Prior to June 15, 2015, the Company may redeem up to 35% of the 2020 Notes at a redemption price of 106.875% of the principal amount thereof, plus accrued and unpaid interest, if any, thereon to the redemption date, from the net cash proceeds of specified equity offerings. The Company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 (ii) 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w:t>
      </w:r>
    </w:p>
    <w:p>
      <w:pPr>
        <w:spacing w:after="0" w:line="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3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90"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Occasionally the Company may enter into capital lease agreements for various machinery, equipment, computer-related equipment, software, furniture or fixtures. As of December 28, 2012 and March 30, 2012, the Company had approximately $1.1 million and $2.0 million, respectively, outstanding under capital leases payable over a weighted average period of 36 months, due fiscal year 2014. These lease agreements bear interest at a weighted average rate of 4.59% and can be extended on a month-to-month basis after the original term.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 current liability. For mature products, the warranty cost estimates are based on historical experience with the particular product. For newer products that do not have a history of warranty cost, the Company bases its estimates on its experience with the technology involved and the type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nine months ended December 28, 2012 and December 30, 2011:</w:t>
      </w:r>
    </w:p>
    <w:p>
      <w:pPr>
        <w:spacing w:after="0" w:line="1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left="199"/>
              <w:spacing w:after="0"/>
              <w:rPr>
                <w:sz w:val="20"/>
                <w:szCs w:val="20"/>
                <w:color w:val="auto"/>
              </w:rPr>
            </w:pPr>
            <w:r>
              <w:rPr>
                <w:rFonts w:ascii="Arial" w:cs="Arial" w:eastAsia="Arial" w:hAnsi="Arial"/>
                <w:sz w:val="14"/>
                <w:szCs w:val="14"/>
                <w:b w:val="1"/>
                <w:bCs w:val="1"/>
                <w:color w:val="auto"/>
                <w:w w:val="88"/>
              </w:rPr>
              <w:t>Nine Months Ended</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28, 2012</w:t>
            </w:r>
          </w:p>
        </w:tc>
        <w:tc>
          <w:tcPr>
            <w:tcW w:w="132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w w:val="84"/>
              </w:rPr>
              <w:t>December 30, 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4"/>
          </w:tcPr>
          <w:p>
            <w:pPr>
              <w:jc w:val="center"/>
              <w:ind w:left="199"/>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440"/>
              <w:spacing w:after="0"/>
              <w:rPr>
                <w:sz w:val="20"/>
                <w:szCs w:val="20"/>
                <w:color w:val="auto"/>
              </w:rPr>
            </w:pPr>
            <w:r>
              <w:rPr>
                <w:rFonts w:ascii="Arial" w:cs="Arial" w:eastAsia="Arial" w:hAnsi="Arial"/>
                <w:sz w:val="18"/>
                <w:szCs w:val="18"/>
                <w:color w:val="auto"/>
              </w:rPr>
              <w:t>Change in liability for warranties issued in period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5,875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made (in cash or in kind) during the period</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(3,707)</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vMerge w:val="continue"/>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13,819</w:t>
            </w:r>
          </w:p>
        </w:tc>
        <w:tc>
          <w:tcPr>
            <w:tcW w:w="260" w:type="dxa"/>
            <w:vAlign w:val="bottom"/>
          </w:tcPr>
          <w:p>
            <w:pPr>
              <w:spacing w:after="0"/>
              <w:rPr>
                <w:sz w:val="19"/>
                <w:szCs w:val="19"/>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February 2012, the Company filed a complaint against Space Systems/Loral, Inc. (SS/L) and its former parent company Loral Space &amp; Communications, Inc. (Loral) in the United States District Court for the Southern District of California for patent infringement and breach of contract relating to the manufacture of ViaSat-1. The Company alleges, among other things, that SS/L and Loral infringed U.S. Patent Nos. 8,107,875, 8,010,043, 8,068,827 and 7,773,942 by making, using, offering to sell and/or selling other high-capacity broadband satellites, and has requested monetary damages, injunctive relief and other remedies. On June 15, 2012, SS/L filed counterclaims against the Company for patent infringement and declaratory relief. Specifically, SS/L seeks a judicial declaration that SS/L did not breach the parties’ contract for the manufacture of ViaSat-1, that SS/L does not infringe the Company’s patents described above, and that those patents are invalid and/or unenforceable. SS/L also alleges that the Company infringed U.S. Patent Nos. 6,879,808, 6,400,696 and 7,219,132 by providing broadband internet service by means of the Anik F2 satellite using ViaSat satellite gateways and satellite user terminals and has induced others to infringe by selling certain ground equipment and user terminals.</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13"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w:t>
      </w:r>
    </w:p>
    <w:p>
      <w:pPr>
        <w:spacing w:after="0" w:line="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completed for fiscal year 2004 and subsequent fiscal years. Although the Company has recorded contract revenues subsequent to fiscal year 2003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December 28, 2012 and March 30, 2012, the Company had $6.9 million and $6.7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status of the related contracts.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Company currently estimates its annual effective income tax rate to be approximately 40.1% for fiscal year 2013. The estimated annual effective tax rate is different from the expected statutory rate primarily due to state research and development tax credits. The American Taxpayer Relief Act of 2012 was enacted on January 2, 2013. Included within this legislation was an extension of the research and development credit which had previously expired on December 31, 2011. This legislation retroactively reinstates and extends the credit from the previous expiration date through December 31, 2013. As the legislation was not enacted until after the close of the third quarter of fiscal year 2013, the income tax impact of the retroactive reinstatement and extension will not be recognized until the fourth quarter of fiscal year 2013. The expected impact of the research and development credit is an $8.0 million tax benefit which will be recognized in the fourth quarter of fiscal year 2013.</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Future realization of the existing deferred tax asset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The Company’s analysis of the need for a valuation allowance considered the loss incurred during the nine months ended December 28, 2012. However, a substantial portion of the current loss was the result of an extinguishment of debt charge that was recorded upon the refinancing of certain of the Company’s debt obligations at lower interest rates, which is expected to provide a benefit to net income in the future. The Company’s evaluation considered other factors, including the Company’s history of positive earnings, taxable income adjusted for certain items, the Company’s significant growth in contractual backlog, and trends and forecasted income by jurisdiction. Consideration was also given to the lengthy period over which these net deferred tax assets can be realized, and the Company’s history of not having federal tax loss carryforwards expire unused.</w:t>
      </w:r>
    </w:p>
    <w:p>
      <w:pPr>
        <w:spacing w:after="0" w:line="12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For the three and nine months ended December 28, 2012, the Company’s gross unrecognized tax benefits decreased by $0.7 million and increased by $0.2 million, respectively. In the next twelve months, it is reasonably possible that the amount of unrecognized tax benefits will decrease by up to approximately $1.1 million as a result of the expiration of the statute of limitations or settlements with tax authorities for previously filed tax returns.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components of accumulated other comprehensive income (loss), net of taxes, were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28, 2012</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7"/>
              </w:rPr>
              <w:t>Net Change</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in Foreign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Currency</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4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Change in</w:t>
            </w:r>
          </w:p>
        </w:tc>
        <w:tc>
          <w:tcPr>
            <w:tcW w:w="24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Adjustments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5"/>
              </w:rPr>
              <w:t>Derivatives</w:t>
            </w:r>
          </w:p>
        </w:tc>
        <w:tc>
          <w:tcPr>
            <w:tcW w:w="24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 (Loss)</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(230)</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w w:val="92"/>
              </w:rPr>
              <w:t>Current period other comprehensive income (loss), net of tax</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28, 2012</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7"/>
              </w:rPr>
              <w:t>Net Change</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in Foreign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Currency</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4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Change in</w:t>
            </w:r>
          </w:p>
        </w:tc>
        <w:tc>
          <w:tcPr>
            <w:tcW w:w="24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Adjustments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5"/>
              </w:rPr>
              <w:t>Derivatives</w:t>
            </w:r>
          </w:p>
        </w:tc>
        <w:tc>
          <w:tcPr>
            <w:tcW w:w="24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 (Loss)</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(270)</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w w:val="92"/>
              </w:rPr>
              <w:t>Current period other comprehensive income (loss), net of tax</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60" w:type="dxa"/>
            <w:vAlign w:val="bottom"/>
            <w:vMerge w:val="restart"/>
          </w:tcPr>
          <w:p>
            <w:pPr>
              <w:jc w:val="right"/>
              <w:ind w:right="492"/>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Three Months Ended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5"/>
              </w:rPr>
              <w:t>December 30, 2011</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jc w:val="center"/>
              <w:ind w:right="360"/>
              <w:spacing w:after="0" w:line="129" w:lineRule="exact"/>
              <w:rPr>
                <w:sz w:val="20"/>
                <w:szCs w:val="20"/>
                <w:color w:val="auto"/>
              </w:rPr>
            </w:pPr>
            <w:r>
              <w:rPr>
                <w:rFonts w:ascii="Arial" w:cs="Arial" w:eastAsia="Arial" w:hAnsi="Arial"/>
                <w:sz w:val="14"/>
                <w:szCs w:val="14"/>
                <w:b w:val="1"/>
                <w:bCs w:val="1"/>
                <w:color w:val="auto"/>
                <w:w w:val="87"/>
              </w:rPr>
              <w:t>Net Change</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 Foreign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r>
      <w:tr>
        <w:trPr>
          <w:trHeight w:val="149"/>
        </w:trPr>
        <w:tc>
          <w:tcPr>
            <w:tcW w:w="4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Currency</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r>
      <w:tr>
        <w:trPr>
          <w:trHeight w:val="149"/>
        </w:trPr>
        <w:tc>
          <w:tcPr>
            <w:tcW w:w="4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42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Change in</w:t>
            </w: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61"/>
        </w:trPr>
        <w:tc>
          <w:tcPr>
            <w:tcW w:w="4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5"/>
              </w:rPr>
              <w:t>Derivatives</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Income (Loss)</w:t>
            </w:r>
          </w:p>
        </w:tc>
      </w:tr>
      <w:tr>
        <w:trPr>
          <w:trHeight w:val="142"/>
        </w:trPr>
        <w:tc>
          <w:tcPr>
            <w:tcW w:w="4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7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38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(539)</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w w:val="99"/>
              </w:rPr>
              <w:t>Current period other comprehensive income (loss), net of tax</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7"/>
        </w:trPr>
        <w:tc>
          <w:tcPr>
            <w:tcW w:w="4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38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(402)</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r>
      <w:tr>
        <w:trPr>
          <w:trHeight w:val="20"/>
        </w:trPr>
        <w:tc>
          <w:tcPr>
            <w:tcW w:w="4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4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4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5"/>
              </w:rPr>
              <w:t>December 30, 2011</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Net Change</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in Foreign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r>
      <w:tr>
        <w:trPr>
          <w:trHeight w:val="149"/>
        </w:trPr>
        <w:tc>
          <w:tcPr>
            <w:tcW w:w="4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Currency</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r>
      <w:tr>
        <w:trPr>
          <w:trHeight w:val="149"/>
        </w:trPr>
        <w:tc>
          <w:tcPr>
            <w:tcW w:w="4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42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Change in</w:t>
            </w: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61"/>
        </w:trPr>
        <w:tc>
          <w:tcPr>
            <w:tcW w:w="4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420" w:type="dxa"/>
            <w:vAlign w:val="bottom"/>
          </w:tcPr>
          <w:p>
            <w:pPr>
              <w:spacing w:after="0"/>
              <w:rPr>
                <w:sz w:val="14"/>
                <w:szCs w:val="14"/>
                <w:color w:val="auto"/>
              </w:rPr>
            </w:pPr>
          </w:p>
        </w:tc>
        <w:tc>
          <w:tcPr>
            <w:tcW w:w="15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3"/>
              </w:rPr>
              <w:t>Derivatives</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Income (Loss)</w:t>
            </w:r>
          </w:p>
        </w:tc>
      </w:tr>
      <w:tr>
        <w:trPr>
          <w:trHeight w:val="142"/>
        </w:trPr>
        <w:tc>
          <w:tcPr>
            <w:tcW w:w="4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center"/>
              <w:ind w:right="6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38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7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2,277</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w w:val="99"/>
              </w:rPr>
              <w:t>Current period other comprehensive income (loss), net of tax</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(935)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(1,519)</w:t>
            </w:r>
          </w:p>
        </w:tc>
      </w:tr>
      <w:tr>
        <w:trPr>
          <w:trHeight w:val="27"/>
        </w:trPr>
        <w:tc>
          <w:tcPr>
            <w:tcW w:w="486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38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(402)</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r>
      <w:tr>
        <w:trPr>
          <w:trHeight w:val="20"/>
        </w:trPr>
        <w:tc>
          <w:tcPr>
            <w:tcW w:w="4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retail and wholesale satellite-based broadband internet services for its consumer, enterprise and mobile broadband customers in the United States, as well as managed network services for the satellite communication systems of the Company’s consumer, enterprise and mobile broadband customers worldwide. The Company’s commercial networks segment develops and produces a variety of advanced end-to-end satellite and other wireless communication systems and ground networking equipment and products, some of which are ultimately used by the Company’s satellite services segment. The Company’s government systems segment develops and produces network-centric, internet protocol (IP)-based secure government communications systems, products, services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Segment revenues and operating profits (losses) for the three and nine months ended December 28, 2012 and December 30, 2011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0"/>
              </w:rPr>
              <w:t>Three Months Ended</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3"/>
              </w:rPr>
              <w:t>Nine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28, 2012</w:t>
            </w: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December 30, 2011</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28, 2012</w:t>
            </w: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4"/>
          </w:tcPr>
          <w:p>
            <w:pPr>
              <w:ind w:left="4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4,159</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860"/>
              <w:spacing w:after="0"/>
              <w:rPr>
                <w:sz w:val="20"/>
                <w:szCs w:val="20"/>
                <w:color w:val="auto"/>
              </w:rPr>
            </w:pPr>
            <w:r>
              <w:rPr>
                <w:rFonts w:ascii="Arial" w:cs="Arial" w:eastAsia="Arial" w:hAnsi="Arial"/>
                <w:sz w:val="18"/>
                <w:szCs w:val="18"/>
                <w:color w:val="auto"/>
              </w:rPr>
              <w:t>Service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71,097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54,916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194,217</w:t>
            </w: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165,616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55,650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198,376</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167,928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Commercial Networks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64,241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49,092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216,116</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155,451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860"/>
              <w:spacing w:after="0"/>
              <w:rPr>
                <w:sz w:val="20"/>
                <w:szCs w:val="20"/>
                <w:color w:val="auto"/>
              </w:rPr>
            </w:pPr>
            <w:r>
              <w:rPr>
                <w:rFonts w:ascii="Arial" w:cs="Arial" w:eastAsia="Arial" w:hAnsi="Arial"/>
                <w:sz w:val="18"/>
                <w:szCs w:val="18"/>
                <w:color w:val="auto"/>
              </w:rPr>
              <w:t>Service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5,357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15,208</w:t>
            </w: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15,266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54,449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231,324</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170,717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99,800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72,036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260,623</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233,256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860"/>
              <w:spacing w:after="0"/>
              <w:rPr>
                <w:sz w:val="20"/>
                <w:szCs w:val="20"/>
                <w:color w:val="auto"/>
              </w:rPr>
            </w:pPr>
            <w:r>
              <w:rPr>
                <w:rFonts w:ascii="Arial" w:cs="Arial" w:eastAsia="Arial" w:hAnsi="Arial"/>
                <w:sz w:val="18"/>
                <w:szCs w:val="18"/>
                <w:color w:val="auto"/>
              </w:rPr>
              <w:t>Service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46,240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22,829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120,704</w:t>
            </w: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94,865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381,327</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284,444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Elimination of intersegment revenues</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286,442</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204,964</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811,027</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623,089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(losses) profits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(18,356)</w:t>
            </w: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(1,359)</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(60,245)</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Networks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(5,159)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(7,304)</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26,981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13,062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66,232</w:t>
            </w: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Elimination of intersegment operating profits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620" w:type="dxa"/>
            <w:vAlign w:val="bottom"/>
            <w:gridSpan w:val="2"/>
          </w:tcPr>
          <w:p>
            <w:pPr>
              <w:spacing w:after="0"/>
              <w:rPr>
                <w:sz w:val="20"/>
                <w:szCs w:val="20"/>
                <w:color w:val="auto"/>
              </w:rPr>
            </w:pPr>
            <w:r>
              <w:rPr>
                <w:rFonts w:ascii="Arial" w:cs="Arial" w:eastAsia="Arial" w:hAnsi="Arial"/>
                <w:sz w:val="18"/>
                <w:szCs w:val="18"/>
                <w:color w:val="auto"/>
                <w:w w:val="91"/>
              </w:rPr>
              <w:t>Segment operating profit (loss) before corporate and amortization of acquired</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5,226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6,544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(1,317)</w:t>
            </w:r>
          </w:p>
        </w:tc>
        <w:tc>
          <w:tcPr>
            <w:tcW w:w="4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22,340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(3,960)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(4,752)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(12,065)</w:t>
            </w:r>
          </w:p>
        </w:tc>
        <w:tc>
          <w:tcPr>
            <w:tcW w:w="4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(14,291)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1,792</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(13,382)</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Assets identifiable to segments include: accounts receivable, unbilled accounts receivable, inventory, acquired intangible assets and goodwill. The Company’s property, plant and equipment, including its satellites, gateways and other networking equipment, are assigned to corporate assets as they are available for use by the various segments throughout their estimated useful lives. Segment assets as of December 28, 2012 and March 30, 2012 were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79"/>
              <w:spacing w:after="0"/>
              <w:rPr>
                <w:sz w:val="20"/>
                <w:szCs w:val="20"/>
                <w:color w:val="auto"/>
              </w:rPr>
            </w:pPr>
            <w:r>
              <w:rPr>
                <w:rFonts w:ascii="Arial" w:cs="Arial" w:eastAsia="Arial" w:hAnsi="Arial"/>
                <w:sz w:val="14"/>
                <w:szCs w:val="14"/>
                <w:b w:val="1"/>
                <w:bCs w:val="1"/>
                <w:color w:val="auto"/>
              </w:rPr>
              <w:t>As of</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220" w:type="dxa"/>
            <w:vAlign w:val="bottom"/>
            <w:gridSpan w:val="3"/>
          </w:tcPr>
          <w:p>
            <w:pPr>
              <w:ind w:left="3420"/>
              <w:spacing w:after="0" w:line="149" w:lineRule="exact"/>
              <w:rPr>
                <w:sz w:val="20"/>
                <w:szCs w:val="20"/>
                <w:color w:val="auto"/>
              </w:rPr>
            </w:pPr>
            <w:r>
              <w:rPr>
                <w:rFonts w:ascii="Arial" w:cs="Arial" w:eastAsia="Arial" w:hAnsi="Arial"/>
                <w:sz w:val="14"/>
                <w:szCs w:val="14"/>
                <w:b w:val="1"/>
                <w:bCs w:val="1"/>
                <w:color w:val="auto"/>
                <w:w w:val="85"/>
              </w:rPr>
              <w:t>December 28,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4"/>
          </w:tcPr>
          <w:p>
            <w:pPr>
              <w:jc w:val="right"/>
              <w:ind w:right="519"/>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3500" w:type="dxa"/>
            <w:vAlign w:val="bottom"/>
            <w:gridSpan w:val="2"/>
          </w:tcPr>
          <w:p>
            <w:pPr>
              <w:ind w:left="34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94,089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Networks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183,186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3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221,782</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segment assets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499,057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420"/>
              <w:spacing w:after="0"/>
              <w:rPr>
                <w:sz w:val="20"/>
                <w:szCs w:val="20"/>
                <w:color w:val="auto"/>
              </w:rPr>
            </w:pPr>
            <w:r>
              <w:rPr>
                <w:rFonts w:ascii="Arial" w:cs="Arial" w:eastAsia="Arial" w:hAnsi="Arial"/>
                <w:sz w:val="18"/>
                <w:szCs w:val="18"/>
                <w:color w:val="auto"/>
              </w:rPr>
              <w:t>Corporate assets</w:t>
            </w:r>
          </w:p>
        </w:tc>
        <w:tc>
          <w:tcPr>
            <w:tcW w:w="3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1,249,878</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1,241,730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500" w:type="dxa"/>
            <w:vAlign w:val="bottom"/>
            <w:gridSpan w:val="2"/>
            <w:shd w:val="clear" w:color="auto" w:fill="CCEEFF"/>
          </w:tcPr>
          <w:p>
            <w:pPr>
              <w:ind w:left="34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1,748,935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1,727,153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20" w:type="dxa"/>
            <w:vAlign w:val="bottom"/>
            <w:vMerge w:val="restart"/>
          </w:tcPr>
          <w:p>
            <w:pPr>
              <w:jc w:val="right"/>
              <w:ind w:right="2057"/>
              <w:spacing w:after="0"/>
              <w:rPr>
                <w:sz w:val="20"/>
                <w:szCs w:val="20"/>
                <w:color w:val="auto"/>
              </w:rPr>
            </w:pPr>
            <w:r>
              <w:rPr>
                <w:rFonts w:ascii="Arial" w:cs="Arial" w:eastAsia="Arial" w:hAnsi="Arial"/>
                <w:sz w:val="18"/>
                <w:szCs w:val="18"/>
                <w:color w:val="auto"/>
              </w:rPr>
              <w:t>24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acquired intangible assets, net and goodwill included in segment assets as of December 28, 2012 and March 30, 2012 were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center"/>
              <w:ind w:left="261"/>
              <w:spacing w:after="0"/>
              <w:rPr>
                <w:sz w:val="20"/>
                <w:szCs w:val="20"/>
                <w:color w:val="auto"/>
              </w:rPr>
            </w:pPr>
            <w:r>
              <w:rPr>
                <w:rFonts w:ascii="Arial" w:cs="Arial" w:eastAsia="Arial" w:hAnsi="Arial"/>
                <w:sz w:val="14"/>
                <w:szCs w:val="14"/>
                <w:b w:val="1"/>
                <w:bCs w:val="1"/>
                <w:color w:val="auto"/>
                <w:w w:val="89"/>
              </w:rPr>
              <w:t>Other Acquired Intangible</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left="661"/>
              <w:spacing w:after="0"/>
              <w:rPr>
                <w:sz w:val="20"/>
                <w:szCs w:val="20"/>
                <w:color w:val="auto"/>
              </w:rPr>
            </w:pPr>
            <w:r>
              <w:rPr>
                <w:rFonts w:ascii="Arial" w:cs="Arial" w:eastAsia="Arial" w:hAnsi="Arial"/>
                <w:sz w:val="14"/>
                <w:szCs w:val="14"/>
                <w:b w:val="1"/>
                <w:bCs w:val="1"/>
                <w:color w:val="auto"/>
                <w:w w:val="83"/>
              </w:rPr>
              <w:t>Assets, Net</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Goodwill</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jc w:val="right"/>
              <w:ind w:right="219"/>
              <w:spacing w:after="0" w:line="129" w:lineRule="exact"/>
              <w:rPr>
                <w:sz w:val="20"/>
                <w:szCs w:val="20"/>
                <w:color w:val="auto"/>
              </w:rPr>
            </w:pPr>
            <w:r>
              <w:rPr>
                <w:rFonts w:ascii="Arial" w:cs="Arial" w:eastAsia="Arial" w:hAnsi="Arial"/>
                <w:sz w:val="14"/>
                <w:szCs w:val="14"/>
                <w:b w:val="1"/>
                <w:bCs w:val="1"/>
                <w:color w:val="auto"/>
                <w:w w:val="79"/>
              </w:rPr>
              <w:t>As of</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As of</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December 28, 2012</w:t>
            </w:r>
          </w:p>
        </w:tc>
        <w:tc>
          <w:tcPr>
            <w:tcW w:w="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30, 2012</w:t>
            </w:r>
          </w:p>
        </w:tc>
        <w:tc>
          <w:tcPr>
            <w:tcW w:w="7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28, 2012</w:t>
            </w:r>
          </w:p>
        </w:tc>
        <w:tc>
          <w:tcPr>
            <w:tcW w:w="7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March 30, 2012</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ind w:left="560"/>
              <w:spacing w:after="0" w:line="142" w:lineRule="exact"/>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42,755</w:t>
            </w:r>
          </w:p>
        </w:tc>
        <w:tc>
          <w:tcPr>
            <w:tcW w:w="6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52,390</w:t>
            </w: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9,809</w:t>
            </w:r>
          </w:p>
        </w:tc>
        <w:tc>
          <w:tcPr>
            <w:tcW w:w="9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Commercial Networks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1,662</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2,186</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43,729</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30,023</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4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51,069</w:t>
            </w:r>
          </w:p>
        </w:tc>
        <w:tc>
          <w:tcPr>
            <w:tcW w:w="680" w:type="dxa"/>
            <w:vAlign w:val="bottom"/>
          </w:tcPr>
          <w:p>
            <w:pPr>
              <w:spacing w:after="0"/>
              <w:rPr>
                <w:sz w:val="19"/>
                <w:szCs w:val="19"/>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63,041</w:t>
            </w:r>
          </w:p>
        </w:tc>
        <w:tc>
          <w:tcPr>
            <w:tcW w:w="10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83,561</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acquired intangible assets by segment for the three and nine months ended December 28, 2012 and December 30, 2011 was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6"/>
              </w:rPr>
              <w:t>Three Months Ended</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4"/>
              </w:rPr>
              <w:t>Nine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28, 2012</w:t>
            </w: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30, 2011</w:t>
            </w: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28, 2012</w:t>
            </w:r>
          </w:p>
        </w:tc>
        <w:tc>
          <w:tcPr>
            <w:tcW w:w="10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December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4"/>
          </w:tcPr>
          <w:p>
            <w:pPr>
              <w:ind w:left="28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3,238</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9,635</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Commercial Networks</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523</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1,907</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amortization of acquired intangible assets</w:t>
            </w: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vMerge w:val="continue"/>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3,960</w:t>
            </w:r>
          </w:p>
        </w:tc>
        <w:tc>
          <w:tcPr>
            <w:tcW w:w="34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4,752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12,065</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information by geographic area for the three and nine months ended December 28, 2012 and December 30, 2011 was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0"/>
              </w:rPr>
              <w:t>Three Months Ended</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1"/>
              </w:rPr>
              <w:t>Nine Months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4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28, 2012</w:t>
            </w:r>
          </w:p>
        </w:tc>
        <w:tc>
          <w:tcPr>
            <w:tcW w:w="10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December 30, 2011</w:t>
            </w:r>
          </w:p>
        </w:tc>
        <w:tc>
          <w:tcPr>
            <w:tcW w:w="3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28, 2012</w:t>
            </w:r>
          </w:p>
        </w:tc>
        <w:tc>
          <w:tcPr>
            <w:tcW w:w="10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December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gridSpan w:val="3"/>
          </w:tcPr>
          <w:p>
            <w:pPr>
              <w:ind w:left="38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221,445</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165,660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606,669</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495,621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39,903</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25,107</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126,448</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14,256</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4,586</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35,148</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8,786</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7,763</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33,073</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Central and Latin America</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1,848</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40" w:type="dxa"/>
            <w:vAlign w:val="bottom"/>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286,442</w:t>
            </w:r>
          </w:p>
        </w:tc>
        <w:tc>
          <w:tcPr>
            <w:tcW w:w="36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204,964</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811,027</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623,089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net book value of long-lived assets located outside the United States was $19.6 million and $18.7 million at December 28, 2012 and March 30, 2012,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Certain Relationships and Related-Party Transactions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Michael Targoff, who served as a director of the Company from February 2003 to February 2012, is the Vice Chairman of the board of directors of Loral and previously served as the Chief Executive Officer of Loral through December 2012. Mr. Targoff is also a director of Telesat Holdings Inc., a joint venture company formed by Loral and the Public Sector Pension Investment Board to acquire Telesat Canada in October 2007. John Stenbit, a director of the Company since August 2004, also currently serves on the board of directors of Loral.</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satellite construction contract for ViaSat-1 with SS/L, a subsidiary of Loral prior to November 2012, requires the Company to make monthly satellite performance incentive payments, including interest, over a fifteen-year period from December 2011 to December 2026, subject to the continued satisfactory performance of the satellite. As of December 28, 2012 and March 30, 2012, the Company’s estimated satellite performance incentives obligation and accrued interest were $22.9 million and $22.5 million, respectively. Based on estimates as of December 28, 2012, the remaining amount of satellite performance incentives and related interest that the Company may be required to pay under this satellite construction contract during the period until December 2026 is approximately $38.0 million. Material amounts related to the satellite construction contract with SS/L are disclosed in the tables below.</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addition, from time to time, the Company enters into various contracts in the ordinary course of business with SS/L and Telesat Canada. Material amounts related to these contracts are disclosed in the tables below.</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Current payables included in accrued liabilities and long-term payables included in other liabilities as of December 28, 2012 and March 30, 2012 were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602"/>
              <w:spacing w:after="0"/>
              <w:rPr>
                <w:sz w:val="20"/>
                <w:szCs w:val="20"/>
                <w:color w:val="auto"/>
              </w:rPr>
            </w:pPr>
            <w:r>
              <w:rPr>
                <w:rFonts w:ascii="Arial" w:cs="Arial" w:eastAsia="Arial" w:hAnsi="Arial"/>
                <w:sz w:val="14"/>
                <w:szCs w:val="14"/>
                <w:b w:val="1"/>
                <w:bCs w:val="1"/>
                <w:color w:val="auto"/>
              </w:rPr>
              <w:t>As of</w:t>
            </w:r>
          </w:p>
        </w:tc>
        <w:tc>
          <w:tcPr>
            <w:tcW w:w="46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r>
      <w:tr>
        <w:trPr>
          <w:trHeight w:val="161"/>
        </w:trPr>
        <w:tc>
          <w:tcPr>
            <w:tcW w:w="5680" w:type="dxa"/>
            <w:vAlign w:val="bottom"/>
          </w:tcPr>
          <w:p>
            <w:pPr>
              <w:spacing w:after="0"/>
              <w:rPr>
                <w:sz w:val="14"/>
                <w:szCs w:val="14"/>
                <w:color w:val="auto"/>
              </w:rPr>
            </w:pPr>
          </w:p>
        </w:tc>
        <w:tc>
          <w:tcPr>
            <w:tcW w:w="1720" w:type="dxa"/>
            <w:vAlign w:val="bottom"/>
            <w:gridSpan w:val="3"/>
          </w:tcPr>
          <w:p>
            <w:pPr>
              <w:ind w:left="340"/>
              <w:spacing w:after="0"/>
              <w:rPr>
                <w:sz w:val="20"/>
                <w:szCs w:val="20"/>
                <w:color w:val="auto"/>
              </w:rPr>
            </w:pPr>
            <w:r>
              <w:rPr>
                <w:rFonts w:ascii="Arial" w:cs="Arial" w:eastAsia="Arial" w:hAnsi="Arial"/>
                <w:sz w:val="14"/>
                <w:szCs w:val="14"/>
                <w:b w:val="1"/>
                <w:bCs w:val="1"/>
                <w:color w:val="auto"/>
              </w:rPr>
              <w:t>December 28, 2012</w:t>
            </w:r>
          </w:p>
        </w:tc>
        <w:tc>
          <w:tcPr>
            <w:tcW w:w="1280" w:type="dxa"/>
            <w:vAlign w:val="bottom"/>
            <w:gridSpan w:val="3"/>
          </w:tcPr>
          <w:p>
            <w:pPr>
              <w:ind w:left="280"/>
              <w:spacing w:after="0"/>
              <w:rPr>
                <w:sz w:val="20"/>
                <w:szCs w:val="20"/>
                <w:color w:val="auto"/>
              </w:rPr>
            </w:pPr>
            <w:r>
              <w:rPr>
                <w:rFonts w:ascii="Arial" w:cs="Arial" w:eastAsia="Arial" w:hAnsi="Arial"/>
                <w:sz w:val="14"/>
                <w:szCs w:val="14"/>
                <w:b w:val="1"/>
                <w:bCs w:val="1"/>
                <w:color w:val="auto"/>
                <w:w w:val="98"/>
              </w:rPr>
              <w:t>March 30, 2012</w:t>
            </w:r>
          </w:p>
        </w:tc>
      </w:tr>
      <w:tr>
        <w:trPr>
          <w:trHeight w:val="142"/>
        </w:trPr>
        <w:tc>
          <w:tcPr>
            <w:tcW w:w="5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ind w:left="62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Payables, current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680" w:type="dxa"/>
            <w:vAlign w:val="bottom"/>
          </w:tcPr>
          <w:p>
            <w:pPr>
              <w:ind w:left="440"/>
              <w:spacing w:after="0"/>
              <w:rPr>
                <w:sz w:val="20"/>
                <w:szCs w:val="20"/>
                <w:color w:val="auto"/>
              </w:rPr>
            </w:pPr>
            <w:r>
              <w:rPr>
                <w:rFonts w:ascii="Arial" w:cs="Arial" w:eastAsia="Arial" w:hAnsi="Arial"/>
                <w:sz w:val="18"/>
                <w:szCs w:val="18"/>
                <w:color w:val="auto"/>
                <w:w w:val="94"/>
              </w:rPr>
              <w:t>Loral – satellite construction contract (estimated satellite performance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680" w:type="dxa"/>
            <w:vAlign w:val="bottom"/>
          </w:tcPr>
          <w:p>
            <w:pPr>
              <w:ind w:left="640"/>
              <w:spacing w:after="0"/>
              <w:rPr>
                <w:sz w:val="20"/>
                <w:szCs w:val="20"/>
                <w:color w:val="auto"/>
              </w:rPr>
            </w:pPr>
            <w:r>
              <w:rPr>
                <w:rFonts w:ascii="Arial" w:cs="Arial" w:eastAsia="Arial" w:hAnsi="Arial"/>
                <w:sz w:val="18"/>
                <w:szCs w:val="18"/>
                <w:color w:val="auto"/>
              </w:rPr>
              <w:t>incentives)</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02"/>
              <w:spacing w:after="0"/>
              <w:rPr>
                <w:sz w:val="20"/>
                <w:szCs w:val="20"/>
                <w:color w:val="auto"/>
              </w:rPr>
            </w:pPr>
            <w:r>
              <w:rPr>
                <w:rFonts w:ascii="Arial" w:cs="Arial" w:eastAsia="Arial" w:hAnsi="Arial"/>
                <w:sz w:val="18"/>
                <w:szCs w:val="18"/>
                <w:color w:val="auto"/>
              </w:rPr>
              <w:t>1,652</w:t>
            </w: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19"/>
                <w:szCs w:val="19"/>
                <w:color w:val="auto"/>
              </w:rPr>
            </w:pPr>
          </w:p>
        </w:tc>
      </w:tr>
      <w:tr>
        <w:trPr>
          <w:trHeight w:val="218"/>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Payables, long-term</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680" w:type="dxa"/>
            <w:vAlign w:val="bottom"/>
          </w:tcPr>
          <w:p>
            <w:pPr>
              <w:ind w:left="440"/>
              <w:spacing w:after="0"/>
              <w:rPr>
                <w:sz w:val="20"/>
                <w:szCs w:val="20"/>
                <w:color w:val="auto"/>
              </w:rPr>
            </w:pPr>
            <w:r>
              <w:rPr>
                <w:rFonts w:ascii="Arial" w:cs="Arial" w:eastAsia="Arial" w:hAnsi="Arial"/>
                <w:sz w:val="18"/>
                <w:szCs w:val="18"/>
                <w:color w:val="auto"/>
                <w:w w:val="94"/>
              </w:rPr>
              <w:t>Loral – satellite construction contract (estimated satellite performance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680" w:type="dxa"/>
            <w:vAlign w:val="bottom"/>
          </w:tcPr>
          <w:p>
            <w:pPr>
              <w:ind w:left="640"/>
              <w:spacing w:after="0"/>
              <w:rPr>
                <w:sz w:val="20"/>
                <w:szCs w:val="20"/>
                <w:color w:val="auto"/>
              </w:rPr>
            </w:pPr>
            <w:r>
              <w:rPr>
                <w:rFonts w:ascii="Arial" w:cs="Arial" w:eastAsia="Arial" w:hAnsi="Arial"/>
                <w:sz w:val="18"/>
                <w:szCs w:val="18"/>
                <w:color w:val="auto"/>
              </w:rPr>
              <w:t>incentives)</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202"/>
              <w:spacing w:after="0"/>
              <w:rPr>
                <w:sz w:val="20"/>
                <w:szCs w:val="20"/>
                <w:color w:val="auto"/>
              </w:rPr>
            </w:pPr>
            <w:r>
              <w:rPr>
                <w:rFonts w:ascii="Arial" w:cs="Arial" w:eastAsia="Arial" w:hAnsi="Arial"/>
                <w:sz w:val="18"/>
                <w:szCs w:val="18"/>
                <w:color w:val="auto"/>
              </w:rPr>
              <w:t>21,235</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20,910</w:t>
            </w:r>
          </w:p>
        </w:tc>
        <w:tc>
          <w:tcPr>
            <w:tcW w:w="100" w:type="dxa"/>
            <w:vAlign w:val="bottom"/>
          </w:tcPr>
          <w:p>
            <w:pPr>
              <w:spacing w:after="0"/>
              <w:rPr>
                <w:sz w:val="19"/>
                <w:szCs w:val="19"/>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and expense for the three and nine months ended December 28, 2012 and December 30, 2011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w w:val="97"/>
              </w:rPr>
              <w:t>Nine Months Ended</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46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3"/>
              </w:rPr>
              <w:t>December 28, 2012</w:t>
            </w: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w w:val="98"/>
              </w:rPr>
              <w:t>December 30, 2011</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28, 2012</w:t>
            </w:r>
          </w:p>
        </w:tc>
        <w:tc>
          <w:tcPr>
            <w:tcW w:w="12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December 30, 2011</w:t>
            </w:r>
          </w:p>
        </w:tc>
      </w:tr>
      <w:tr>
        <w:trPr>
          <w:trHeight w:val="142"/>
        </w:trPr>
        <w:tc>
          <w:tcPr>
            <w:tcW w:w="54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Loral – ordinary course of business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700" w:type="dxa"/>
            <w:vAlign w:val="bottom"/>
          </w:tcPr>
          <w:p>
            <w:pPr>
              <w:ind w:left="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2,251</w:t>
            </w:r>
          </w:p>
        </w:tc>
        <w:tc>
          <w:tcPr>
            <w:tcW w:w="18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2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5460" w:type="dxa"/>
            <w:vAlign w:val="bottom"/>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340" w:type="dxa"/>
            <w:vAlign w:val="bottom"/>
          </w:tcPr>
          <w:p>
            <w:pPr>
              <w:spacing w:after="0"/>
              <w:rPr>
                <w:sz w:val="19"/>
                <w:szCs w:val="19"/>
                <w:color w:val="auto"/>
              </w:rPr>
            </w:pPr>
          </w:p>
        </w:tc>
        <w:tc>
          <w:tcPr>
            <w:tcW w:w="860" w:type="dxa"/>
            <w:vAlign w:val="bottom"/>
          </w:tcPr>
          <w:p>
            <w:pPr>
              <w:jc w:val="right"/>
              <w:ind w:right="29"/>
              <w:spacing w:after="0"/>
              <w:rPr>
                <w:sz w:val="20"/>
                <w:szCs w:val="20"/>
                <w:color w:val="auto"/>
              </w:rPr>
            </w:pPr>
            <w:r>
              <w:rPr>
                <w:rFonts w:ascii="Arial" w:cs="Arial" w:eastAsia="Arial" w:hAnsi="Arial"/>
                <w:sz w:val="18"/>
                <w:szCs w:val="18"/>
                <w:color w:val="auto"/>
              </w:rPr>
              <w:t>2,467</w:t>
            </w:r>
          </w:p>
        </w:tc>
        <w:tc>
          <w:tcPr>
            <w:tcW w:w="7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9"/>
                <w:szCs w:val="19"/>
                <w:color w:val="auto"/>
              </w:rPr>
            </w:pPr>
          </w:p>
        </w:tc>
        <w:tc>
          <w:tcPr>
            <w:tcW w:w="720" w:type="dxa"/>
            <w:vAlign w:val="bottom"/>
          </w:tcPr>
          <w:p>
            <w:pPr>
              <w:jc w:val="right"/>
              <w:ind w:right="29"/>
              <w:spacing w:after="0"/>
              <w:rPr>
                <w:sz w:val="20"/>
                <w:szCs w:val="20"/>
                <w:color w:val="auto"/>
              </w:rPr>
            </w:pPr>
            <w:r>
              <w:rPr>
                <w:rFonts w:ascii="Arial" w:cs="Arial" w:eastAsia="Arial" w:hAnsi="Arial"/>
                <w:sz w:val="18"/>
                <w:szCs w:val="18"/>
                <w:color w:val="auto"/>
              </w:rPr>
              <w:t>4,453</w:t>
            </w: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19"/>
                <w:szCs w:val="19"/>
                <w:color w:val="auto"/>
              </w:rPr>
            </w:pPr>
          </w:p>
        </w:tc>
      </w:tr>
    </w:tbl>
    <w:p>
      <w:pPr>
        <w:spacing w:after="0" w:line="136" w:lineRule="exact"/>
        <w:rPr>
          <w:sz w:val="20"/>
          <w:szCs w:val="20"/>
          <w:color w:val="auto"/>
        </w:rPr>
      </w:pPr>
    </w:p>
    <w:p>
      <w:pPr>
        <w:spacing w:after="0"/>
        <w:tabs>
          <w:tab w:leader="none" w:pos="200" w:val="left"/>
        </w:tabs>
        <w:rPr>
          <w:sz w:val="20"/>
          <w:szCs w:val="20"/>
          <w:color w:val="auto"/>
        </w:rPr>
      </w:pPr>
      <w:r>
        <w:rPr>
          <w:rFonts w:ascii="Arial" w:cs="Arial" w:eastAsia="Arial" w:hAnsi="Arial"/>
          <w:sz w:val="22"/>
          <w:szCs w:val="22"/>
          <w:color w:val="auto"/>
          <w:vertAlign w:val="superscript"/>
        </w:rPr>
        <w:t>*</w:t>
      </w:r>
      <w:r>
        <w:rPr>
          <w:sz w:val="20"/>
          <w:szCs w:val="20"/>
          <w:color w:val="auto"/>
        </w:rPr>
        <w:tab/>
      </w:r>
      <w:r>
        <w:rPr>
          <w:rFonts w:ascii="Arial" w:cs="Arial" w:eastAsia="Arial" w:hAnsi="Arial"/>
          <w:sz w:val="18"/>
          <w:szCs w:val="18"/>
          <w:color w:val="auto"/>
        </w:rPr>
        <w:t>Amounts were not meaningful.</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received and paid during the nine months ended December 28, 2012 and December 30, 2011 were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left="103"/>
              <w:spacing w:after="0"/>
              <w:rPr>
                <w:sz w:val="20"/>
                <w:szCs w:val="20"/>
                <w:color w:val="auto"/>
              </w:rPr>
            </w:pPr>
            <w:r>
              <w:rPr>
                <w:rFonts w:ascii="Arial" w:cs="Arial" w:eastAsia="Arial" w:hAnsi="Arial"/>
                <w:sz w:val="14"/>
                <w:szCs w:val="14"/>
                <w:b w:val="1"/>
                <w:bCs w:val="1"/>
                <w:color w:val="auto"/>
                <w:w w:val="88"/>
              </w:rPr>
              <w:t>Nine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December 28, 2012</w:t>
            </w:r>
          </w:p>
        </w:tc>
        <w:tc>
          <w:tcPr>
            <w:tcW w:w="1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December 30, 2011</w:t>
            </w:r>
          </w:p>
        </w:tc>
        <w:tc>
          <w:tcPr>
            <w:tcW w:w="10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2"/>
          </w:tcPr>
          <w:p>
            <w:pPr>
              <w:jc w:val="center"/>
              <w:ind w:left="103"/>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received</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Loral – beam sharing agreement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63"/>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Telesat Canada – beam sharing agreement</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6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620" w:type="dxa"/>
            <w:vAlign w:val="bottom"/>
          </w:tcPr>
          <w:p>
            <w:pPr>
              <w:ind w:left="440"/>
              <w:spacing w:after="0"/>
              <w:rPr>
                <w:sz w:val="20"/>
                <w:szCs w:val="20"/>
                <w:color w:val="auto"/>
              </w:rPr>
            </w:pPr>
            <w:r>
              <w:rPr>
                <w:rFonts w:ascii="Arial" w:cs="Arial" w:eastAsia="Arial" w:hAnsi="Arial"/>
                <w:sz w:val="18"/>
                <w:szCs w:val="18"/>
                <w:color w:val="auto"/>
                <w:w w:val="94"/>
              </w:rPr>
              <w:t>Loral – satellite construction contract (including satellite performance</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620" w:type="dxa"/>
            <w:vAlign w:val="bottom"/>
          </w:tcPr>
          <w:p>
            <w:pPr>
              <w:ind w:left="640"/>
              <w:spacing w:after="0"/>
              <w:rPr>
                <w:sz w:val="20"/>
                <w:szCs w:val="20"/>
                <w:color w:val="auto"/>
              </w:rPr>
            </w:pPr>
            <w:r>
              <w:rPr>
                <w:rFonts w:ascii="Arial" w:cs="Arial" w:eastAsia="Arial" w:hAnsi="Arial"/>
                <w:sz w:val="18"/>
                <w:szCs w:val="18"/>
                <w:color w:val="auto"/>
              </w:rPr>
              <w:t>incentives)</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63"/>
              <w:spacing w:after="0"/>
              <w:rPr>
                <w:sz w:val="20"/>
                <w:szCs w:val="20"/>
                <w:color w:val="auto"/>
              </w:rPr>
            </w:pPr>
            <w:r>
              <w:rPr>
                <w:rFonts w:ascii="Arial" w:cs="Arial" w:eastAsia="Arial" w:hAnsi="Arial"/>
                <w:sz w:val="18"/>
                <w:szCs w:val="18"/>
                <w:color w:val="auto"/>
              </w:rPr>
              <w:t>1,067</w:t>
            </w:r>
          </w:p>
        </w:tc>
        <w:tc>
          <w:tcPr>
            <w:tcW w:w="7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9"/>
                <w:szCs w:val="19"/>
                <w:color w:val="auto"/>
              </w:rPr>
            </w:pPr>
          </w:p>
        </w:tc>
      </w:tr>
      <w:tr>
        <w:trPr>
          <w:trHeight w:val="217"/>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8"/>
                <w:szCs w:val="18"/>
                <w:color w:val="auto"/>
              </w:rPr>
              <w:t>5,721</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100" w:type="dxa"/>
            <w:vAlign w:val="bottom"/>
            <w:shd w:val="clear" w:color="auto" w:fill="CCEEFF"/>
          </w:tcPr>
          <w:p>
            <w:pPr>
              <w:spacing w:after="0"/>
              <w:rPr>
                <w:sz w:val="18"/>
                <w:szCs w:val="18"/>
                <w:color w:val="auto"/>
              </w:rPr>
            </w:pPr>
          </w:p>
        </w:tc>
      </w:tr>
    </w:tbl>
    <w:p>
      <w:pPr>
        <w:spacing w:after="0" w:line="143" w:lineRule="exact"/>
        <w:rPr>
          <w:sz w:val="20"/>
          <w:szCs w:val="20"/>
          <w:color w:val="auto"/>
        </w:rPr>
      </w:pPr>
    </w:p>
    <w:p>
      <w:pPr>
        <w:spacing w:after="0"/>
        <w:tabs>
          <w:tab w:leader="none" w:pos="200" w:val="left"/>
        </w:tabs>
        <w:rPr>
          <w:sz w:val="20"/>
          <w:szCs w:val="20"/>
          <w:color w:val="auto"/>
        </w:rPr>
      </w:pPr>
      <w:r>
        <w:rPr>
          <w:rFonts w:ascii="Arial" w:cs="Arial" w:eastAsia="Arial" w:hAnsi="Arial"/>
          <w:sz w:val="22"/>
          <w:szCs w:val="22"/>
          <w:color w:val="auto"/>
          <w:vertAlign w:val="superscript"/>
        </w:rPr>
        <w:t>*</w:t>
      </w:r>
      <w:r>
        <w:rPr>
          <w:sz w:val="20"/>
          <w:szCs w:val="20"/>
          <w:color w:val="auto"/>
        </w:rPr>
        <w:tab/>
      </w:r>
      <w:r>
        <w:rPr>
          <w:rFonts w:ascii="Arial" w:cs="Arial" w:eastAsia="Arial" w:hAnsi="Arial"/>
          <w:sz w:val="18"/>
          <w:szCs w:val="18"/>
          <w:color w:val="auto"/>
        </w:rPr>
        <w:t>Amounts were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Financial Statements of Parent and Subsidiary Guarantors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28, 2012, $575.0 million in aggregate principal amount of 2020 Notes issued by the Company was outstanding. The 2020 Notes are jointly and severally guaranteed on a full and unconditional basis by each of the Guarantor Subsidiaries, subject to certain customary release provisions, including the sale, transfer or other disposition of the capital stock or all or substantially all of the assets of a Guarantor Subsidiary, the designation of a Guarantor Subsidiary as an unrestricted subsidiary, the release or discharge of the Guarantor Subsidiary’s guarantee of the Credit Facility or the exercise of the legal defeasance option or covenant defeasance option. All of the Guarantor Subsidiaries are direct or indirect 100% owned subsidiaries of the Company. The indentures governing the 2020 Notes limit, among other things, the Company’s and its restricted subsidiaries’ ability to: incur, assume or guarantee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3"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The following supplemental financial information sets forth, on a condensed consolidating basis, the balance sheets, statements of operations and comprehensive income (loss), and statements of cash flows for the Company (as “Issuing Parent Company”), the Guarantor Subsidiaries, the non-guarantor subsidiaries and total consolidated Company and subsidiaries as of December 28, 2012 and March 30, 2012 and for the three and nine months ended December 28, 2012 and December 30,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 as of December 28,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Non-</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Issuing Parent</w:t>
            </w:r>
          </w:p>
        </w:tc>
        <w:tc>
          <w:tcPr>
            <w:tcW w:w="480" w:type="dxa"/>
            <w:vAlign w:val="bottom"/>
          </w:tcPr>
          <w:p>
            <w:pPr>
              <w:spacing w:after="0"/>
              <w:rPr>
                <w:sz w:val="12"/>
                <w:szCs w:val="12"/>
                <w:color w:val="auto"/>
              </w:rPr>
            </w:pP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Guarantor</w:t>
            </w:r>
          </w:p>
        </w:tc>
        <w:tc>
          <w:tcPr>
            <w:tcW w:w="360" w:type="dxa"/>
            <w:vAlign w:val="bottom"/>
          </w:tcPr>
          <w:p>
            <w:pPr>
              <w:spacing w:after="0"/>
              <w:rPr>
                <w:sz w:val="12"/>
                <w:szCs w:val="12"/>
                <w:color w:val="auto"/>
              </w:rPr>
            </w:pPr>
          </w:p>
        </w:tc>
        <w:tc>
          <w:tcPr>
            <w:tcW w:w="12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53"/>
              <w:spacing w:after="0"/>
              <w:rPr>
                <w:sz w:val="20"/>
                <w:szCs w:val="20"/>
                <w:color w:val="auto"/>
              </w:rPr>
            </w:pPr>
            <w:r>
              <w:rPr>
                <w:rFonts w:ascii="Arial" w:cs="Arial" w:eastAsia="Arial" w:hAnsi="Arial"/>
                <w:sz w:val="14"/>
                <w:szCs w:val="14"/>
                <w:b w:val="1"/>
                <w:bCs w:val="1"/>
                <w:color w:val="auto"/>
                <w:w w:val="87"/>
              </w:rPr>
              <w:t>Company</w:t>
            </w:r>
          </w:p>
        </w:tc>
        <w:tc>
          <w:tcPr>
            <w:tcW w:w="4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8"/>
              </w:rPr>
              <w:t>Subsidiaries</w:t>
            </w:r>
          </w:p>
        </w:tc>
        <w:tc>
          <w:tcPr>
            <w:tcW w:w="3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5"/>
          </w:tcPr>
          <w:p>
            <w:pPr>
              <w:ind w:left="120"/>
              <w:spacing w:after="0" w:line="142" w:lineRule="exact"/>
              <w:rPr>
                <w:sz w:val="20"/>
                <w:szCs w:val="20"/>
                <w:color w:val="auto"/>
              </w:rPr>
            </w:pPr>
            <w:r>
              <w:rPr>
                <w:rFonts w:ascii="Arial" w:cs="Arial" w:eastAsia="Arial" w:hAnsi="Arial"/>
                <w:sz w:val="14"/>
                <w:szCs w:val="14"/>
                <w:b w:val="1"/>
                <w:bCs w:val="1"/>
                <w:color w:val="auto"/>
                <w:w w:val="89"/>
              </w:rPr>
              <w:t>(Unaudited, in thousands)</w:t>
            </w:r>
          </w:p>
        </w:tc>
        <w:tc>
          <w:tcPr>
            <w:tcW w:w="9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1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99,961</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2,787</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216,196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14,090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7,265</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22,910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6,866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18,380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1,526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Current portion of intercompany receivables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91,642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1,581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1,403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(94,626)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553,458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48,170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26,530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342,778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205,027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185,075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156,494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6,161</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42,754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6,491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63,938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9,687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9,936</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 and intercompany receivables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394,545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(396,286)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138,874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45,682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1,680,492</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509,253</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50,102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(490,912)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1,748,935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30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62,590</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13,142</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107,373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25,775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6,399</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Current portion of intercompany payables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89,977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3,246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(94,626)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129,814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10,843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long-term debt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6,263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39,847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15,810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2,382</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796,893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145,686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19,488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(101,197)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Total ViaSat, Inc. stockholders’ equity</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883,599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363,567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30,614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(394,181)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883,599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Total equity</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883,599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363,567</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30,614</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(389,715)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888,065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1,680,492</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509,253</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50,102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(490,912)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1,748,935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213"/>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 as of March 30,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Non-</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Issuing Parent</w:t>
            </w: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Guarantor</w:t>
            </w:r>
          </w:p>
        </w:tc>
        <w:tc>
          <w:tcPr>
            <w:tcW w:w="360" w:type="dxa"/>
            <w:vAlign w:val="bottom"/>
          </w:tcPr>
          <w:p>
            <w:pPr>
              <w:spacing w:after="0"/>
              <w:rPr>
                <w:sz w:val="12"/>
                <w:szCs w:val="12"/>
                <w:color w:val="auto"/>
              </w:rPr>
            </w:pPr>
          </w:p>
        </w:tc>
        <w:tc>
          <w:tcPr>
            <w:tcW w:w="12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8"/>
              </w:rPr>
              <w:t>Subsidiaries</w:t>
            </w:r>
          </w:p>
        </w:tc>
        <w:tc>
          <w:tcPr>
            <w:tcW w:w="3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5"/>
          </w:tcPr>
          <w:p>
            <w:pPr>
              <w:ind w:left="120"/>
              <w:spacing w:after="0" w:line="142" w:lineRule="exact"/>
              <w:rPr>
                <w:sz w:val="20"/>
                <w:szCs w:val="20"/>
                <w:color w:val="auto"/>
              </w:rPr>
            </w:pPr>
            <w:r>
              <w:rPr>
                <w:rFonts w:ascii="Arial" w:cs="Arial" w:eastAsia="Arial" w:hAnsi="Arial"/>
                <w:sz w:val="14"/>
                <w:szCs w:val="14"/>
                <w:b w:val="1"/>
                <w:bCs w:val="1"/>
                <w:color w:val="auto"/>
                <w:w w:val="89"/>
              </w:rPr>
              <w:t>(Unaudited, in thousands)</w:t>
            </w:r>
          </w:p>
        </w:tc>
        <w:tc>
          <w:tcPr>
            <w:tcW w:w="9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1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192,313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12,411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6,966</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106,151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16,474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5,021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18,482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1,526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4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506,500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33,773</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22,879</w:t>
            </w:r>
          </w:p>
        </w:tc>
        <w:tc>
          <w:tcPr>
            <w:tcW w:w="1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563,152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5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Satellites,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358,580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227,151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585,731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178,611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110,137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6,225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acquired intangible assets,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52,389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8,019</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9,687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9,835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Investments in subsidiaries and intercompany receivables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437,631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2,501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(441,560)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18,886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1,665,194</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454,524</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48,995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(441,560)</w:t>
            </w:r>
          </w:p>
        </w:tc>
        <w:tc>
          <w:tcPr>
            <w:tcW w:w="300" w:type="dxa"/>
            <w:vAlign w:val="bottom"/>
            <w:gridSpan w:val="2"/>
          </w:tcPr>
          <w:p>
            <w:pPr>
              <w:ind w:left="2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1,727,153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5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30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62,085</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12,192</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128,327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27,477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3,958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1,111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190,541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40,780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4,721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547,791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long-term debt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9,429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37,385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10,269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777,219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56,211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16,849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Total ViaSat, Inc. stockholders’ equity</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887,975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398,313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32,146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(430,459)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887,975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Total equity</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887,975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398,313</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32,146</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(426,241)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892,193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1,665,194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454,524</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48,995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(441,560)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1,727,153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213"/>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 of Operations and Comprehensive Income (Loss) for the Three Months Ended December 28, 2012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Non-</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Issuing Parent</w:t>
            </w:r>
          </w:p>
        </w:tc>
        <w:tc>
          <w:tcPr>
            <w:tcW w:w="240" w:type="dxa"/>
            <w:vAlign w:val="bottom"/>
          </w:tcPr>
          <w:p>
            <w:pPr>
              <w:spacing w:after="0"/>
              <w:rPr>
                <w:sz w:val="12"/>
                <w:szCs w:val="12"/>
                <w:color w:val="auto"/>
              </w:rPr>
            </w:pPr>
          </w:p>
        </w:tc>
        <w:tc>
          <w:tcPr>
            <w:tcW w:w="8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Guarantor</w:t>
            </w:r>
          </w:p>
        </w:tc>
        <w:tc>
          <w:tcPr>
            <w:tcW w:w="360" w:type="dxa"/>
            <w:vAlign w:val="bottom"/>
          </w:tcPr>
          <w:p>
            <w:pPr>
              <w:spacing w:after="0"/>
              <w:rPr>
                <w:sz w:val="12"/>
                <w:szCs w:val="12"/>
                <w:color w:val="auto"/>
              </w:rPr>
            </w:pPr>
          </w:p>
        </w:tc>
        <w:tc>
          <w:tcPr>
            <w:tcW w:w="124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0" w:type="dxa"/>
            <w:vAlign w:val="bottom"/>
          </w:tcPr>
          <w:p>
            <w:pPr>
              <w:spacing w:after="0"/>
              <w:rPr>
                <w:sz w:val="12"/>
                <w:szCs w:val="12"/>
                <w:color w:val="auto"/>
              </w:rPr>
            </w:pPr>
          </w:p>
        </w:tc>
        <w:tc>
          <w:tcPr>
            <w:tcW w:w="14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Company</w:t>
            </w:r>
          </w:p>
        </w:tc>
        <w:tc>
          <w:tcPr>
            <w:tcW w:w="2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5"/>
          </w:tcPr>
          <w:p>
            <w:pPr>
              <w:ind w:left="120"/>
              <w:spacing w:after="0" w:line="142" w:lineRule="exact"/>
              <w:rPr>
                <w:sz w:val="20"/>
                <w:szCs w:val="20"/>
                <w:color w:val="auto"/>
              </w:rPr>
            </w:pPr>
            <w:r>
              <w:rPr>
                <w:rFonts w:ascii="Arial" w:cs="Arial" w:eastAsia="Arial" w:hAnsi="Arial"/>
                <w:sz w:val="14"/>
                <w:szCs w:val="14"/>
                <w:b w:val="1"/>
                <w:bCs w:val="1"/>
                <w:color w:val="auto"/>
                <w:w w:val="91"/>
              </w:rPr>
              <w:t>(Unaudited, in thousands)</w:t>
            </w:r>
          </w:p>
        </w:tc>
        <w:tc>
          <w:tcPr>
            <w:tcW w:w="9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156,334</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652</w:t>
            </w:r>
          </w:p>
        </w:tc>
        <w:tc>
          <w:tcPr>
            <w:tcW w:w="180" w:type="dxa"/>
            <w:vAlign w:val="bottom"/>
          </w:tcPr>
          <w:p>
            <w:pPr>
              <w:spacing w:after="0"/>
              <w:rPr>
                <w:sz w:val="18"/>
                <w:szCs w:val="18"/>
                <w:color w:val="auto"/>
              </w:rPr>
            </w:pP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7,859</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164,694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53,895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121,748</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210,229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67,337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9,425</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(549)</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286,442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113,397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5,079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119,250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34,741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24,542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2,926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7,496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18,685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(17,342)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(10,658)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(26,501)</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(18,438)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(17,356)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(35,869)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(5,765)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(9,685)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(8,103)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8,103</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(20,776)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8,103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3"/>
              </w:rPr>
              <w:t>Less: Net income (loss) attributable to noncontrolling interest,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of tax</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ViaSat, Inc.</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(20,776)</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(7,671)</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(20,776)</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 attributable to ViaSat, Inc.</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gridSpan w:val="2"/>
            <w:vMerge w:val="continue"/>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(20,710)</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(7,671)</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7,967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 and Comprehensive Income (Loss) for the Nine Months Ended December 28,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Non-</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Issuing Parent</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380" w:type="dxa"/>
            <w:vAlign w:val="bottom"/>
          </w:tcPr>
          <w:p>
            <w:pPr>
              <w:spacing w:after="0"/>
              <w:rPr>
                <w:sz w:val="12"/>
                <w:szCs w:val="12"/>
                <w:color w:val="auto"/>
              </w:rPr>
            </w:pPr>
          </w:p>
        </w:tc>
        <w:tc>
          <w:tcPr>
            <w:tcW w:w="126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0" w:type="dxa"/>
            <w:vAlign w:val="bottom"/>
          </w:tcPr>
          <w:p>
            <w:pPr>
              <w:spacing w:after="0"/>
              <w:rPr>
                <w:sz w:val="12"/>
                <w:szCs w:val="12"/>
                <w:color w:val="auto"/>
              </w:rPr>
            </w:pPr>
          </w:p>
        </w:tc>
        <w:tc>
          <w:tcPr>
            <w:tcW w:w="15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Elimination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0"/>
              </w:rPr>
              <w:t>Company</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w w:val="92"/>
              </w:rPr>
              <w:t>(Unaudited, in thousands)</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460,645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4,158</w:t>
            </w:r>
          </w:p>
        </w:tc>
        <w:tc>
          <w:tcPr>
            <w:tcW w:w="180" w:type="dxa"/>
            <w:vAlign w:val="bottom"/>
          </w:tcPr>
          <w:p>
            <w:pPr>
              <w:spacing w:after="0"/>
              <w:rPr>
                <w:sz w:val="18"/>
                <w:szCs w:val="18"/>
                <w:color w:val="auto"/>
              </w:rPr>
            </w:pP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16,468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480,898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142,923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181,072</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7,305</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(1,171)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330,129</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603,568</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185,230</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23,773</w:t>
            </w:r>
          </w:p>
        </w:tc>
        <w:tc>
          <w:tcPr>
            <w:tcW w:w="120" w:type="dxa"/>
            <w:vAlign w:val="bottom"/>
          </w:tcPr>
          <w:p>
            <w:pPr>
              <w:spacing w:after="0"/>
              <w:rPr>
                <w:sz w:val="19"/>
                <w:szCs w:val="19"/>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(1,544)</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811,027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336,104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3,018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10,922</w:t>
            </w:r>
          </w:p>
        </w:tc>
        <w:tc>
          <w:tcPr>
            <w:tcW w:w="12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349,720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97,016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165,523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4,737</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(1,180)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266,096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96,484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68,264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8,041</w:t>
            </w:r>
          </w:p>
        </w:tc>
        <w:tc>
          <w:tcPr>
            <w:tcW w:w="120" w:type="dxa"/>
            <w:vAlign w:val="bottom"/>
          </w:tcPr>
          <w:p>
            <w:pPr>
              <w:spacing w:after="0"/>
              <w:rPr>
                <w:sz w:val="18"/>
                <w:szCs w:val="18"/>
                <w:color w:val="auto"/>
              </w:rPr>
            </w:pP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22,859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9,635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18"/>
                <w:szCs w:val="18"/>
                <w:color w:val="auto"/>
              </w:rPr>
            </w:pP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50,296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(61,748)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(1,930)</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(33,716)</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(26,501)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(26,501)</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(9,783)</w:t>
            </w: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(61,798)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19"/>
                <w:szCs w:val="19"/>
                <w:color w:val="auto"/>
              </w:rPr>
            </w:pP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(73,511)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(3,563)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(27,052)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(36,883)</w:t>
            </w: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ind w:left="460"/>
              <w:spacing w:after="0"/>
              <w:rPr>
                <w:sz w:val="20"/>
                <w:szCs w:val="20"/>
                <w:color w:val="auto"/>
              </w:rPr>
            </w:pPr>
            <w:r>
              <w:rPr>
                <w:rFonts w:ascii="Arial" w:cs="Arial" w:eastAsia="Arial" w:hAnsi="Arial"/>
                <w:sz w:val="18"/>
                <w:szCs w:val="18"/>
                <w:color w:val="auto"/>
                <w:w w:val="83"/>
              </w:rPr>
              <w:t>36,883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(43,103)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(34,746)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(1,938)</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3"/>
              </w:rPr>
              <w:t>36,883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5"/>
              </w:rPr>
              <w:t>Less: Net income (loss) attributable to noncontrolling interest,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79"/>
              </w:rPr>
              <w:t>199</w:t>
            </w: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ViaSat, Inc.</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(43,103)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(34,746)</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(1,938)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3"/>
              </w:rPr>
              <w:t>36,684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(43,103)</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 attributable to ViaSat, Inc.</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gridSpan w:val="2"/>
            <w:vMerge w:val="continue"/>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(42,710)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(34,746)</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460"/>
              <w:spacing w:after="0"/>
              <w:rPr>
                <w:sz w:val="20"/>
                <w:szCs w:val="20"/>
                <w:color w:val="auto"/>
              </w:rPr>
            </w:pPr>
            <w:r>
              <w:rPr>
                <w:rFonts w:ascii="Arial" w:cs="Arial" w:eastAsia="Arial" w:hAnsi="Arial"/>
                <w:sz w:val="18"/>
                <w:szCs w:val="18"/>
                <w:color w:val="auto"/>
                <w:w w:val="83"/>
              </w:rPr>
              <w:t>36,463</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 of Operations and Comprehensive Income (Loss) for the Three Months Ended December 30, 2011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Non-</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Consolidation and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Issuing Parent</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Guarantor</w:t>
            </w:r>
          </w:p>
        </w:tc>
        <w:tc>
          <w:tcPr>
            <w:tcW w:w="360" w:type="dxa"/>
            <w:vAlign w:val="bottom"/>
          </w:tcPr>
          <w:p>
            <w:pPr>
              <w:spacing w:after="0"/>
              <w:rPr>
                <w:sz w:val="12"/>
                <w:szCs w:val="12"/>
                <w:color w:val="auto"/>
              </w:rPr>
            </w:pPr>
          </w:p>
        </w:tc>
        <w:tc>
          <w:tcPr>
            <w:tcW w:w="124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5"/>
              </w:rPr>
              <w:t>Elimination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7"/>
              </w:rPr>
              <w:t>Company</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6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7"/>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5"/>
          </w:tcPr>
          <w:p>
            <w:pPr>
              <w:ind w:left="120"/>
              <w:spacing w:after="0" w:line="142" w:lineRule="exact"/>
              <w:rPr>
                <w:sz w:val="20"/>
                <w:szCs w:val="20"/>
                <w:color w:val="auto"/>
              </w:rPr>
            </w:pPr>
            <w:r>
              <w:rPr>
                <w:rFonts w:ascii="Arial" w:cs="Arial" w:eastAsia="Arial" w:hAnsi="Arial"/>
                <w:sz w:val="14"/>
                <w:szCs w:val="14"/>
                <w:b w:val="1"/>
                <w:bCs w:val="1"/>
                <w:color w:val="auto"/>
                <w:w w:val="92"/>
              </w:rPr>
              <w:t>(Unaudited, in thousands)</w:t>
            </w:r>
          </w:p>
        </w:tc>
        <w:tc>
          <w:tcPr>
            <w:tcW w:w="9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115,537</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735</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5,651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50,864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2,211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83,102</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145,975</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51,599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7,862</w:t>
            </w:r>
          </w:p>
        </w:tc>
        <w:tc>
          <w:tcPr>
            <w:tcW w:w="14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(472)</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204,964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85,440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854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3,230</w:t>
            </w:r>
          </w:p>
        </w:tc>
        <w:tc>
          <w:tcPr>
            <w:tcW w:w="14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38,200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1,760</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31,801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11,767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2,057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3,238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543</w:t>
            </w: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(1,901)</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(1,318)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5,140</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(1,168)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Net income (loss) attributable to noncontrolling interest,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ViaSat, Inc.</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5,140</w:t>
            </w:r>
          </w:p>
        </w:tc>
        <w:tc>
          <w:tcPr>
            <w:tcW w:w="5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(1,168)</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658</w:t>
            </w:r>
          </w:p>
        </w:tc>
        <w:tc>
          <w:tcPr>
            <w:tcW w:w="5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ViaSat, Inc.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 and Comprehensive Income (Loss) for the Nine Months Ended December 30,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Issuing Parent</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Guarantor</w:t>
            </w:r>
          </w:p>
        </w:tc>
        <w:tc>
          <w:tcPr>
            <w:tcW w:w="320" w:type="dxa"/>
            <w:vAlign w:val="bottom"/>
          </w:tcPr>
          <w:p>
            <w:pPr>
              <w:spacing w:after="0"/>
              <w:rPr>
                <w:sz w:val="12"/>
                <w:szCs w:val="12"/>
                <w:color w:val="auto"/>
              </w:rPr>
            </w:pPr>
          </w:p>
        </w:tc>
        <w:tc>
          <w:tcPr>
            <w:tcW w:w="9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7"/>
              </w:rPr>
              <w:t>Company</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Subsidiaries</w:t>
            </w:r>
          </w:p>
        </w:tc>
        <w:tc>
          <w:tcPr>
            <w:tcW w:w="3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9"/>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6"/>
          </w:tcPr>
          <w:p>
            <w:pPr>
              <w:ind w:left="80"/>
              <w:spacing w:after="0" w:line="142" w:lineRule="exact"/>
              <w:rPr>
                <w:sz w:val="20"/>
                <w:szCs w:val="20"/>
                <w:color w:val="auto"/>
              </w:rPr>
            </w:pPr>
            <w:r>
              <w:rPr>
                <w:rFonts w:ascii="Arial" w:cs="Arial" w:eastAsia="Arial" w:hAnsi="Arial"/>
                <w:sz w:val="14"/>
                <w:szCs w:val="14"/>
                <w:b w:val="1"/>
                <w:bCs w:val="1"/>
                <w:color w:val="auto"/>
                <w:w w:val="88"/>
              </w:rPr>
              <w:t>(Unaudited, in thousands)</w:t>
            </w:r>
          </w:p>
        </w:tc>
        <w:tc>
          <w:tcPr>
            <w:tcW w:w="9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370,293</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2,313</w:t>
            </w:r>
          </w:p>
        </w:tc>
        <w:tc>
          <w:tcPr>
            <w:tcW w:w="14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18,818</w:t>
            </w:r>
          </w:p>
        </w:tc>
        <w:tc>
          <w:tcPr>
            <w:tcW w:w="2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155,853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(1,530)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232,070</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440,416</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158,166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26,442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(1,935)</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623,089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275,370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13,695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(1,804)</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289,657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113,657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160,838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88,335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36,827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1,377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1,377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(5,364)</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(2,140)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(3,951)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3,951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13,989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(2,374)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(1,570)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4,836</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14,881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9"/>
              </w:rPr>
              <w:t>Less: Net income (loss) attributable to noncontrolling interest, net of</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ViaSat, Inc.</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8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13,989</w:t>
            </w:r>
          </w:p>
        </w:tc>
        <w:tc>
          <w:tcPr>
            <w:tcW w:w="4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(2,374)</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(1,570)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4,829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ViaSat, Inc.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(2,374)</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(2,444)</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5,703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333"/>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Cash Flows for the Nine Months Ended December 28,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Non-</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Consolidation and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Issuing Parent</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Guarantor</w:t>
            </w:r>
          </w:p>
        </w:tc>
        <w:tc>
          <w:tcPr>
            <w:tcW w:w="360" w:type="dxa"/>
            <w:vAlign w:val="bottom"/>
          </w:tcPr>
          <w:p>
            <w:pPr>
              <w:spacing w:after="0"/>
              <w:rPr>
                <w:sz w:val="12"/>
                <w:szCs w:val="12"/>
                <w:color w:val="auto"/>
              </w:rPr>
            </w:pPr>
          </w:p>
        </w:tc>
        <w:tc>
          <w:tcPr>
            <w:tcW w:w="124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5"/>
              </w:rPr>
              <w:t>Elimination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7"/>
              </w:rPr>
              <w:t>Company</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6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7"/>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5"/>
          </w:tcPr>
          <w:p>
            <w:pPr>
              <w:ind w:left="120"/>
              <w:spacing w:after="0" w:line="142" w:lineRule="exact"/>
              <w:rPr>
                <w:sz w:val="20"/>
                <w:szCs w:val="20"/>
                <w:color w:val="auto"/>
              </w:rPr>
            </w:pPr>
            <w:r>
              <w:rPr>
                <w:rFonts w:ascii="Arial" w:cs="Arial" w:eastAsia="Arial" w:hAnsi="Arial"/>
                <w:sz w:val="14"/>
                <w:szCs w:val="14"/>
                <w:b w:val="1"/>
                <w:bCs w:val="1"/>
                <w:color w:val="auto"/>
                <w:w w:val="92"/>
              </w:rPr>
              <w:t>(Unaudited, in thousands)</w:t>
            </w:r>
          </w:p>
        </w:tc>
        <w:tc>
          <w:tcPr>
            <w:tcW w:w="9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(39,621)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88,567</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Purchase of property, equipment and satellites, net</w:t>
            </w: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(33,742)</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(85,390)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(120,182)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patents, licenses and other assets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(18,795)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Long-term intercompany notes and investments</w:t>
            </w: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(1,155)</w:t>
            </w:r>
          </w:p>
        </w:tc>
        <w:tc>
          <w:tcPr>
            <w:tcW w:w="14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(53,692)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(85,390)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(1,135)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(139,062)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Additional 2020 Notes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Repayment of 2016 Notes</w:t>
            </w: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(271,582)</w:t>
            </w:r>
          </w:p>
        </w:tc>
        <w:tc>
          <w:tcPr>
            <w:tcW w:w="14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(271,582)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debt issuance costs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(8,059)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Proceeds from issuance of common stock under equity</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640"/>
              <w:spacing w:after="0"/>
              <w:rPr>
                <w:sz w:val="20"/>
                <w:szCs w:val="20"/>
                <w:color w:val="auto"/>
              </w:rPr>
            </w:pPr>
            <w:r>
              <w:rPr>
                <w:rFonts w:ascii="Arial" w:cs="Arial" w:eastAsia="Arial" w:hAnsi="Arial"/>
                <w:sz w:val="18"/>
                <w:szCs w:val="18"/>
                <w:color w:val="auto"/>
              </w:rPr>
              <w:t>plans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19,512</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19,512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common stock in treasury</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(7,902)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Payments on capital lease</w:t>
            </w: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satellite performance incentives obligation</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Long-term intercompany financing</w:t>
            </w:r>
          </w:p>
        </w:tc>
        <w:tc>
          <w:tcPr>
            <w:tcW w:w="1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1,155</w:t>
            </w:r>
          </w:p>
        </w:tc>
        <w:tc>
          <w:tcPr>
            <w:tcW w:w="14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1,204</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(1,204)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(62,465)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162,426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439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9,718</w:t>
            </w: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172,583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99,961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112,667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Cash Flows for the Nine Months Ended December 30,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Issuing Parent</w:t>
            </w:r>
          </w:p>
        </w:tc>
        <w:tc>
          <w:tcPr>
            <w:tcW w:w="22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Guarantor</w:t>
            </w:r>
          </w:p>
        </w:tc>
        <w:tc>
          <w:tcPr>
            <w:tcW w:w="36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Company</w:t>
            </w:r>
          </w:p>
        </w:tc>
        <w:tc>
          <w:tcPr>
            <w:tcW w:w="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9"/>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6"/>
          </w:tcPr>
          <w:p>
            <w:pPr>
              <w:ind w:left="100"/>
              <w:spacing w:after="0" w:line="142" w:lineRule="exact"/>
              <w:rPr>
                <w:sz w:val="20"/>
                <w:szCs w:val="20"/>
                <w:color w:val="auto"/>
              </w:rPr>
            </w:pPr>
            <w:r>
              <w:rPr>
                <w:rFonts w:ascii="Arial" w:cs="Arial" w:eastAsia="Arial" w:hAnsi="Arial"/>
                <w:sz w:val="14"/>
                <w:szCs w:val="14"/>
                <w:b w:val="1"/>
                <w:bCs w:val="1"/>
                <w:color w:val="auto"/>
                <w:w w:val="91"/>
              </w:rPr>
              <w:t>(Unaudited, in thousands)</w:t>
            </w:r>
          </w:p>
        </w:tc>
        <w:tc>
          <w:tcPr>
            <w:tcW w:w="9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10,692</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51,853</w:t>
            </w:r>
          </w:p>
        </w:tc>
        <w:tc>
          <w:tcPr>
            <w:tcW w:w="160" w:type="dxa"/>
            <w:vAlign w:val="bottom"/>
          </w:tcPr>
          <w:p>
            <w:pPr>
              <w:spacing w:after="0"/>
              <w:rPr>
                <w:sz w:val="19"/>
                <w:szCs w:val="19"/>
                <w:color w:val="auto"/>
              </w:rPr>
            </w:pP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4,365</w:t>
            </w:r>
          </w:p>
        </w:tc>
        <w:tc>
          <w:tcPr>
            <w:tcW w:w="30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64,965</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Purchase of property, equipment and satellites, net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(130,843)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(28,069)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(2,200)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(159,167)</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patents, licenses and other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(17,104)</w:t>
            </w:r>
          </w:p>
        </w:tc>
      </w:tr>
      <w:tr>
        <w:trPr>
          <w:trHeight w:val="216"/>
        </w:trPr>
        <w:tc>
          <w:tcPr>
            <w:tcW w:w="20" w:type="dxa"/>
            <w:vAlign w:val="bottom"/>
          </w:tcPr>
          <w:p>
            <w:pPr>
              <w:spacing w:after="0"/>
              <w:rPr>
                <w:sz w:val="18"/>
                <w:szCs w:val="18"/>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Long-term intercompany notes and investments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(144,646)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(28,069)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(1,320)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(176,271)</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Proceeds from issuance of common stock under equity plans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14,369</w:t>
            </w: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Purchase of common stock in treasury</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(6,991)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(6,991)</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capital lease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w:t>
            </w: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Proceeds from line of credit borrowings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130,000</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line of credit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w:t>
            </w: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Long-term intercompany financing</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30,531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(30,531)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(3,265)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147,825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(31,209)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3,265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116,616</w:t>
            </w: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5,352</w:t>
            </w: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38,218</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45,842</w:t>
            </w: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14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anticipated satellite construction activities; future economic conditions and performance; anticipated performance of products or services;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include: our ability to successfully implement our business plan for our broadband satellite services on our anticipated timeline or at all; negative audits by the U.S. government; continued turmoil in global business environment and economic conditions; delays in approving U.S. government budgets and cuts in government defense expenditures; our reliance on U.S. government contracts, and on a small number of contracts which account for a significant percentage of our revenues; our ability to successfully develop, introduce and sell new technologies, products and services;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30, 2012, under the heading “Risk Factors” in Part II, Item 1A of this report, elsewhere in this report and our other filings with the Securities and Exchange Commission (SEC). Therefore, actual results may differ materially and adversely from those expressed in any forward-looking statements. We undertake no obligation to revise or update any forward-looking statements for any reason.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a leading provider of high-speed fixed and mobile broadband services, advanced satellite and other wireless networks and secure networking systems, products and services. We have leveraged our success developing complex satellite communication systems and equipment for the U.S. government and select commercial customers to develop next-generation satellite broadband technologies and services for both fixed and mobile users. Our product, systems and broadband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satellite services segment provides retail and wholesale satellite-based broadband internet services for our consumer, enterprise and mobile broadband customers in the United States. Our satellite services business also provides a platform for the provision of network management services to domestic and international satellite service providers.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90" w:lineRule="exact"/>
        <w:rPr>
          <w:sz w:val="20"/>
          <w:szCs w:val="20"/>
          <w:color w:val="auto"/>
        </w:rPr>
      </w:pPr>
    </w:p>
    <w:p>
      <w:pPr>
        <w:ind w:left="900" w:right="160" w:hanging="325"/>
        <w:spacing w:after="0" w:line="294"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Retail and wholesale broadband satellite services offered under the Exede</w:t>
      </w:r>
      <w:r>
        <w:rPr>
          <w:rFonts w:ascii="Arial" w:cs="Arial" w:eastAsia="Arial" w:hAnsi="Arial"/>
          <w:sz w:val="10"/>
          <w:szCs w:val="10"/>
          <w:color w:val="auto"/>
        </w:rPr>
        <w:t>SM</w:t>
      </w:r>
      <w:r>
        <w:rPr>
          <w:rFonts w:ascii="Arial" w:cs="Arial" w:eastAsia="Arial" w:hAnsi="Arial"/>
          <w:sz w:val="16"/>
          <w:szCs w:val="16"/>
          <w:color w:val="auto"/>
        </w:rPr>
        <w:t xml:space="preserve"> and WildBlue</w:t>
      </w:r>
      <w:r>
        <w:rPr>
          <w:rFonts w:ascii="Arial" w:cs="Arial" w:eastAsia="Arial" w:hAnsi="Arial"/>
          <w:sz w:val="10"/>
          <w:szCs w:val="10"/>
          <w:color w:val="auto"/>
        </w:rPr>
        <w:t>®</w:t>
      </w:r>
      <w:r>
        <w:rPr>
          <w:rFonts w:ascii="Arial" w:cs="Arial" w:eastAsia="Arial" w:hAnsi="Arial"/>
          <w:sz w:val="16"/>
          <w:szCs w:val="16"/>
          <w:color w:val="auto"/>
        </w:rPr>
        <w:t xml:space="preserve"> brands, which provide two-way satellite-based broadband internet access to consumers and small businesses in the United States. We offer a range of service plans to both retail and wholesale customers, with pricing based on data speeds and volume limits. We offer wholesale broadband services to our national and regional distribution partners, including direct-to-home satellite video providers, retail service providers and communications companies. As of December 28, 2012, we provided broadband satellite services to approximately 467,000 subscribers.</w:t>
      </w:r>
    </w:p>
    <w:p>
      <w:pPr>
        <w:spacing w:after="0" w:line="34"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Yonder</w:t>
      </w:r>
      <w:r>
        <w:rPr>
          <w:rFonts w:ascii="Arial" w:cs="Arial" w:eastAsia="Arial" w:hAnsi="Arial"/>
          <w:sz w:val="11"/>
          <w:szCs w:val="11"/>
          <w:color w:val="auto"/>
        </w:rPr>
        <w:t>®</w:t>
      </w:r>
      <w:r>
        <w:rPr>
          <w:rFonts w:ascii="Arial" w:cs="Arial" w:eastAsia="Arial" w:hAnsi="Arial"/>
          <w:sz w:val="18"/>
          <w:szCs w:val="18"/>
          <w:color w:val="auto"/>
        </w:rPr>
        <w:t xml:space="preserve"> mobile broadband services, which provide global network management and high-speed internet connectivity services for customers using airborne, maritime and ground-mobile satellite systems.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commercial networks segment develops and produces a variety of advanced end-to-end satellite and other wireless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 and are either sold to our commercial networks customers or utilized to provide services through our satellite services segment.</w:t>
      </w:r>
    </w:p>
    <w:p>
      <w:pPr>
        <w:spacing w:after="0" w:line="9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Our satellite communication systems, ground networking equipment and products cater to a wide range of domestic and international commercial customers and include:</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Fixed satellite networks, including next-generation satellite network infrastructure and ground terminals to access high-capacity satellites.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high-speed trains and seagoing vessels.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Antenna systems for terrestrial and satellite applications, specializing in geospatial imagery, mobile satellite communication, Ka-band gateways and other multi-band antennas.</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Satellite networking development programs, including specialized design and technology services covering all aspects of satellite communication system architecture and technology.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government systems segment develops and produces network-centric internet protocol (IP)-based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U.S. Department of Defense (DoD), armed forces, public safety first-responders and remote government employees.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90" w:lineRule="exact"/>
        <w:rPr>
          <w:sz w:val="20"/>
          <w:szCs w:val="20"/>
          <w:color w:val="auto"/>
        </w:rPr>
      </w:pPr>
    </w:p>
    <w:p>
      <w:pPr>
        <w:ind w:left="90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Government satellite communication systems, including an array of portable, mobile and fixed broadband modems, terminals, network access control systems and antenna systems using a range of satellite frequency bands for line-of-sight and beyond-line-of-sight Intelligence, Surveillance and Reconnaissance (ISR) and Command and Control (C2) missions and satellite networking services, as well as products designed for manpacks, aircraft, unmanned aerial vehicles (UAVs), seagoing vessels, ground mobile vehicles and fixed applications.</w:t>
      </w:r>
    </w:p>
    <w:p>
      <w:pPr>
        <w:spacing w:after="0" w:line="31"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Information assurance products and secure networking solutions, which provide advanced, high-speed IP-based “Type 1,” High Assurance Internet Protocol Encryption (HAIPE</w:t>
      </w:r>
      <w:r>
        <w:rPr>
          <w:rFonts w:ascii="Arial" w:cs="Arial" w:eastAsia="Arial" w:hAnsi="Arial"/>
          <w:sz w:val="10"/>
          <w:szCs w:val="10"/>
          <w:color w:val="auto"/>
        </w:rPr>
        <w:t>®</w:t>
      </w:r>
      <w:r>
        <w:rPr>
          <w:rFonts w:ascii="Arial" w:cs="Arial" w:eastAsia="Arial" w:hAnsi="Arial"/>
          <w:sz w:val="16"/>
          <w:szCs w:val="16"/>
          <w:color w:val="auto"/>
        </w:rPr>
        <w:t>)-compliant, and other advanced encryption solutions that enable military, government and other users to communicate information securely over networks, and that secure data stored on computers and storage devices.</w:t>
      </w:r>
    </w:p>
    <w:p>
      <w:pPr>
        <w:spacing w:after="0" w:line="25"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Tactical data links, including Multifunctional Information Distribution System (MIDS) terminals for military fighter jets and their successor, MIDS Joint Tactical Radio System (MIDS JTRS) terminals, “disposable” weapon data links and portable small tactical terminals.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Our satellite services segment revenues are primarily derived from our domestic satellite broadband services business and from our worldwide managed network services. Our domestic satellite broadband services business comprised approximately 20% and 23% of total revenues during the three months ended December 28, 2012 and December 30, 2011, respectively, and 20% and 23% of total revenues during the nine months ended December 28, 2012 and December 30, 2011, respectively.</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With respect to our commercial networks and government systems segments, to date, our ability to grow and maintain our revenues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 Our products in these segments are provided primarily through three types of contracts: fixed-price, time-and-materials and cost-reimbursement contracts. Fixed-price contracts, which require us to provide products and services under a contract at a specified price, comprised approximately 95% and 94% of our total revenues for these segments for the three months ended December 28, 2012 and December 30, 2011, respectively, and 94% and 93% of our total revenues for these segments for the nine months ended December 28, 2012 and December 30, 2011, respectively.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$57.8 million or 20% and $57.7 million or 28% of our total revenues in the three months ended December 28, 2012 and December 30, 2011, respectively. Revenues for our funded research and development from our customer contracts were approximately $161.9 million or 20% and $165.5 million or 27% of our total revenues in the nine months ended December 28, 2012 and December 30, 2011, respectively.</w:t>
      </w:r>
    </w:p>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3% of total revenues during each of the three and nine months ended December 28, 2012 and December 30, 2011. As a government contractor, we are able to recover a portion of our IR&amp;D expenses pursuant to our government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December 28, 2012 and December 30, 2011, we recorded losses of approximately $0.6 million and $0.5 million, respectively, related to loss contracts. During the nine months ended December 28, 2012 and December 30, 2011, we recorded losses of approximately $3.1 million and $1.2 million, respectively, related to loss contracts.</w:t>
      </w:r>
    </w:p>
    <w:p>
      <w:pPr>
        <w:spacing w:after="0" w:line="12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December 28, 2012 would change our loss before income taxes by approximately $0.6 million.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07" w:lineRule="exact"/>
        <w:rPr>
          <w:sz w:val="20"/>
          <w:szCs w:val="20"/>
          <w:color w:val="auto"/>
        </w:rPr>
      </w:pPr>
    </w:p>
    <w:p>
      <w:pPr>
        <w:ind w:right="160" w:firstLine="456"/>
        <w:spacing w:after="0" w:line="303" w:lineRule="auto"/>
        <w:rPr>
          <w:sz w:val="20"/>
          <w:szCs w:val="20"/>
          <w:color w:val="auto"/>
        </w:rPr>
      </w:pPr>
      <w:r>
        <w:rPr>
          <w:rFonts w:ascii="Arial" w:cs="Arial" w:eastAsia="Arial" w:hAnsi="Arial"/>
          <w:sz w:val="15"/>
          <w:szCs w:val="15"/>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w:t>
      </w:r>
    </w:p>
    <w:p>
      <w:pPr>
        <w:spacing w:after="0" w:line="1" w:lineRule="exact"/>
        <w:rPr>
          <w:sz w:val="20"/>
          <w:szCs w:val="20"/>
          <w:color w:val="auto"/>
        </w:rPr>
      </w:pPr>
    </w:p>
    <w:p>
      <w:pPr>
        <w:ind w:right="60" w:firstLine="8"/>
        <w:spacing w:after="0" w:line="288" w:lineRule="auto"/>
        <w:tabs>
          <w:tab w:leader="none" w:pos="249"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23"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To determine the selling price in multiple-element arrangements, we establish VSOE of the selling price using the price charged for a deliverable when sold separately and for software license updates, product support and hardware systems support, based on the renewal rates offered to customers.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0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 current liability.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gateway facilities,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own two satellites: our new high-capacity Ka-band spot-beam satellite, ViaSat-1 (which was successfully launched into orbit in October 2011 and commenced commercial operation in January 2012) and WildBlue-1 (which was placed into service in March 2007). In addition, we have an exclusive prepaid lifetime capital lease of Ka-band capacity over the continental United States on Telesat Canada’s Anik F2 satellite (which was placed into service in April 2005) and own related gateway and networking equipment on all of our satellites. Our property and equipment also includes the indoor and outdoor customer premise equipment (CPE) units leased to subscribers under a retail leasing program as part of our satellite services segment.</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Occasionally, we may enter into capital lease arrangements for various machinery, equipment, computer-related equipment, software, furniture or fixtures. As of December 28, 2012 and March 30, 2012, assets under capital lease totaled approximately $3.1 million. We record amortization of assets leased under capital lease arrangements within depreciation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nine months ended December 28, 2012 and December 30, 2011.</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account for our goodwill under the authoritative guidance for goodwill and other intangible assets (ASC 350). We early adopted the provisions of ASU 2011-08, Testing Goodwill for Impairment, during the fourth quarter of fiscal year 2012, which permits us to make a qualitative assessment of whether it is more likely than not that a reporting unit’s fair value is less than its carrying amount before applying the two step goodwill impairment test. If, after completing our qualitative assessment we determine that it is more likely than not that the carrying value exceeds estimated fair value, we compare the fair value to our carrying value (including goodwill). If the estimated fair value is greater than the carrying value, we conclude that no impairment exists.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qualitative analysis performed during the fourth quarter of fiscal year 2012 included assessing the impact of changes in certain factors including</w:t>
      </w:r>
    </w:p>
    <w:p>
      <w:pPr>
        <w:spacing w:after="0" w:line="38" w:lineRule="exact"/>
        <w:rPr>
          <w:sz w:val="20"/>
          <w:szCs w:val="20"/>
          <w:color w:val="auto"/>
        </w:rPr>
      </w:pPr>
    </w:p>
    <w:p>
      <w:pPr>
        <w:ind w:right="200" w:firstLine="8"/>
        <w:spacing w:after="0" w:line="295" w:lineRule="auto"/>
        <w:tabs>
          <w:tab w:leader="none" w:pos="2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forecasted operating results and comparing actual results to projections, (2) changes in our weighted average cost of capital, (3) changes in the industry or our competitive environment since the acquisition date, (4) changes in the overall economy, our market share and market interest rates since the acquisition date, (5) trends in the stock price and related market capitalization and enterprise values, (6) trends in peer companies total enterprise value metrics, and (7) additional factors such as management turnover, changes in regulation and changes in litigation matters.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In accordance with the authoritative guidance for income taxes (ASC 740), net deferred tax assets are reduced by a valuation allowance if, based on all the available evidence, it is more likely than not that some or all of the deferred tax assets will not be realized. Our valuation allowance against deferred tax assets increased from $14.7 million at March 30, 2012 to $15.9 million at December 28, 2012. The valuation allowance primarily relates to state net operating loss carryforwards and research credit carryforwards available to reduce state income taxes.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analysis of the need for a valuation allowance considered the loss incurred during the nine months ended December 28, 2012. However, a substantial portion of the current loss was the result of an extinguishment of debt charge that was recorded upon the refinancing of certain of our debt obligations at lower interest rates, which is expected to provide a benefit to net income in the future. Our evaluation considered other factors, including our history of positive earnings, taxable income adjusted for certain items, the significant growth in contractual backlog, and trends and forecasted income by jurisdiction. Consideration was also given to the lengthy period over which our net deferred tax assets can be realized, and our history of not having federal tax loss carryforwards expire unused.</w:t>
      </w:r>
    </w:p>
    <w:p>
      <w:pPr>
        <w:spacing w:after="0" w:line="1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6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23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5540" w:type="dxa"/>
            <w:vAlign w:val="bottom"/>
          </w:tcPr>
          <w:p>
            <w:pPr>
              <w:spacing w:after="0"/>
              <w:rPr>
                <w:sz w:val="11"/>
                <w:szCs w:val="11"/>
                <w:color w:val="auto"/>
              </w:rPr>
            </w:pPr>
          </w:p>
        </w:tc>
        <w:tc>
          <w:tcPr>
            <w:tcW w:w="132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3"/>
              </w:rPr>
              <w:t>December 28,</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December 30,</w:t>
            </w:r>
          </w:p>
        </w:tc>
        <w:tc>
          <w:tcPr>
            <w:tcW w:w="520" w:type="dxa"/>
            <w:vAlign w:val="bottom"/>
          </w:tcPr>
          <w:p>
            <w:pPr>
              <w:spacing w:after="0"/>
              <w:rPr>
                <w:sz w:val="11"/>
                <w:szCs w:val="11"/>
                <w:color w:val="auto"/>
              </w:rPr>
            </w:pPr>
          </w:p>
        </w:tc>
        <w:tc>
          <w:tcPr>
            <w:tcW w:w="132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3"/>
              </w:rPr>
              <w:t>December 28,</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December 30,</w:t>
            </w:r>
          </w:p>
        </w:tc>
        <w:tc>
          <w:tcPr>
            <w:tcW w:w="200" w:type="dxa"/>
            <w:vAlign w:val="bottom"/>
          </w:tcPr>
          <w:p>
            <w:pPr>
              <w:spacing w:after="0"/>
              <w:rPr>
                <w:sz w:val="11"/>
                <w:szCs w:val="11"/>
                <w:color w:val="auto"/>
              </w:rPr>
            </w:pPr>
          </w:p>
        </w:tc>
      </w:tr>
      <w:tr>
        <w:trPr>
          <w:trHeight w:val="161"/>
        </w:trPr>
        <w:tc>
          <w:tcPr>
            <w:tcW w:w="55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Product revenues</w:t>
            </w:r>
          </w:p>
        </w:tc>
        <w:tc>
          <w:tcPr>
            <w:tcW w:w="780" w:type="dxa"/>
            <w:vAlign w:val="bottom"/>
          </w:tcPr>
          <w:p>
            <w:pPr>
              <w:jc w:val="right"/>
              <w:spacing w:after="0"/>
              <w:rPr>
                <w:sz w:val="20"/>
                <w:szCs w:val="20"/>
                <w:color w:val="auto"/>
              </w:rPr>
            </w:pPr>
            <w:r>
              <w:rPr>
                <w:rFonts w:ascii="Arial" w:cs="Arial" w:eastAsia="Arial" w:hAnsi="Arial"/>
                <w:sz w:val="18"/>
                <w:szCs w:val="18"/>
                <w:color w:val="auto"/>
              </w:rPr>
              <w:t>57.5</w:t>
            </w:r>
          </w:p>
        </w:tc>
        <w:tc>
          <w:tcPr>
            <w:tcW w:w="54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59.5</w:t>
            </w:r>
          </w:p>
        </w:tc>
        <w:tc>
          <w:tcPr>
            <w:tcW w:w="800" w:type="dxa"/>
            <w:vAlign w:val="bottom"/>
          </w:tcPr>
          <w:p>
            <w:pPr>
              <w:jc w:val="right"/>
              <w:spacing w:after="0"/>
              <w:rPr>
                <w:sz w:val="20"/>
                <w:szCs w:val="20"/>
                <w:color w:val="auto"/>
              </w:rPr>
            </w:pPr>
            <w:r>
              <w:rPr>
                <w:rFonts w:ascii="Arial" w:cs="Arial" w:eastAsia="Arial" w:hAnsi="Arial"/>
                <w:sz w:val="18"/>
                <w:szCs w:val="18"/>
                <w:color w:val="auto"/>
              </w:rPr>
              <w:t>59.3</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revenues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product revenues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8"/>
                <w:szCs w:val="18"/>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Cost of service revenues</w:t>
            </w:r>
          </w:p>
        </w:tc>
        <w:tc>
          <w:tcPr>
            <w:tcW w:w="780" w:type="dxa"/>
            <w:vAlign w:val="bottom"/>
          </w:tcPr>
          <w:p>
            <w:pPr>
              <w:jc w:val="right"/>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28.0</w:t>
            </w:r>
          </w:p>
        </w:tc>
        <w:tc>
          <w:tcPr>
            <w:tcW w:w="800" w:type="dxa"/>
            <w:vAlign w:val="bottom"/>
          </w:tcPr>
          <w:p>
            <w:pPr>
              <w:jc w:val="right"/>
              <w:spacing w:after="0"/>
              <w:rPr>
                <w:sz w:val="20"/>
                <w:szCs w:val="20"/>
                <w:color w:val="auto"/>
              </w:rPr>
            </w:pPr>
            <w:r>
              <w:rPr>
                <w:rFonts w:ascii="Arial" w:cs="Arial" w:eastAsia="Arial" w:hAnsi="Arial"/>
                <w:sz w:val="18"/>
                <w:szCs w:val="18"/>
                <w:color w:val="auto"/>
              </w:rPr>
              <w:t>32.8</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Independent research and development</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2.9</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r>
      <w:tr>
        <w:trPr>
          <w:trHeight w:val="221"/>
        </w:trPr>
        <w:tc>
          <w:tcPr>
            <w:tcW w:w="55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54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0.9</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(1.7)</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r>
      <w:tr>
        <w:trPr>
          <w:trHeight w:val="218"/>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(loss) income</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(7.2)</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2.5</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(5.3)</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ViaSat, Inc.</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right="4980"/>
        <w:spacing w:after="0" w:line="369" w:lineRule="auto"/>
        <w:rPr>
          <w:sz w:val="20"/>
          <w:szCs w:val="20"/>
          <w:color w:val="auto"/>
        </w:rPr>
      </w:pPr>
      <w:r>
        <w:rPr>
          <w:rFonts w:ascii="Arial" w:cs="Arial" w:eastAsia="Arial" w:hAnsi="Arial"/>
          <w:sz w:val="18"/>
          <w:szCs w:val="18"/>
          <w:b w:val="1"/>
          <w:bCs w:val="1"/>
          <w:color w:val="auto"/>
        </w:rPr>
        <w:t xml:space="preserve">Three Months Ended December 28, 2012 vs. Three Months Ended December 30, 2011 </w:t>
      </w:r>
      <w:r>
        <w:rPr>
          <w:rFonts w:ascii="Arial" w:cs="Arial" w:eastAsia="Arial" w:hAnsi="Arial"/>
          <w:sz w:val="18"/>
          <w:szCs w:val="18"/>
          <w:i w:val="1"/>
          <w:iCs w:val="1"/>
          <w:color w:val="auto"/>
        </w:rPr>
        <w:t>Revenues</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December 28,</w:t>
            </w:r>
          </w:p>
        </w:tc>
        <w:tc>
          <w:tcPr>
            <w:tcW w:w="6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64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64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0"/>
              </w:rPr>
              <w:t>(Decrease)</w:t>
            </w:r>
          </w:p>
        </w:tc>
        <w:tc>
          <w:tcPr>
            <w:tcW w:w="64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5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164.7</w:t>
            </w:r>
          </w:p>
        </w:tc>
        <w:tc>
          <w:tcPr>
            <w:tcW w:w="6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121.9</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42.8</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540" w:type="dxa"/>
            <w:vAlign w:val="bottom"/>
          </w:tcPr>
          <w:p>
            <w:pPr>
              <w:jc w:val="right"/>
              <w:ind w:right="112"/>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total revenues increased approximately $81.5 million during the third quarter of fiscal year 2013 when compared to the same period last fiscal year due to an increase in product revenues of approximately $42.8 million, coupled with an increase in service revenues of approximately $38.6 million. The increase in product revenues resulted from product revenue increases in our government systems segment of approximately $27.8 million and in our commercial networks segment of approximately $15.1 million. The increase in service revenues was driven primarily by service revenue increases in our government systems segment of approximately $23.4 million and in our satellite services segment of approximately $16.2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December 28,</w:t>
            </w:r>
          </w:p>
        </w:tc>
        <w:tc>
          <w:tcPr>
            <w:tcW w:w="6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64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64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0"/>
              </w:rPr>
              <w:t>(Decrease)</w:t>
            </w:r>
          </w:p>
        </w:tc>
        <w:tc>
          <w:tcPr>
            <w:tcW w:w="64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5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119.3</w:t>
            </w:r>
          </w:p>
        </w:tc>
        <w:tc>
          <w:tcPr>
            <w:tcW w:w="6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89.5</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29.8</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Total cost of revenues increased $64.6 million during the third quarter of fiscal year 2013 compared to the third quarter of fiscal year 2012 due to a cost of service revenues increase of approximately $34.8 million and a cost of product revenues increase of approximately $29.8 million. Cost of service revenues increased from $57.3 million to $92.1 million during the third quarter of fiscal year 2013 when compared to the third quarter of fiscal year 2012 primarily due to increased service revenues, which caused an increase of approximately $26.7 million in cost of service revenues on a constant margin basis mainly related to government satellite communication systems in our government systems segment and our Exede broadband services in our satellite service segment. Additionally, in the third quarter of fiscal year 2013 we experienced an increase of approximately $3.8 million in cost of service revenues associated with our new ViaSat-1 satellite and associated infrastructure costs, and with our satellite services operations support in connection with our Exede broadband services, which commenced commercial operation in January 2012. Cost of product revenues increased from $89.5 million to $119.3 million during the third quarter of fiscal year 2013 when compared to the third quarter of fiscal year 2012 primarily due to increased product revenues, which caused an increase of approximately $31.4 million in cost of product revenues on a constant margin basis mainly related to consumer broadband products in our commercial networks segment and government satellite communication systems in our government systems segment. This increase in cost of product revenues was offset by improved margins mainly related to consumer broadband products and information assurance products.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80" w:type="dxa"/>
            <w:vAlign w:val="bottom"/>
            <w:vMerge w:val="restart"/>
          </w:tcPr>
          <w:p>
            <w:pPr>
              <w:spacing w:after="0"/>
              <w:rPr>
                <w:sz w:val="11"/>
                <w:szCs w:val="11"/>
                <w:color w:val="auto"/>
              </w:rPr>
            </w:pPr>
          </w:p>
        </w:tc>
        <w:tc>
          <w:tcPr>
            <w:tcW w:w="14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28,</w:t>
            </w: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30,</w:t>
            </w:r>
          </w:p>
        </w:tc>
        <w:tc>
          <w:tcPr>
            <w:tcW w:w="620" w:type="dxa"/>
            <w:vAlign w:val="bottom"/>
          </w:tcPr>
          <w:p>
            <w:pPr>
              <w:spacing w:after="0"/>
              <w:rPr>
                <w:sz w:val="11"/>
                <w:szCs w:val="11"/>
                <w:color w:val="auto"/>
              </w:rPr>
            </w:pPr>
          </w:p>
        </w:tc>
        <w:tc>
          <w:tcPr>
            <w:tcW w:w="124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86"/>
              <w:spacing w:after="0" w:line="148" w:lineRule="exact"/>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2"/>
              <w:spacing w:after="0" w:line="148"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2"/>
                <w:szCs w:val="12"/>
                <w:color w:val="auto"/>
              </w:rPr>
            </w:pPr>
          </w:p>
        </w:tc>
        <w:tc>
          <w:tcPr>
            <w:tcW w:w="124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5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w w:val="79"/>
              </w:rPr>
              <w:t>62.2</w:t>
            </w: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45.6</w:t>
            </w:r>
          </w:p>
        </w:tc>
        <w:tc>
          <w:tcPr>
            <w:tcW w:w="62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16.6</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increase in selling, general and administrative (SG&amp;A) expenses of $16.6 million in the third quarter of fiscal year 2013 compared to the third quarter of fiscal year 2012 was primarily attributable to higher selling costs of approximately $12.0 million and higher support costs of approximately $4.7 million. Of the higher selling costs, $10.9 million related to our satellite services segment as we continue to grow our consumer broadband subscriber base. Higher support costs were incurred in our satellite services segment of $4.3 million and $1.2 million in our commercial networks segment, offset by a decrease of $0.8 million in our government systems segment. SG&amp;A expenses consisted primarily of personnel costs, business development expenses, marketing and sales, bids and proposals, facilities, finance, contract administration and general management.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08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28,</w:t>
            </w:r>
          </w:p>
        </w:tc>
        <w:tc>
          <w:tcPr>
            <w:tcW w:w="68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660" w:type="dxa"/>
            <w:vAlign w:val="bottom"/>
          </w:tcPr>
          <w:p>
            <w:pPr>
              <w:spacing w:after="0"/>
              <w:rPr>
                <w:sz w:val="11"/>
                <w:szCs w:val="11"/>
                <w:color w:val="auto"/>
              </w:rPr>
            </w:pPr>
          </w:p>
        </w:tc>
        <w:tc>
          <w:tcPr>
            <w:tcW w:w="128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6"/>
              <w:spacing w:after="0" w:line="148" w:lineRule="exact"/>
              <w:rPr>
                <w:sz w:val="20"/>
                <w:szCs w:val="20"/>
                <w:color w:val="auto"/>
              </w:rPr>
            </w:pPr>
            <w:r>
              <w:rPr>
                <w:rFonts w:ascii="Arial" w:cs="Arial" w:eastAsia="Arial" w:hAnsi="Arial"/>
                <w:sz w:val="14"/>
                <w:szCs w:val="14"/>
                <w:b w:val="1"/>
                <w:bCs w:val="1"/>
                <w:color w:val="auto"/>
              </w:rPr>
              <w:t>2012</w:t>
            </w:r>
          </w:p>
        </w:tc>
        <w:tc>
          <w:tcPr>
            <w:tcW w:w="12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3"/>
          </w:tcPr>
          <w:p>
            <w:pPr>
              <w:jc w:val="center"/>
              <w:ind w:right="66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13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w:t>
            </w:r>
          </w:p>
        </w:tc>
        <w:tc>
          <w:tcPr>
            <w:tcW w:w="68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6.0</w:t>
            </w: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IR&amp;D expenses increased $1.6 million in the third quarter of fiscal year 2013 compared to the third quarter of fiscal year 2012, driven primarily by increased IR&amp;D efforts in our commercial networks segment of $0.9 million principally related to next-generation consumer broadband and in our government systems segment of $0.8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amortize our acquired intangible assets from prior acquisitions over their estimated useful lives ranging from three to ten years. The decrease in amortization of acquired intangible assets of approximately $0.8 million in the third quarter of fiscal year 2013 compared to the same period last fiscal year was a result of certain acquired technology intangibles in our commercial networks segment becoming fully amortized over the preceding twelve months. Current and expected amortization expense for acquired intangible assets for each of the following periods is as follows:</w:t>
      </w:r>
    </w:p>
    <w:p>
      <w:pPr>
        <w:spacing w:after="0" w:line="14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December 28, 2012</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12,065</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Arial" w:cs="Arial" w:eastAsia="Arial" w:hAnsi="Arial"/>
                <w:sz w:val="18"/>
                <w:szCs w:val="18"/>
                <w:color w:val="auto"/>
              </w:rPr>
              <w:t>Expected for the remainder of fiscal year 2013</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13,804</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4,629</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51,069</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Interest income in the three months ended December 28, 2012 compared to the three months ended December 30, 2011 increased slightly as we experienced similar average interest rates on our investments but higher average invested cash balances during the third quarter of fiscal year 2013 compared to the same period last fiscal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$10.3 million increase in interest expense from the third quarter of fiscal year 2012 to the third quarter of fiscal year 2013 was due to lower capitalized interest and additional interest incurred on our initial 6.875% Senior Notes due 2020 (the Initial 2020 Notes), which were issued in the fourth quarter of fiscal year 2012 and our additional 6.875% Senior Notes due 2020 (the Additional 2020 Notes), which were issued in October 2012, collectively referred to as the 2020 Notes. In the third quarter of fiscal year 2013, we capitalized approximately $0.7 million of interest associated with other assets currently under construction, compared to approximately $8.1 million in the third quarter of fiscal year 2012 associated with our ViaSat-1 satellite, related gateways and networking equipment, which were placed into service during the fourth quarter of fiscal year 2012. Interest expense incurred during the three months ended December 28, 2012 related to the 2020 Notes, our 8.875% Senior Notes due 2016 (the 2016 Notes, and collectively with the 2020 Notes, the Senior Notes) and our revolving credit facility (the Credit Facility). Interest expense incurred during the three months ended December 30, 2011 related to the 2016 Notes and the Credit Facility.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currently estimate our annual effective income tax rate to be approximately 40.1% for fiscal year 2013. The estimated annual effective tax rate is different from the expected statutory rate primarily due to state research and development tax credits. The American Taxpayer Relief Act of 2012 was enacted on January 2, 2013. Included within this legislation was an extension of the research and development credit which had previously expired on December 31, 2011. This legislation retroactively reinstates and extends the credit from the previous expiration date through December 31, 2013. As the legislation was not enacted until after the close of the third quarter of fiscal year 2013, the income tax impact of the retroactive reinstatement and extension will not be recognized until the fourth quarter of fiscal year 2013. If the tax impact of the research and development credit had been recognized in the third quarter of fiscal year 2013, it would have represented an $8.0 million tax benefit.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December 28, 2012 vs. Three Months Ended December 30,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2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28,</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62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2"/>
                <w:szCs w:val="12"/>
                <w:color w:val="auto"/>
              </w:rPr>
            </w:pPr>
          </w:p>
        </w:tc>
        <w:tc>
          <w:tcPr>
            <w:tcW w:w="12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5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w:t>
            </w:r>
          </w:p>
        </w:tc>
        <w:tc>
          <w:tcPr>
            <w:tcW w:w="6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16.2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70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increase of approximately $16.1 million in our satellite services segment revenue in the third quarter of fiscal year 2013 compared to the third quarter of fiscal year 2012 was from increased service revenues of approximately $16.2 million. The increase in service revenues was driven by a $15.9 million increase relating to our Exede and WildBlue broadband services. The revenue increase relating to our Exede and WildBlue broadband services was a result of a 17% increase in the number of subscribers in the third quarter of fiscal year 2013 compared to the third quarter of fiscal year 2012, as well as a change in the mix of retail and wholesale subscribers and related higher average revenue per subscriber.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88"/>
              </w:rPr>
              <w:t>Three Months Ended</w:t>
            </w:r>
          </w:p>
        </w:tc>
        <w:tc>
          <w:tcPr>
            <w:tcW w:w="5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80" w:type="dxa"/>
            <w:vAlign w:val="bottom"/>
            <w:vMerge w:val="restart"/>
          </w:tcPr>
          <w:p>
            <w:pPr>
              <w:spacing w:after="0"/>
              <w:rPr>
                <w:sz w:val="11"/>
                <w:szCs w:val="11"/>
                <w:color w:val="auto"/>
              </w:rPr>
            </w:pPr>
          </w:p>
        </w:tc>
        <w:tc>
          <w:tcPr>
            <w:tcW w:w="1520" w:type="dxa"/>
            <w:vAlign w:val="bottom"/>
          </w:tcPr>
          <w:p>
            <w:pPr>
              <w:spacing w:after="0"/>
              <w:rPr>
                <w:sz w:val="11"/>
                <w:szCs w:val="11"/>
                <w:color w:val="auto"/>
              </w:rPr>
            </w:pPr>
          </w:p>
        </w:tc>
        <w:tc>
          <w:tcPr>
            <w:tcW w:w="15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28,</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2"/>
              <w:spacing w:after="0" w:line="148" w:lineRule="exact"/>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83"/>
              </w:rPr>
              <w:t>2011</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5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gridSpan w:val="2"/>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rPr>
              <w:t>(18.4)</w:t>
            </w: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80"/>
              <w:spacing w:after="0" w:line="203" w:lineRule="exact"/>
              <w:rPr>
                <w:sz w:val="20"/>
                <w:szCs w:val="20"/>
                <w:color w:val="auto"/>
              </w:rPr>
            </w:pPr>
            <w:r>
              <w:rPr>
                <w:rFonts w:ascii="Arial" w:cs="Arial" w:eastAsia="Arial" w:hAnsi="Arial"/>
                <w:sz w:val="18"/>
                <w:szCs w:val="18"/>
                <w:color w:val="auto"/>
              </w:rPr>
              <w:t>(1.4)</w:t>
            </w:r>
          </w:p>
        </w:tc>
        <w:tc>
          <w:tcPr>
            <w:tcW w:w="2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(17.0)</w:t>
            </w:r>
          </w:p>
        </w:tc>
        <w:tc>
          <w:tcPr>
            <w:tcW w:w="6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3"/>
              </w:rPr>
              <w:t>(1,250.7)%</w:t>
            </w: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19"/>
                <w:szCs w:val="19"/>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satellite services segment generated a $17.0 million higher operating loss in the third quarter of fiscal year 2013 compared to the same period last fiscal year due to higher operating expenses in the current fiscal year period associated with our ViaSat-1 satellite and related infrastructure and the commencement of commercial operation of our Exede broadband internet services in January 2012, and included additional depreciation of $11.1 million, and $15.3 million in additional costs related to satellite services operations support costs and selling, advertising and marketing costs as we continue to expand the subscriber base of our Exede broadband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2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28,</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62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2"/>
                <w:szCs w:val="12"/>
                <w:color w:val="auto"/>
              </w:rPr>
            </w:pPr>
          </w:p>
        </w:tc>
        <w:tc>
          <w:tcPr>
            <w:tcW w:w="12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5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64.2</w:t>
            </w: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49.1</w:t>
            </w: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15.1</w:t>
            </w:r>
          </w:p>
        </w:tc>
        <w:tc>
          <w:tcPr>
            <w:tcW w:w="6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70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Commercial networks segment revenue increased approximately $14.2 million in the third quarter of fiscal year 2013 compared to the third quarter of fiscal year 2012, primarily due to an increase in product revenues of approximately $15.1 million. The increase in product revenues resulted primarily from a revenue increase of $19.5 million in consumer broadband products and $0.9 million in satellite payload technology development programs, offset by a revenue decrease of $6.4 million in antenna systems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8"/>
              </w:rPr>
              <w:t>Three Months Ended</w:t>
            </w:r>
          </w:p>
        </w:tc>
        <w:tc>
          <w:tcPr>
            <w:tcW w:w="5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240" w:type="dxa"/>
            <w:vAlign w:val="bottom"/>
            <w:vMerge w:val="restart"/>
          </w:tcPr>
          <w:p>
            <w:pPr>
              <w:spacing w:after="0"/>
              <w:rPr>
                <w:sz w:val="11"/>
                <w:szCs w:val="11"/>
                <w:color w:val="auto"/>
              </w:rPr>
            </w:pPr>
          </w:p>
        </w:tc>
        <w:tc>
          <w:tcPr>
            <w:tcW w:w="1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28,</w:t>
            </w: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30,</w:t>
            </w:r>
          </w:p>
        </w:tc>
        <w:tc>
          <w:tcPr>
            <w:tcW w:w="800" w:type="dxa"/>
            <w:vAlign w:val="bottom"/>
          </w:tcPr>
          <w:p>
            <w:pPr>
              <w:spacing w:after="0"/>
              <w:rPr>
                <w:sz w:val="11"/>
                <w:szCs w:val="11"/>
                <w:color w:val="auto"/>
              </w:rPr>
            </w:pPr>
          </w:p>
        </w:tc>
        <w:tc>
          <w:tcPr>
            <w:tcW w:w="1220" w:type="dxa"/>
            <w:vAlign w:val="bottom"/>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2012</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ind w:right="179"/>
              <w:spacing w:after="0" w:line="148" w:lineRule="exact"/>
              <w:rPr>
                <w:sz w:val="20"/>
                <w:szCs w:val="20"/>
                <w:color w:val="auto"/>
              </w:rPr>
            </w:pPr>
            <w:r>
              <w:rPr>
                <w:rFonts w:ascii="Arial" w:cs="Arial" w:eastAsia="Arial" w:hAnsi="Arial"/>
                <w:sz w:val="14"/>
                <w:szCs w:val="14"/>
                <w:b w:val="1"/>
                <w:bCs w:val="1"/>
                <w:color w:val="auto"/>
                <w:w w:val="89"/>
              </w:rPr>
              <w:t>2011</w:t>
            </w:r>
          </w:p>
        </w:tc>
        <w:tc>
          <w:tcPr>
            <w:tcW w:w="800" w:type="dxa"/>
            <w:vAlign w:val="bottom"/>
          </w:tcPr>
          <w:p>
            <w:pPr>
              <w:spacing w:after="0"/>
              <w:rPr>
                <w:sz w:val="12"/>
                <w:szCs w:val="12"/>
                <w:color w:val="auto"/>
              </w:rPr>
            </w:pPr>
          </w:p>
        </w:tc>
        <w:tc>
          <w:tcPr>
            <w:tcW w:w="1220" w:type="dxa"/>
            <w:vAlign w:val="bottom"/>
            <w:gridSpan w:val="3"/>
          </w:tcPr>
          <w:p>
            <w:pPr>
              <w:jc w:val="center"/>
              <w:ind w:right="640"/>
              <w:spacing w:after="0" w:line="148" w:lineRule="exact"/>
              <w:rPr>
                <w:sz w:val="20"/>
                <w:szCs w:val="20"/>
                <w:color w:val="auto"/>
              </w:rPr>
            </w:pPr>
            <w:r>
              <w:rPr>
                <w:rFonts w:ascii="Arial" w:cs="Arial" w:eastAsia="Arial" w:hAnsi="Arial"/>
                <w:sz w:val="14"/>
                <w:szCs w:val="14"/>
                <w:b w:val="1"/>
                <w:bCs w:val="1"/>
                <w:color w:val="auto"/>
                <w:w w:val="80"/>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280"/>
              <w:spacing w:after="0" w:line="203" w:lineRule="exact"/>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19"/>
                <w:szCs w:val="19"/>
                <w:color w:val="auto"/>
              </w:rPr>
            </w:pPr>
          </w:p>
        </w:tc>
        <w:tc>
          <w:tcPr>
            <w:tcW w:w="1420" w:type="dxa"/>
            <w:vAlign w:val="bottom"/>
            <w:gridSpan w:val="2"/>
          </w:tcPr>
          <w:p>
            <w:pPr>
              <w:ind w:left="36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1360" w:type="dxa"/>
            <w:vAlign w:val="bottom"/>
            <w:gridSpan w:val="2"/>
          </w:tcPr>
          <w:p>
            <w:pPr>
              <w:ind w:left="28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reduction of our commercial networks segment operating loss in the third quarter of fiscal year 2013 compared to the same period last fiscal year was primarily due to higher earnings contributions of approximately $3.4 million from increased revenues and improved margins in our consumer broadband products, offset by higher IR&amp;D costs of $0.9 million and an increase in selling, support and new business proposal costs of $0.8 million.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December 28,</w:t>
            </w:r>
          </w:p>
        </w:tc>
        <w:tc>
          <w:tcPr>
            <w:tcW w:w="64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December 30,</w:t>
            </w:r>
          </w:p>
        </w:tc>
        <w:tc>
          <w:tcPr>
            <w:tcW w:w="64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64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0"/>
              </w:rPr>
              <w:t>(Decrease)</w:t>
            </w:r>
          </w:p>
        </w:tc>
        <w:tc>
          <w:tcPr>
            <w:tcW w:w="64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5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99.8</w:t>
            </w:r>
          </w:p>
        </w:tc>
        <w:tc>
          <w:tcPr>
            <w:tcW w:w="6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72.0</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27.8</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8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Total revenues in our government systems segment increased approximately $51.2 million in the third quarter of fiscal year 2013 compared to the same period last fiscal year due to an increase in product revenues of $27.8 million and an increase in service revenues of $23.4 million. The increase in product revenues was primarily due to a revenue increase of $17.1 million in government satellite communication systems, $3.8 million in our majority-owned subsidiary TrellisWare Technologies, Inc. (TrellisWare), $3.8 million in tactical data link products and $3.1 million in information assurance products. The increase in service revenues was primarily due to a revenue increase of $26.5 million in government satellite communication systems services (mainly attributable to broadband networking services revenues for military customers and command and control situational awareness), offset by a revenue decrease of $2.1 million in information assurance services.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8"/>
              </w:rPr>
              <w:t>Three Months Ended</w:t>
            </w:r>
          </w:p>
        </w:tc>
        <w:tc>
          <w:tcPr>
            <w:tcW w:w="56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240" w:type="dxa"/>
            <w:vAlign w:val="bottom"/>
            <w:vMerge w:val="restart"/>
          </w:tcPr>
          <w:p>
            <w:pPr>
              <w:spacing w:after="0"/>
              <w:rPr>
                <w:sz w:val="11"/>
                <w:szCs w:val="11"/>
                <w:color w:val="auto"/>
              </w:rPr>
            </w:pPr>
          </w:p>
        </w:tc>
        <w:tc>
          <w:tcPr>
            <w:tcW w:w="15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28,</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760" w:type="dxa"/>
            <w:vAlign w:val="bottom"/>
          </w:tcPr>
          <w:p>
            <w:pPr>
              <w:spacing w:after="0"/>
              <w:rPr>
                <w:sz w:val="11"/>
                <w:szCs w:val="11"/>
                <w:color w:val="auto"/>
              </w:rPr>
            </w:pPr>
          </w:p>
        </w:tc>
        <w:tc>
          <w:tcPr>
            <w:tcW w:w="128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ind w:right="179"/>
              <w:spacing w:after="0" w:line="148" w:lineRule="exact"/>
              <w:rPr>
                <w:sz w:val="20"/>
                <w:szCs w:val="20"/>
                <w:color w:val="auto"/>
              </w:rPr>
            </w:pPr>
            <w:r>
              <w:rPr>
                <w:rFonts w:ascii="Arial" w:cs="Arial" w:eastAsia="Arial" w:hAnsi="Arial"/>
                <w:sz w:val="14"/>
                <w:szCs w:val="14"/>
                <w:b w:val="1"/>
                <w:bCs w:val="1"/>
                <w:color w:val="auto"/>
                <w:w w:val="89"/>
              </w:rPr>
              <w:t>2011</w:t>
            </w:r>
          </w:p>
        </w:tc>
        <w:tc>
          <w:tcPr>
            <w:tcW w:w="760" w:type="dxa"/>
            <w:vAlign w:val="bottom"/>
          </w:tcPr>
          <w:p>
            <w:pPr>
              <w:spacing w:after="0"/>
              <w:rPr>
                <w:sz w:val="12"/>
                <w:szCs w:val="12"/>
                <w:color w:val="auto"/>
              </w:rPr>
            </w:pPr>
          </w:p>
        </w:tc>
        <w:tc>
          <w:tcPr>
            <w:tcW w:w="128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w w:val="85"/>
              </w:rPr>
              <w:t>27.0</w:t>
            </w:r>
          </w:p>
        </w:tc>
        <w:tc>
          <w:tcPr>
            <w:tcW w:w="7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w w:val="79"/>
              </w:rPr>
              <w:t>13.1</w:t>
            </w:r>
          </w:p>
        </w:tc>
        <w:tc>
          <w:tcPr>
            <w:tcW w:w="7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13.9</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19"/>
                <w:szCs w:val="19"/>
                <w:color w:val="auto"/>
              </w:rPr>
            </w:pPr>
          </w:p>
        </w:tc>
        <w:tc>
          <w:tcPr>
            <w:tcW w:w="1400" w:type="dxa"/>
            <w:vAlign w:val="bottom"/>
            <w:gridSpan w:val="2"/>
          </w:tcPr>
          <w:p>
            <w:pPr>
              <w:ind w:left="320"/>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9"/>
                <w:szCs w:val="19"/>
                <w:color w:val="auto"/>
              </w:rPr>
            </w:pPr>
          </w:p>
        </w:tc>
        <w:tc>
          <w:tcPr>
            <w:tcW w:w="1320" w:type="dxa"/>
            <w:vAlign w:val="bottom"/>
            <w:gridSpan w:val="2"/>
          </w:tcPr>
          <w:p>
            <w:pPr>
              <w:ind w:left="260"/>
              <w:spacing w:after="0"/>
              <w:rPr>
                <w:sz w:val="20"/>
                <w:szCs w:val="20"/>
                <w:color w:val="auto"/>
              </w:rPr>
            </w:pPr>
            <w:r>
              <w:rPr>
                <w:rFonts w:ascii="Arial" w:cs="Arial" w:eastAsia="Arial" w:hAnsi="Arial"/>
                <w:sz w:val="18"/>
                <w:szCs w:val="18"/>
                <w:color w:val="auto"/>
              </w:rPr>
              <w:t>13.8%</w:t>
            </w: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increase in our government systems segment operating profit of $13.9 million during the third quarter of fiscal year 2013 compared to the third quarter of fiscal year 2012 was primarily due to higher earnings contributions of approximately $15.3 million mainly in our government satellite communication systems, offset by higher IR&amp;D costs of $0.8 million.</w:t>
      </w:r>
    </w:p>
    <w:p>
      <w:pPr>
        <w:spacing w:after="0" w:line="215" w:lineRule="exact"/>
        <w:rPr>
          <w:sz w:val="20"/>
          <w:szCs w:val="20"/>
          <w:color w:val="auto"/>
        </w:rPr>
      </w:pPr>
    </w:p>
    <w:p>
      <w:pPr>
        <w:ind w:right="5200"/>
        <w:spacing w:after="0" w:line="369" w:lineRule="auto"/>
        <w:rPr>
          <w:sz w:val="20"/>
          <w:szCs w:val="20"/>
          <w:color w:val="auto"/>
        </w:rPr>
      </w:pPr>
      <w:r>
        <w:rPr>
          <w:rFonts w:ascii="Arial" w:cs="Arial" w:eastAsia="Arial" w:hAnsi="Arial"/>
          <w:sz w:val="18"/>
          <w:szCs w:val="18"/>
          <w:b w:val="1"/>
          <w:bCs w:val="1"/>
          <w:color w:val="auto"/>
        </w:rPr>
        <w:t xml:space="preserve">Nine Months Ended December 28, 2012 vs. Nine Months Ended December 30, 2011 </w:t>
      </w:r>
      <w:r>
        <w:rPr>
          <w:rFonts w:ascii="Arial" w:cs="Arial" w:eastAsia="Arial" w:hAnsi="Arial"/>
          <w:sz w:val="18"/>
          <w:szCs w:val="18"/>
          <w:i w:val="1"/>
          <w:iCs w:val="1"/>
          <w:color w:val="auto"/>
        </w:rPr>
        <w:t>Revenues</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December 28,</w:t>
            </w:r>
          </w:p>
        </w:tc>
        <w:tc>
          <w:tcPr>
            <w:tcW w:w="64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December 30,</w:t>
            </w:r>
          </w:p>
        </w:tc>
        <w:tc>
          <w:tcPr>
            <w:tcW w:w="66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64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w w:val="83"/>
              </w:rPr>
              <w:t>2011</w:t>
            </w:r>
          </w:p>
        </w:tc>
        <w:tc>
          <w:tcPr>
            <w:tcW w:w="66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0"/>
              </w:rPr>
              <w:t>(Decrease)</w:t>
            </w:r>
          </w:p>
        </w:tc>
        <w:tc>
          <w:tcPr>
            <w:tcW w:w="64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480.9</w:t>
            </w:r>
          </w:p>
        </w:tc>
        <w:tc>
          <w:tcPr>
            <w:tcW w:w="6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jc w:val="right"/>
              <w:ind w:right="79"/>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391.0</w:t>
            </w: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89.9</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330.1</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98.1</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total revenues increased approximately $187.9 million during the first nine months of fiscal year 2013 when compared to the same period last fiscal year due to an increase in service revenues of approximately $98.1 million, coupled with an increase in product revenues of approximately $89.9 million. The increase in service revenues was driven primarily by service revenue increases in our government systems segment of approximately $69.5 million and in our satellite services segment of approximately $28.6 million. The increase in product revenues resulted primarily from product revenue increases in our commercial networks segment of approximately $60.7 million, in our government systems segment of approximately $27.4 million and in our satellite services segment of approximately $1.8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December 28,</w:t>
            </w:r>
          </w:p>
        </w:tc>
        <w:tc>
          <w:tcPr>
            <w:tcW w:w="64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December 30,</w:t>
            </w:r>
          </w:p>
        </w:tc>
        <w:tc>
          <w:tcPr>
            <w:tcW w:w="66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64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w w:val="83"/>
              </w:rPr>
              <w:t>2011</w:t>
            </w:r>
          </w:p>
        </w:tc>
        <w:tc>
          <w:tcPr>
            <w:tcW w:w="66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0"/>
              </w:rPr>
              <w:t>(Decrease)</w:t>
            </w:r>
          </w:p>
        </w:tc>
        <w:tc>
          <w:tcPr>
            <w:tcW w:w="64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349.7</w:t>
            </w:r>
          </w:p>
        </w:tc>
        <w:tc>
          <w:tcPr>
            <w:tcW w:w="6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jc w:val="right"/>
              <w:ind w:right="79"/>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289.7</w:t>
            </w: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60.1</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266.1</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105.3</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500" w:type="dxa"/>
            <w:vAlign w:val="bottom"/>
          </w:tcPr>
          <w:p>
            <w:pPr>
              <w:jc w:val="right"/>
              <w:ind w:right="72"/>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Total cost of revenues increased $165.3 million during the first nine months of fiscal year 2013 compared to the same period in fiscal year 2012 due to a cost of service revenues increase of approximately $105.3 million and a cost of product revenues increase of approximately $60.1 million. Cost of service revenues increased from $160.8 million to $266.1 million during the first nine months of fiscal year 2013 when compared to the first nine months of fiscal year 2012 primarily due to increased service revenues, which caused an increase of approximately $68.0 million in cost of service revenues on a constant margin basis mainly related to our government systems segment and satellite services segment. Additionally, in the first nine months of fiscal year 2013 we experienced an increase of approximately $35.4 million in cost of service revenues associated with our new ViaSat-1 satellite and associated infrastructure costs, and with our satellite services operations support in connection with our Exede broadband services, which commenced commercial operation in January 2012. Cost of product revenues increased from $289.7 million to $349.7 million during the first nine months of fiscal year 2013 when compared to the first nine months of fiscal year 2012 primarily due to increased product revenues, which caused an increase of approximately $66.6 million in cost of product revenues on a constant margin basis related to consumer broadband products. This increase in cost of product revenues was slightly offset by improved margins in our commercial networks segment mainly related to consumer broadband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7"/>
              </w:rPr>
              <w:t>Nine Months Ended</w:t>
            </w:r>
          </w:p>
        </w:tc>
        <w:tc>
          <w:tcPr>
            <w:tcW w:w="5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000" w:type="dxa"/>
            <w:vAlign w:val="bottom"/>
            <w:vMerge w:val="restart"/>
          </w:tcPr>
          <w:p>
            <w:pPr>
              <w:spacing w:after="0"/>
              <w:rPr>
                <w:sz w:val="11"/>
                <w:szCs w:val="11"/>
                <w:color w:val="auto"/>
              </w:rPr>
            </w:pPr>
          </w:p>
        </w:tc>
        <w:tc>
          <w:tcPr>
            <w:tcW w:w="15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December 28,</w:t>
            </w:r>
          </w:p>
        </w:tc>
        <w:tc>
          <w:tcPr>
            <w:tcW w:w="6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640" w:type="dxa"/>
            <w:vAlign w:val="bottom"/>
          </w:tcPr>
          <w:p>
            <w:pPr>
              <w:spacing w:after="0"/>
              <w:rPr>
                <w:sz w:val="11"/>
                <w:szCs w:val="11"/>
                <w:color w:val="auto"/>
              </w:rPr>
            </w:pPr>
          </w:p>
        </w:tc>
        <w:tc>
          <w:tcPr>
            <w:tcW w:w="124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00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86"/>
              <w:spacing w:after="0" w:line="148"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ind w:right="182"/>
              <w:spacing w:after="0" w:line="148" w:lineRule="exact"/>
              <w:rPr>
                <w:sz w:val="20"/>
                <w:szCs w:val="20"/>
                <w:color w:val="auto"/>
              </w:rPr>
            </w:pPr>
            <w:r>
              <w:rPr>
                <w:rFonts w:ascii="Arial" w:cs="Arial" w:eastAsia="Arial" w:hAnsi="Arial"/>
                <w:sz w:val="14"/>
                <w:szCs w:val="14"/>
                <w:b w:val="1"/>
                <w:bCs w:val="1"/>
                <w:color w:val="auto"/>
                <w:w w:val="83"/>
              </w:rPr>
              <w:t>2011</w:t>
            </w:r>
          </w:p>
        </w:tc>
        <w:tc>
          <w:tcPr>
            <w:tcW w:w="640" w:type="dxa"/>
            <w:vAlign w:val="bottom"/>
          </w:tcPr>
          <w:p>
            <w:pPr>
              <w:spacing w:after="0"/>
              <w:rPr>
                <w:sz w:val="12"/>
                <w:szCs w:val="12"/>
                <w:color w:val="auto"/>
              </w:rPr>
            </w:pPr>
          </w:p>
        </w:tc>
        <w:tc>
          <w:tcPr>
            <w:tcW w:w="124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gridSpan w:val="2"/>
            <w:vMerge w:val="continue"/>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172.8</w:t>
            </w:r>
          </w:p>
        </w:tc>
        <w:tc>
          <w:tcPr>
            <w:tcW w:w="6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131.8</w:t>
            </w:r>
          </w:p>
        </w:tc>
        <w:tc>
          <w:tcPr>
            <w:tcW w:w="64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41.0</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increase in SG&amp;A expenses of $41.0 million in the first nine months of fiscal year 2013 compared to the first nine months of fiscal year 2012 was primarily attributable to higher selling costs of approximately $31.6 million, higher support costs of approximately $7.9 million and higher new business proposal costs for new contract awards of approximately $1.5 million. Of the higher selling costs, $28.6 million related to our satellite services segment as we continue to grow our consumer broadband subscriber base. Of the higher support costs, $6.6 million related to our satellite services segment and $1.8 million related to our commercial networks segment. Our government systems segment contributed to an increase of approximately $1.1 million in higher new business proposal costs for new contract awards. SG&amp;A expenses consisted primarily of personnel costs, business development expenses, marketing and sales, bids and proposals, facilities, finance, contract administration and general management.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88"/>
              </w:rPr>
              <w:t>Nine Months Ended</w:t>
            </w:r>
          </w:p>
        </w:tc>
        <w:tc>
          <w:tcPr>
            <w:tcW w:w="54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060" w:type="dxa"/>
            <w:vAlign w:val="bottom"/>
            <w:vMerge w:val="restart"/>
          </w:tcPr>
          <w:p>
            <w:pPr>
              <w:spacing w:after="0"/>
              <w:rPr>
                <w:sz w:val="11"/>
                <w:szCs w:val="11"/>
                <w:color w:val="auto"/>
              </w:rPr>
            </w:pPr>
          </w:p>
        </w:tc>
        <w:tc>
          <w:tcPr>
            <w:tcW w:w="132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28,</w:t>
            </w: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30,</w:t>
            </w:r>
          </w:p>
        </w:tc>
        <w:tc>
          <w:tcPr>
            <w:tcW w:w="700" w:type="dxa"/>
            <w:vAlign w:val="bottom"/>
          </w:tcPr>
          <w:p>
            <w:pPr>
              <w:spacing w:after="0"/>
              <w:rPr>
                <w:sz w:val="11"/>
                <w:szCs w:val="11"/>
                <w:color w:val="auto"/>
              </w:rPr>
            </w:pPr>
          </w:p>
        </w:tc>
        <w:tc>
          <w:tcPr>
            <w:tcW w:w="1280" w:type="dxa"/>
            <w:vAlign w:val="bottom"/>
            <w:gridSpan w:val="3"/>
          </w:tcPr>
          <w:p>
            <w:pPr>
              <w:jc w:val="center"/>
              <w:ind w:right="68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6"/>
              <w:spacing w:after="0" w:line="148" w:lineRule="exact"/>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ind w:right="182"/>
              <w:spacing w:after="0" w:line="148" w:lineRule="exact"/>
              <w:rPr>
                <w:sz w:val="20"/>
                <w:szCs w:val="20"/>
                <w:color w:val="auto"/>
              </w:rPr>
            </w:pPr>
            <w:r>
              <w:rPr>
                <w:rFonts w:ascii="Arial" w:cs="Arial" w:eastAsia="Arial" w:hAnsi="Arial"/>
                <w:sz w:val="14"/>
                <w:szCs w:val="14"/>
                <w:b w:val="1"/>
                <w:bCs w:val="1"/>
                <w:color w:val="auto"/>
                <w:w w:val="83"/>
              </w:rPr>
              <w:t>2011</w:t>
            </w:r>
          </w:p>
        </w:tc>
        <w:tc>
          <w:tcPr>
            <w:tcW w:w="700" w:type="dxa"/>
            <w:vAlign w:val="bottom"/>
          </w:tcPr>
          <w:p>
            <w:pPr>
              <w:spacing w:after="0"/>
              <w:rPr>
                <w:sz w:val="12"/>
                <w:szCs w:val="12"/>
                <w:color w:val="auto"/>
              </w:rPr>
            </w:pPr>
          </w:p>
        </w:tc>
        <w:tc>
          <w:tcPr>
            <w:tcW w:w="1280" w:type="dxa"/>
            <w:vAlign w:val="bottom"/>
            <w:gridSpan w:val="3"/>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1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gridSpan w:val="2"/>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23.7</w:t>
            </w:r>
          </w:p>
        </w:tc>
        <w:tc>
          <w:tcPr>
            <w:tcW w:w="6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18.5</w:t>
            </w: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w:t>
            </w:r>
          </w:p>
        </w:tc>
        <w:tc>
          <w:tcPr>
            <w:tcW w:w="6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IR&amp;D expenses increased $5.2 million in the first nine months of fiscal year 2013 compared to the first nine months of fiscal year 2012, driven primarily by increased IR&amp;D efforts in our commercial networks segment of $3.8 million principally related to next-generation consumer broadband and next-generation satellite communications systems.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amortize our acquired intangible assets from prior acquisitions over their estimated useful lives ranging from three to ten years. The decrease in amortization of acquired intangible assets of approximately $2.2 million in the first nine months of fiscal year 2013 compared to the same period last fiscal year was a result of certain acquired technology intangibles in our commercial networks segment becoming fully amortized over the preceding twelve months. Current and expected amortization expense for acquired intangible assets for each of the following periods is as follows:</w:t>
      </w:r>
    </w:p>
    <w:p>
      <w:pPr>
        <w:spacing w:after="0" w:line="14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3"/>
              </w:rPr>
              <w:t>For the nine months ended December 28, 2012</w:t>
            </w:r>
          </w:p>
        </w:tc>
        <w:tc>
          <w:tcPr>
            <w:tcW w:w="3500" w:type="dxa"/>
            <w:vAlign w:val="bottom"/>
            <w:gridSpan w:val="2"/>
            <w:shd w:val="clear" w:color="auto" w:fill="CCEEFF"/>
          </w:tcPr>
          <w:p>
            <w:pPr>
              <w:ind w:left="3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40" w:type="dxa"/>
            <w:vAlign w:val="bottom"/>
          </w:tcPr>
          <w:p>
            <w:pPr>
              <w:spacing w:after="0"/>
              <w:rPr>
                <w:sz w:val="20"/>
                <w:szCs w:val="20"/>
                <w:color w:val="auto"/>
              </w:rPr>
            </w:pPr>
            <w:r>
              <w:rPr>
                <w:rFonts w:ascii="Arial" w:cs="Arial" w:eastAsia="Arial" w:hAnsi="Arial"/>
                <w:sz w:val="18"/>
                <w:szCs w:val="18"/>
                <w:color w:val="auto"/>
                <w:w w:val="95"/>
              </w:rPr>
              <w:t>Expected for the remainder of fiscal year 2013</w:t>
            </w:r>
          </w:p>
        </w:tc>
        <w:tc>
          <w:tcPr>
            <w:tcW w:w="3500" w:type="dxa"/>
            <w:vAlign w:val="bottom"/>
            <w:gridSpan w:val="2"/>
          </w:tcPr>
          <w:p>
            <w:pPr>
              <w:ind w:left="3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2014</w:t>
            </w: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Expected for fiscal year 2015</w:t>
            </w: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2016</w:t>
            </w: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Expected for fiscal year 2017</w:t>
            </w: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40" w:type="dxa"/>
            <w:vAlign w:val="bottom"/>
          </w:tcPr>
          <w:p>
            <w:pPr>
              <w:spacing w:after="0"/>
              <w:rPr>
                <w:sz w:val="19"/>
                <w:szCs w:val="19"/>
                <w:color w:val="auto"/>
              </w:rPr>
            </w:pPr>
          </w:p>
        </w:tc>
        <w:tc>
          <w:tcPr>
            <w:tcW w:w="3500" w:type="dxa"/>
            <w:vAlign w:val="bottom"/>
            <w:gridSpan w:val="2"/>
          </w:tcPr>
          <w:p>
            <w:pPr>
              <w:ind w:left="3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280" w:type="dxa"/>
            <w:vAlign w:val="bottom"/>
            <w:vMerge w:val="restart"/>
          </w:tcPr>
          <w:p>
            <w:pPr>
              <w:jc w:val="right"/>
              <w:ind w:right="2772"/>
              <w:spacing w:after="0"/>
              <w:rPr>
                <w:sz w:val="20"/>
                <w:szCs w:val="20"/>
                <w:color w:val="auto"/>
              </w:rPr>
            </w:pPr>
            <w:r>
              <w:rPr>
                <w:rFonts w:ascii="Arial" w:cs="Arial" w:eastAsia="Arial" w:hAnsi="Arial"/>
                <w:sz w:val="18"/>
                <w:szCs w:val="18"/>
                <w:color w:val="auto"/>
              </w:rPr>
              <w:t>45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Interest income for the nine months ended December 28, 2012 compared to the nine months ended December 30, 2011 increased slightly as we experienced similar average interest rates on our investments but higher average invested cash balances during the nine months ended December 28, 2012 compared to the same period last fiscal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$33.2 million increase in interest expense from the first nine months of fiscal year 2012 to the first nine months of fiscal year 2013 was due to lower capitalized interest and additional interest incurred on our 2020 Notes, of which the Initial 2020 Notes were issued in the fourth quarter of fiscal year 2012 and the Additional 2020 Notes were issued in October 2012. In the first nine months of fiscal year 2013, we capitalized approximately $2.3 million of interest associated with other assets currently under construction, compared to approximately $23.4 million in the first nine months of fiscal year 2012 associated with our ViaSat-1 satellite, related gateways and networking equipment, which were placed into service during the fourth quarter of fiscal year 2012. Interest expense incurred during the nine months ended December 28, 2012 related to the 2020 Notes, the 2016 Notes and the Credit Facility. Interest expense incurred during the nine months ended December 30, 2011 related to the 2016 Notes and the Credit Facility.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currently estimate our annual effective income tax rate to be approximately 40.1% for fiscal year 2013. The estimated annual effective tax rate is different from the expected statutory rate primarily due to state research and development tax credits. The American Taxpayer Relief Act of 2012 was enacted on January 2, 2013. Included within this legislation was an extension of the research and development credit which had previously expired on December 31, 2011. This legislation retroactively reinstates and extends the credit from the previous expiration date through December 31, 2013. As the legislation was not enacted until after the close of the third quarter of fiscal year 2013, the income tax impact of the retroactive reinstatement and extension will not be recognized until the fourth quarter of fiscal year 2013. If the tax impact of the research and development credit had been recognized in the third quarter of fiscal year 2013, it would have represented an $8.0 million tax benefit.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Nine Months Ended December 28, 2012 vs. Nine Months Ended December 30,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7"/>
              </w:rPr>
              <w:t>Nine Months Ended</w:t>
            </w:r>
          </w:p>
        </w:tc>
        <w:tc>
          <w:tcPr>
            <w:tcW w:w="5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December 28,</w:t>
            </w:r>
          </w:p>
        </w:tc>
        <w:tc>
          <w:tcPr>
            <w:tcW w:w="6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64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64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w w:val="83"/>
              </w:rPr>
              <w:t>2011</w:t>
            </w:r>
          </w:p>
        </w:tc>
        <w:tc>
          <w:tcPr>
            <w:tcW w:w="64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0"/>
              </w:rPr>
              <w:t>(Decrease)</w:t>
            </w:r>
          </w:p>
        </w:tc>
        <w:tc>
          <w:tcPr>
            <w:tcW w:w="64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5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w:t>
            </w:r>
          </w:p>
        </w:tc>
        <w:tc>
          <w:tcPr>
            <w:tcW w:w="6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increase of approximately $30.4 million in our satellite services segment revenue in the first nine months of fiscal year 2013 compared to the first nine months of fiscal year 2012 was mainly from increased service revenues of approximately $28.6 million. This increase in service revenues was comprised of $25.4 million relating to our Exede and WildBlue broadband services and $3.2 million relating to our mobile broadband services. The revenue increase relating to our Exede and WildBlue broadband services was a result of a 7% increase in the number of subscribers in the first nine months of fiscal year 2013 compared to the first nine months of fiscal year 2012, as well as a change in the mix of retail and wholesale subscribers and related higher average revenue per subscriber.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8"/>
              </w:rPr>
              <w:t>Nine Months Ended</w:t>
            </w:r>
          </w:p>
        </w:tc>
        <w:tc>
          <w:tcPr>
            <w:tcW w:w="5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80" w:type="dxa"/>
            <w:vAlign w:val="bottom"/>
            <w:vMerge w:val="restart"/>
          </w:tcPr>
          <w:p>
            <w:pPr>
              <w:spacing w:after="0"/>
              <w:rPr>
                <w:sz w:val="11"/>
                <w:szCs w:val="11"/>
                <w:color w:val="auto"/>
              </w:rPr>
            </w:pPr>
          </w:p>
        </w:tc>
        <w:tc>
          <w:tcPr>
            <w:tcW w:w="1520" w:type="dxa"/>
            <w:vAlign w:val="bottom"/>
          </w:tcPr>
          <w:p>
            <w:pPr>
              <w:spacing w:after="0"/>
              <w:rPr>
                <w:sz w:val="11"/>
                <w:szCs w:val="11"/>
                <w:color w:val="auto"/>
              </w:rPr>
            </w:pPr>
          </w:p>
        </w:tc>
        <w:tc>
          <w:tcPr>
            <w:tcW w:w="15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28,</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2"/>
              <w:spacing w:after="0" w:line="148" w:lineRule="exact"/>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89"/>
              </w:rPr>
              <w:t>2011</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5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gridSpan w:val="2"/>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rPr>
              <w:t>(60.2)</w:t>
            </w: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(1.2)</w:t>
            </w:r>
          </w:p>
        </w:tc>
        <w:tc>
          <w:tcPr>
            <w:tcW w:w="2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(59.1)</w:t>
            </w:r>
          </w:p>
        </w:tc>
        <w:tc>
          <w:tcPr>
            <w:tcW w:w="6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3"/>
              </w:rPr>
              <w:t>(5,071.2)%</w:t>
            </w: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increase in our satellite services segment operating loss in the first nine months of fiscal year 2013 compared to the same period last fiscal year was primarily driven by higher operating expenses in the current fiscal year period associated with our ViaSat-1 satellite and related infrastructure and the commencement of commercial operation of our Exede broadband services in January 2012, and included additional depreciation of $29.9 million, and $45.3 million in additional costs related to satellite services operations support costs and selling, advertising and marketing costs as we continue to expand the subscriber base of our Exede broadband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5"/>
              </w:rPr>
              <w:t>Nine Months Ended</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28,</w:t>
            </w:r>
          </w:p>
        </w:tc>
        <w:tc>
          <w:tcPr>
            <w:tcW w:w="6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w w:val="83"/>
              </w:rPr>
              <w:t>2011</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216.1</w:t>
            </w:r>
          </w:p>
        </w:tc>
        <w:tc>
          <w:tcPr>
            <w:tcW w:w="62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155.5</w:t>
            </w:r>
          </w:p>
        </w:tc>
        <w:tc>
          <w:tcPr>
            <w:tcW w:w="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60.7</w:t>
            </w:r>
          </w:p>
        </w:tc>
        <w:tc>
          <w:tcPr>
            <w:tcW w:w="6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Commercial networks segment revenue increased approximately $60.6 million in the first nine months of fiscal year 2013 compared to the first nine months of fiscal year 2012, primarily due to an increase in product revenues of approximately $60.7 million, comprised of a $70.4 million increase in consumer broadband products, a $4.0 million increase in satellite payload technology development programs and a $2.3 million increase in satellite networking development programs. This increase in product revenues was offset by decreases of $9.6 million in antenna systems products, $4.7 million in enterprise VSAT networks and products, and $1.3 million in mobile broadband satellite communication systems.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90"/>
              </w:rPr>
              <w:t>Nine Months Ended</w:t>
            </w:r>
          </w:p>
        </w:tc>
        <w:tc>
          <w:tcPr>
            <w:tcW w:w="5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2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28,</w:t>
            </w:r>
          </w:p>
        </w:tc>
        <w:tc>
          <w:tcPr>
            <w:tcW w:w="2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30,</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3"/>
          </w:tcPr>
          <w:p>
            <w:pPr>
              <w:jc w:val="center"/>
              <w:ind w:right="68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ind w:right="179"/>
              <w:spacing w:after="0" w:line="148" w:lineRule="exact"/>
              <w:rPr>
                <w:sz w:val="20"/>
                <w:szCs w:val="20"/>
                <w:color w:val="auto"/>
              </w:rPr>
            </w:pPr>
            <w:r>
              <w:rPr>
                <w:rFonts w:ascii="Arial" w:cs="Arial" w:eastAsia="Arial" w:hAnsi="Arial"/>
                <w:sz w:val="14"/>
                <w:szCs w:val="14"/>
                <w:b w:val="1"/>
                <w:bCs w:val="1"/>
                <w:color w:val="auto"/>
                <w:w w:val="89"/>
              </w:rPr>
              <w:t>2011</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jc w:val="center"/>
              <w:ind w:right="640"/>
              <w:spacing w:after="0" w:line="148" w:lineRule="exact"/>
              <w:rPr>
                <w:sz w:val="20"/>
                <w:szCs w:val="20"/>
                <w:color w:val="auto"/>
              </w:rPr>
            </w:pPr>
            <w:r>
              <w:rPr>
                <w:rFonts w:ascii="Arial" w:cs="Arial" w:eastAsia="Arial" w:hAnsi="Arial"/>
                <w:sz w:val="14"/>
                <w:szCs w:val="14"/>
                <w:b w:val="1"/>
                <w:bCs w:val="1"/>
                <w:color w:val="auto"/>
                <w:w w:val="80"/>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4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gridSpan w:val="2"/>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(7.3)</w:t>
            </w:r>
          </w:p>
        </w:tc>
        <w:tc>
          <w:tcPr>
            <w:tcW w:w="2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(11.3)</w:t>
            </w:r>
          </w:p>
        </w:tc>
        <w:tc>
          <w:tcPr>
            <w:tcW w:w="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reduction of our commercial networks segment operating loss in the first nine months of fiscal year 2013 compared to the same period last fiscal year was primarily due to higher earnings contributions of approximately $11.4 million from increased revenues and improved margins in our consumer broadband products, offset by higher IR&amp;D costs of $3.8 million and an increase in selling, support and new business proposal costs of $3.7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7"/>
              </w:rPr>
              <w:t>Nine Months Ended</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December 28,</w:t>
            </w:r>
          </w:p>
        </w:tc>
        <w:tc>
          <w:tcPr>
            <w:tcW w:w="6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30,</w:t>
            </w:r>
          </w:p>
        </w:tc>
        <w:tc>
          <w:tcPr>
            <w:tcW w:w="66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64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w w:val="83"/>
              </w:rPr>
              <w:t>2011</w:t>
            </w:r>
          </w:p>
        </w:tc>
        <w:tc>
          <w:tcPr>
            <w:tcW w:w="66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0"/>
              </w:rPr>
              <w:t>(Decrease)</w:t>
            </w:r>
          </w:p>
        </w:tc>
        <w:tc>
          <w:tcPr>
            <w:tcW w:w="64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260.6</w:t>
            </w:r>
          </w:p>
        </w:tc>
        <w:tc>
          <w:tcPr>
            <w:tcW w:w="6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233.3</w:t>
            </w: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27.4</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120.7</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69.5</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Total revenues in our government systems segment increased approximately $96.9 million in the first nine months of fiscal year 2013 compared to the same period last fiscal year due to an increase in service revenues of $69.5 million and an increase in product revenues of $27.4 million. The increase in service revenues was primarily due to a revenue increase of $72.7 million in government satellite communication systems services (mainly attributable to broadband networking services revenues for military customers and command and control situational awareness), offset by a decrease in information assurance services of $3.5 million. The increase in product revenues was primarily due to a revenue increase of $21.5 million in government satellite communication systems, $7.9 million in tactical data link products and $4.9 million in TrellisWare, offset by a revenue decrease of $6.8 million in information assurance products.</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80"/>
          </w:cols>
          <w:pgMar w:left="24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8"/>
              </w:rPr>
              <w:t>Nine Months Ended</w:t>
            </w:r>
          </w:p>
        </w:tc>
        <w:tc>
          <w:tcPr>
            <w:tcW w:w="5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260" w:type="dxa"/>
            <w:vAlign w:val="bottom"/>
            <w:vMerge w:val="restart"/>
          </w:tcPr>
          <w:p>
            <w:pPr>
              <w:spacing w:after="0"/>
              <w:rPr>
                <w:sz w:val="11"/>
                <w:szCs w:val="11"/>
                <w:color w:val="auto"/>
              </w:rPr>
            </w:pPr>
          </w:p>
        </w:tc>
        <w:tc>
          <w:tcPr>
            <w:tcW w:w="15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28,</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2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2"/>
              <w:spacing w:after="0" w:line="148" w:lineRule="exact"/>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89"/>
              </w:rPr>
              <w:t>2011</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2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w w:val="79"/>
              </w:rPr>
              <w:t>66.2</w:t>
            </w:r>
          </w:p>
        </w:tc>
        <w:tc>
          <w:tcPr>
            <w:tcW w:w="7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w w:val="85"/>
              </w:rPr>
              <w:t>34.8</w:t>
            </w:r>
          </w:p>
        </w:tc>
        <w:tc>
          <w:tcPr>
            <w:tcW w:w="44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31.5</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19"/>
                <w:szCs w:val="19"/>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9"/>
                <w:szCs w:val="19"/>
                <w:color w:val="auto"/>
              </w:rPr>
            </w:pPr>
          </w:p>
        </w:tc>
        <w:tc>
          <w:tcPr>
            <w:tcW w:w="1020" w:type="dxa"/>
            <w:vAlign w:val="bottom"/>
            <w:gridSpan w:val="2"/>
          </w:tcPr>
          <w:p>
            <w:pPr>
              <w:ind w:left="260"/>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increase in our government systems segment operating profit of $31.5 million during the first nine months of fiscal year 2013 compared to the first nine months of fiscal year 2012 was primarily due to higher earnings contributions of approximately $34.2 million mainly in our government satellite communication systems, offset by higher selling, support and new business proposal costs of approximately $2.2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reflected in the table below, both firm and funded backlog increased in each of our segments during the first nine months of fiscal year 2013 due to certain large contract awards in our commercial networks segment, which we were pursuing in fiscal year 2012 and the first nine months of fiscal year 2013, as well as growth in contract awards across the other two segments.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As of</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28, 2012</w:t>
            </w:r>
          </w:p>
        </w:tc>
        <w:tc>
          <w:tcPr>
            <w:tcW w:w="1940" w:type="dxa"/>
            <w:vAlign w:val="bottom"/>
            <w:gridSpan w:val="4"/>
          </w:tcPr>
          <w:p>
            <w:pPr>
              <w:ind w:left="940"/>
              <w:spacing w:after="0"/>
              <w:rPr>
                <w:sz w:val="20"/>
                <w:szCs w:val="20"/>
                <w:color w:val="auto"/>
              </w:rPr>
            </w:pPr>
            <w:r>
              <w:rPr>
                <w:rFonts w:ascii="Arial" w:cs="Arial" w:eastAsia="Arial" w:hAnsi="Arial"/>
                <w:sz w:val="14"/>
                <w:szCs w:val="14"/>
                <w:b w:val="1"/>
                <w:bCs w:val="1"/>
                <w:color w:val="auto"/>
                <w:w w:val="98"/>
              </w:rPr>
              <w:t>March 30,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25.0</w:t>
            </w:r>
          </w:p>
        </w:tc>
        <w:tc>
          <w:tcPr>
            <w:tcW w:w="11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11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1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506.0</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922.0</w:t>
            </w:r>
          </w:p>
        </w:tc>
        <w:tc>
          <w:tcPr>
            <w:tcW w:w="11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firm backlog does not include contract options. Of the $939.0 million in firm backlog, approximately $209.7 million is expected to be delivered during the remaining three months of fiscal year 2013, and the balance is expected to be delivered in fiscal year 2014 and thereafter. We include in our backlog only those orders for which we have accepted purchase orders.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total new awards were $265.7 million and $1,146.3 million in the three and nine months ended December 28, 2012, respectively, compared to $211.9 million and $711.2 million for the three and nine months ended December 30, 2011, respectively.</w:t>
      </w:r>
    </w:p>
    <w:p>
      <w:pPr>
        <w:spacing w:after="0" w:line="13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Firm backlog amounts as presented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debt financing and equity financing. At December 28, 2012, we had $112.7 million in cash and cash equivalents, $316.0 million in working capital and no outstanding borrowings under our Credit Facility. At March 30, 2012, we had $172.6 million in cash and cash equivalents, $327.1 million in working capital and no outstanding borrowings under our Credit Facility. We invest our cash in excess of current operating requirements in short-term, interest-bearing, investment-grade securities.</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general cash needs of our satellite services, commercial networks and government systems segments can vary significantly. The cash needs of our satellite services segment tend to be driven primarily by the timing of payment of capital expenditures (e.g., payments under satellite construction and launch contracts) and of network expansion activities, as well as the quality of customer, type of contract and payment terms. In our commercial networks segment, cash needs tend to be driven primarily by the type and mix of contracts in backlog, the nature and quality of customers, the level of investments in IR&amp;D activities and the payment terms of customers (including whether advance payments are made or customer financing is required). In our government systems segment, the primary factors determining cash needs tend to be the type and mix of contracts in backlog (i.e.,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To further enhance our liquidity position, we may obtain additional financing, which could consist of debt, convertible debt or equity financing from public and/or private capital markets. In March 2010, we filed a universal shelf registration statement with the SEC for the future sale of an unlimited amount of debt securities, common stock, preferred stock, depositary shares, warrants and rights. We intend to file a new universal shelf registration statement to replace our existing shelf, which is scheduled to expire in March 2013.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future capital requirements will depend upon many factors, including the timing and amount of cash required for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provided by operating activities for the first nine months of fiscal year 2013 was $49.1 million compared to cash provided by operating activities of $65.0 million for the first nine months of fiscal year 2012. This $15.8 million decrease was primarily driven by our operating results (net loss adjusted for depreciation, amortization and other non-cash charges) which generated $36.8 million of higher cash outflows, offset by a $13.9 million year-over-year decrease in cash used to fund net operating assets needs and a $7.1 million net cash inflow related to our refinancing of the 2016 Notes. The increase in cash outflows from our operating results was primarily due to a $19.8 million cash outflow related to loss on debt extinguishment, and the significant operating costs we incurred during the first nine months of fiscal year 2013 in connection with the launch and roll-out of our ViaSat-1 satellite and related ground infrastructure and the commencement of our Exede broadband services, including costs associated with our sales and marketing efforts, commissions and other operating costs, which negatively impacted income from operations. The decrease in net operating assets was mainly due to investment in inventory at a lower rate mainly in our government systems and commercial networks segments during the first nine months of fiscal year 2013 compared to the same period last year.</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Cash used in investing activities for the first nine months of fiscal year 2013 was $139.1 million compared to cash used in investing activities for the first nine months in fiscal year 2012 of $176.3 million. The decrease in cash used in investing activities resulted primarily from a reduction of $56.5 million in cash used during the first nine months of fiscal year 2013 compared to the same period in the prior fiscal year for the construction of our ViaSat-1 satellite and a reduction of $34.6 million in cash used for expenditures for the construction of gateway facilities and network operating systems related to ViaSast-1, offset by $52.1 million in higher capital expenditures for new CPE units and other general purpose equipment.</w:t>
      </w:r>
    </w:p>
    <w:p>
      <w:pPr>
        <w:spacing w:after="0" w:line="1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Cash provided by financing activities for the first nine months of fiscal year 2013 was $30.0 million compared to cash provided by financing activities of $116.6 million for the first nine months of fiscal year 2012. This $86.6 million decrease in cash provided by financing activities was due to the repurchase and redemption of all of our $275.0 million in aggregate principal amount of 2016</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Notes net of $3.4 million related discount, and $8.1 million in higher debt issuance costs, as well as the absence of borrowings under our Credit Facility during the first nine months of fiscal year 2013 compared to $110.0 million in borrowings, net of repayments, under our Credit Facility during the first nine months of fiscal year 2012. These decreases were offset by an increase in cash provided by financing activities from the issuance of $300.0 million in aggregate principal amount of the Additional 2020 Notes. Cash provided by financing activities for both periods included cash received from stock option exercises and employee stock purchase plan purchases, and cash used for the repurchase of common stock related to net share settlement of certain employee tax liabilities in connection with the vesting of restricted stock unit awards.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service-related activities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Beginning in the fourth quarter of fiscal year 2011, we have incurred higher operating costs in connection with the launch and roll-out of our ViaSat-1 satellite and related ground infrastructure and, beginning in January 2012, the launch of our Exede broadband internet services. These higher operating costs have included costs associated with depreciation, connectivity to the ViaSat-1 gateways, advertising and marketing, commissions, logistics, customer care and various support systems. These higher operating costs have negatively impacted income from operations during recent quarters as the costs incurred were higher than the incremental revenue generated by our satellite services segment. During the second and third quarters of fiscal year 2013, the total number of subscribers of our Exede broadband services has increased, and we expect that this trend will continue. Accordingly, we expect that the resultant incremental service revenues in our satellite services segment will improve income (loss) from operations for that segment over time. However, there can be no assurance that this will occur.</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since the fourth quarter of fiscal year 2012, we have experienced higher interest expense as we no longer capitalize the interest expense relating to the debt incurred to build ViaSat-1 and the related gateway and networking equipment now that ViaSat-1 is in service. We also expect our capital expenditures to increase during the remainder of fiscal year 2013 as a result of increased subscriber acquisition costs relating to the expected increase in the number of subscribers of our Exede broadband internet services. We expect our capital expenditures also to increase in connection with our expected commencement of construction of one or more additional high-capacity satellites.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involved in a variety of claims, suits, investigations and proceedings arising in the ordinary course of business, including actions with respect to intellectual property claims and other matters. See “Legal Proceedings” in Part II, Item 1 for a discussion of certain patent infringement litigation involving Space Systems/Loral, Inc. (SS/L) and its former parent company Loral Space &amp; Communications, Inc. (Loral), a related party. Regardless of the outcome, litigation can have an adverse impact on us because we expect to incur costs, which may vary based on interim rulings, discovery and other related activities. In addition, it is possible that an unfavorable resolution of one or more such proceedings could in the future materially and adversely affect our business, financial condition, results of operations or liquidity in a particular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As of December 28, 2012, the Credit Facility provided a revolving line of credit of $325.0 million (including up to $50.0 million of letters of credit) with a maturity date of May 9, 2017. Borrowings under the Credit Facility bear interest, at our option, at either (1) the highest of the Federal Funds rate plus 0.50%, the Eurodollar rate plus 1.00%, or the administrative agent’s prime rate as announced from time to time, or (2) the Eurodollar rate, plus, in the case of each of (1) and</w:t>
      </w:r>
    </w:p>
    <w:p>
      <w:pPr>
        <w:spacing w:after="0" w:line="1"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(2), an applicable margin that is based on our total leverage ratio. The Credit Facility is guaranteed by certain of our domestic subsidiaries and secured by substantially all of our respective assets. The Credit Facility contains financial covenants regarding a maximum total leverage ratio and a minimum interest coverage ratio. In addition, the Credit Facility contains covenants that restrict, among other things, our ability to sell assets, make investments and acquisitions, make capital expenditures, grant liens, pay dividends and make certain other restricted payments.</w:t>
      </w:r>
    </w:p>
    <w:p>
      <w:pPr>
        <w:spacing w:after="0" w:line="11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At December 28, 2012, we had no outstanding borrowings under the Credit Facility and $38.6 million outstanding under standby letters of credit, leaving borrowing availability under the Credit Facility as of December 28, 2012 of $286.4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connection with our issuance of the Additional 2020 Notes in October 2012, we repurchased and redeemed all of our $275.0 million in aggregate principal amount of 2016 Notes then outstanding through a cash tender offer and redemption, and the indenture governing the 2016 Notes was satisfied and discharged in accordance with its terms. On October 12, 2012, we purchased approximately $262.1 million in aggregate principal amount of the 2016 Notes pursuant to the tender offer. The total cash payment to purchase the tendered 2016 Notes in the tender offer, including accrued and unpaid interest up to, but excluding, the repurchase date and a $10 consent payment per $1,000 principal amount of notes tendered, was approximately $282.5 million. On November 14, 2012, we redeemed the remaining $12.9 million in aggregate principal amount of 2016 Notes pursuant to the optional redemption provisions of the 2016 Notes at a redemption price of 106.656% of the principal amount, plus accrued and unpaid interest to, but not including, the redemption date. The total cash payment to redeem the remaining 2016 Notes was approximately $14.0 million.</w:t>
      </w:r>
    </w:p>
    <w:p>
      <w:pPr>
        <w:spacing w:after="0" w:line="118"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As a result of the repurchase and redemption of the 2016 Notes, we recognized a $26.5 million loss on extinguishment of debt during the three and nine months ended December 28, 2012, which was comprised of $19.8 million in cash payments (including tender offer consideration, consent payments, redemption premium and related professional fees), and $6.7 million in non-cash charges (including unamortized discount and unamortized debt issuance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2020</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February 2012, we issued $275.0 million in principal amount of Initial 2020 Notes in a private placement to institutional buyers, which were exchanged in August 2012 for substantially identical Initial 2020 Notes that had been registered with the SEC. The Initial 2020 Notes were issued at the face value and are recorded as long-term debt in our condensed consolidated financial statements. On October 12, 2012, we issued $300.0 million in principal amount of Additional 2020 Notes in a private placement to institutional buyers at an issue price of 103.50% of the principal amount, which were exchanged subsequent to the quarter end in January 2013 for substantially identical Additional 2020 Notes that had been registered with the SEC. The 2020 Notes are all treated as a single class and have identical terms, except for the issue date, the issue price, the first interest payment date and the date from which interest begins to accrue. The 2020 Notes bear interest at the rate of 6.875% per year, payable semi-annually in cash in arrears, which interest payments commenced in June 2012. Deferred financing cost associated with the issuance of the 2020 Notes is amortized to interest expense on a straight-line basis over the term of the 2020 Notes, which is not materially different from an effective interest rate basis. The $10.5 million premium we received in connection with the issuance of the Additional 2020 Notes is recorded as long-term debt in our condensed consolidated financial statements and is being amortized as a reduction to interest expense on a straight-line basis over the term of the Additional 2020 Notes, which is not materially different from an effective interest rate basis.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2020 Notes are guaranteed on an unsecured senior basis by each of our existing and future subsidiaries that guarantees the Credit Facility (the Guarantor Subsidiaries). The 2020 Notes and the guarantees are our and the Guarantor Subsidiaries’ general senior unsecured obligations and rank equally in right of payment with all of our existing and future unsecured unsubordinated debt. The 2020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our subsidiaries that are not guarantors of the 2020 Notes, and are senior in right of payment to all of their existing and future subordinated indebtedness.</w:t>
      </w:r>
    </w:p>
    <w:p>
      <w:pPr>
        <w:spacing w:after="0" w:line="12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Prior to June 15, 2015, we may redeem up to 35% of the 2020 Notes at a redemption price of 106.875% of the principal amount thereof, plus accrued and unpaid interest, if any, thereon to the redemption date, from the net cash proceeds of specified equity offerings. We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w:t>
      </w:r>
    </w:p>
    <w:p>
      <w:pPr>
        <w:spacing w:after="0" w:line="3" w:lineRule="exact"/>
        <w:rPr>
          <w:sz w:val="20"/>
          <w:szCs w:val="20"/>
          <w:color w:val="auto"/>
        </w:rPr>
      </w:pPr>
    </w:p>
    <w:p>
      <w:pPr>
        <w:ind w:right="120" w:firstLine="8"/>
        <w:spacing w:after="0" w:line="290" w:lineRule="auto"/>
        <w:tabs>
          <w:tab w:leader="none" w:pos="2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18"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In the event a change of control occurs (as defined in the indenture), each holder will have the right to require us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December 28,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6"/>
              <w:spacing w:after="0"/>
              <w:rPr>
                <w:sz w:val="20"/>
                <w:szCs w:val="20"/>
                <w:color w:val="auto"/>
              </w:rPr>
            </w:pPr>
            <w:r>
              <w:rPr>
                <w:rFonts w:ascii="Arial" w:cs="Arial" w:eastAsia="Arial" w:hAnsi="Arial"/>
                <w:sz w:val="14"/>
                <w:szCs w:val="14"/>
                <w:b w:val="1"/>
                <w:bCs w:val="1"/>
                <w:color w:val="auto"/>
                <w:w w:val="88"/>
              </w:rPr>
              <w:t>For the</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Remainder of</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 including interest where applicable)</w:t>
            </w:r>
          </w:p>
        </w:tc>
        <w:tc>
          <w:tcPr>
            <w:tcW w:w="340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Fiscal Year</w:t>
            </w:r>
          </w:p>
        </w:tc>
        <w:tc>
          <w:tcPr>
            <w:tcW w:w="300" w:type="dxa"/>
            <w:vAlign w:val="bottom"/>
          </w:tcPr>
          <w:p>
            <w:pPr>
              <w:spacing w:after="0"/>
              <w:rPr>
                <w:sz w:val="14"/>
                <w:szCs w:val="14"/>
                <w:color w:val="auto"/>
              </w:rPr>
            </w:pPr>
          </w:p>
        </w:tc>
        <w:tc>
          <w:tcPr>
            <w:tcW w:w="2720" w:type="dxa"/>
            <w:vAlign w:val="bottom"/>
            <w:gridSpan w:val="8"/>
          </w:tcPr>
          <w:p>
            <w:pPr>
              <w:ind w:left="520"/>
              <w:spacing w:after="0"/>
              <w:rPr>
                <w:sz w:val="20"/>
                <w:szCs w:val="20"/>
                <w:color w:val="auto"/>
              </w:rPr>
            </w:pPr>
            <w:r>
              <w:rPr>
                <w:rFonts w:ascii="Arial" w:cs="Arial" w:eastAsia="Arial" w:hAnsi="Arial"/>
                <w:sz w:val="14"/>
                <w:szCs w:val="14"/>
                <w:b w:val="1"/>
                <w:bCs w:val="1"/>
                <w:color w:val="auto"/>
              </w:rPr>
              <w:t>For the Fiscal Years Ending</w:t>
            </w:r>
          </w:p>
        </w:tc>
        <w:tc>
          <w:tcPr>
            <w:tcW w:w="0" w:type="dxa"/>
            <w:vAlign w:val="bottom"/>
          </w:tcPr>
          <w:p>
            <w:pPr>
              <w:spacing w:after="0"/>
              <w:rPr>
                <w:sz w:val="1"/>
                <w:szCs w:val="1"/>
                <w:color w:val="auto"/>
              </w:rPr>
            </w:pPr>
          </w:p>
        </w:tc>
      </w:tr>
      <w:tr>
        <w:trPr>
          <w:trHeight w:val="149"/>
        </w:trPr>
        <w:tc>
          <w:tcPr>
            <w:tcW w:w="3120" w:type="dxa"/>
            <w:vAlign w:val="bottom"/>
            <w:tcBorders>
              <w:bottom w:val="single" w:sz="8" w:color="auto"/>
            </w:tcBorders>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36"/>
              <w:spacing w:after="0" w:line="129" w:lineRule="exact"/>
              <w:rPr>
                <w:sz w:val="20"/>
                <w:szCs w:val="20"/>
                <w:color w:val="auto"/>
              </w:rPr>
            </w:pPr>
            <w:r>
              <w:rPr>
                <w:rFonts w:ascii="Arial" w:cs="Arial" w:eastAsia="Arial" w:hAnsi="Arial"/>
                <w:sz w:val="14"/>
                <w:szCs w:val="14"/>
                <w:b w:val="1"/>
                <w:bCs w:val="1"/>
                <w:color w:val="auto"/>
                <w:w w:val="83"/>
              </w:rPr>
              <w:t>2013</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2014-2015</w:t>
            </w:r>
          </w:p>
        </w:tc>
        <w:tc>
          <w:tcPr>
            <w:tcW w:w="9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2016-2017</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leases and satellite capacity agreements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227,685</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23,892</w:t>
            </w: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$103,488</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39,909</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60,396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Capital lease</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1,113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Notes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869,837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701,828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Line of credit</w:t>
            </w:r>
          </w:p>
        </w:tc>
        <w:tc>
          <w:tcPr>
            <w:tcW w:w="8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38,558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Satellite performance incentives</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38,049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376,907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109,438</w:t>
            </w: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160,225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62,944</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1,552,149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149,572</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379,846</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186,304</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836,427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Under our satellite construction contract with SS/L for ViaSat-1, based on estimates as of December 28, 2012, the remaining amount of satellite performance incentives and related interest that we may be required to pay during the period until December 2026 is approximately $38.0 million. We have also entered into an agreement with a supplier for an additional satellite launch which can be used for a future satellite.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condensed consolidated balance sheets included $58.0 million and $50.4 million of “other liabilities” as of December 28, 2012 and March 30, 2012, respectively, which primarily consisted of our long-term portion of satellite performance incentives obligation, long-term warranty obligations, long-term portion of deferred rent, long-term portion of deferred revenue, long-term deferred income taxes and long-term unrecognized tax position liabilities. With the exception of our long-term portion of our satellite performance incentives obligation, these remaining liabilities have been excluded from the above table as the timing and/or the amount of any cash payment is uncertain.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had no material off-balance sheet arrangements at December 28, 2012 as defined in Regulation S-K Item 303(a)(4) other than as discussed under Contractual Obligations above or disclosed in the notes to our consolidated financial statements included in this Quarterly Report or in our Annual Report on Form 10-K for the year ended March 30,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June 2011, the FASB issued ASU 2011-05, Comprehensive Income (ASC 220): Presentation of Comprehensive Income. The new authoritative guidance requires an entity to present the total of comprehensive income, the components of net income, and the components of other comprehensive income either in a single continuous statement of comprehensive income or in two separate but consecutive statements. The new authoritative guidance eliminates the option to present the components of other comprehensive income as part of the statement of equity. In December 2011, the FASB further amended its guidance to defer changes related to the presentation of reclassification adjustments indefinitely as a result of concerns raised by stakeholders that the new presentation requirements would be difficult for preparers and add unnecessary complexity to financial statements. The authoritative guidance (other than the portion regarding the presentation of reclassification adjustments which, as noted above, has been deferred indefinitely) became effective for us beginning in the first quarter of fiscal year 2013. In the first quarter of fiscal year 2013, we retrospectively adopted the new accounting standard for the presentation of comprehensive income in financial statements which resulted in the presentation of a total for comprehensive income (loss), and the components of net income (loss) and other comprehensive income (loss) in one statement. The adoption of this standard only changed how we present comprehensive income (loss) and did not impact our consolidated financial position, results of operations or cash flows.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September 2011, the FASB issued ASU 2011-08, Intangibles—Goodwill and Other (ASC 350): Testing Goodwill for Impairment. The new authoritative guidance simplifies how an entity tests goodwill for impairment. The new authoritative guidance allows an entity to first assess qualitative factors to determine whether it is necessary to perform the two-step quantitative goodwill impairment test. The two-step quantitative impairment test is required only if, based on its qualitative assessment, an entity determines that it is more likely than not that the fair value of a reporting unit is less than its carrying amount. This authoritative guidance is effective for interim and annual goodwill impairment tests performed for fiscal years beginning after December 15, 2011. Early adoption is permitted if an entity’s financial statements for the more recent interim and annual period have not yet been issued. We early adopted this authoritative guidance in the fourth quarter of fiscal year 2012. Adoption of this authoritative guidance did not have a material impact on our consolidated financial statements and disclosures.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2011, the FASB issued ASU 2011-11, Balance Sheet (ASC 210): Disclosures about offsetting Assets and Liabilities. The new authoritative guidance requires an entity to disclose information about offsetting and related arrangements to enable users of its financial statements to evaluate the effect or potential effect of netting arrangements on an entity’s financial position, including the effect or potential effect of rights of setoff associated with certain financial instruments and derivative instruments in the scope of this authoritative guidance. This authoritative guidance will be effective for us beginning in the first quarter of fiscal year 2014 and should be applied retrospectively for all comparative periods presented. We are currently evaluating the impact that this authoritative guidance may have on its consolidated financial statements and disclosures.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July 2012, the FASB issued ASU 2012-02, Intangibles—Goodwill and Other (ASC 350): Testing Indefinite-Lived Intangible Assets for Impairment. The new authoritative guidance simplifies the requirements for testing for indefinite-lived intangible assets other than goodwill and permits an entity to first assess qualitative factors to determine whether it is necessary to perform a quantitative fair value test. The guidance is effective for us for annual and, if any, interim impairment tests in the fiscal year ending April 4, 2014 with early adoption permitted. We anticipate that the adoption of this standard will not have a material impact on the us or our condensed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financial instruments consist of cash and cash equivalents, trade accounts receivable, accounts payable, and short-term and long-term obligations, including the Credit Facility and the 2020 Notes. We consider investments in highly liquid instruments purchased with a remaining maturity of 90 days or less at the date of purchase to be cash equivalents. As of December 28, 2012, we had no outstanding borrowings under our Credit Facility and $575.0 million in aggregate principal amount outstanding of the 2020 Notes, and we held no short-term investments. Our 2020 Notes bear interest at a fixed rate and therefore our exposure to market risk for changes in interest rates relates primarily to borrowings under our Credit Facility, cash equivalents, short-term investments and short-term obligations.</w:t>
      </w:r>
    </w:p>
    <w:p>
      <w:pPr>
        <w:spacing w:after="0" w:line="14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Given recent declines in interest rates, our interest income has been and may continue to be negatively impacted.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approximately $0.4 million and $0.1 million for the three months ended December 28, 2012 and December 30, 2011, respectively.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primary interest rate under the Credit Facility is the Eurodollar rate plus an applicable margin that is based on our total leverage ratio. As of December 28, 2012, the weighted average effective interest rate that would have been applied to any new borrowings under the Credit Facility was approximately 2.96%. As of December 28, 2012, we had no outstanding borrowings under our Credit Facility. Accordingly, assuming the outstanding balance remained constant over a year, changes in interest rates applicable to our Credit Facility would have no effect on our interest incurred and cash flow.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generally conduct our business in U.S. dollars. However, as our international business is conducted in a variety of foreign currencies,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1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As of December 28, 2012, we had a number of foreign currency forward contracts outstanding which are intended to reduce the foreign currency risk for amounts payable to vendors in Euros. The foreign currency forward contracts with a notional amount of $2.5 million had a fair value of approximately $0.2 million and were recorded in accrued liabilities as of December 28, 2012. If the foreign currency forward rate for the Euro to the U.S. dollar on these foreign currency forward contracts had changed by 10%, the fair value of these foreign currency forward contracts as of December 28, 2012 would have changed by approximately $0.3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December 28, 2012, the end of the period covered by this Quarterly Report. Based upon the foregoing, our Chief Executive Officer and Chief Financial Officer concluded that our disclosure controls and procedures were effective at a reasonable assurance level as of December 28, 2012.</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the period covered by this Quarterly Report, there were no changes in our internal control over financial reporting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February 2012, we filed a complaint against SS/L and its former parent company Loral in the United States District Court for the Southern District of California for patent infringement and breach of contract relating to the manufacture of ViaSat-1. We allege, among other things, that SS/L and Loral infringed U.S. Patent Nos. 8,107,875, 8,010,043, 8,068,827 and 7,773,942 by making, using, offering to sell and/or selling other high-capacity broadband satellites, and have requested monetary damages, injunctive relief and other remedies. On June 15, 2012, SS/L filed counterclaims against ViaSat for patent infringement and declaratory relief. Specifically, SS/L seeks a judicial declaration that SS/L did not breach the parties’ contract for the manufacture of ViaSat-1, that SS/L does not infringe the ViaSat patents described above, and that those patents are invalid and/or unenforceable. SS/L also alleges that ViaSat infringed U.S. Patent Nos. 6,879,808, 6,400,696 and 7,219,132 by providing broadband internet service by means of the Anik F2 satellite using ViaSat satellite gateways and satellite user terminals and has induced others to infringe by selling certain ground equipment and user terminals.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factors discussed in Part I, Item 1A, “Risk Factors” in our Annual Report on Form 10-K for the fiscal year ended March 30, 2012, as supplemented below,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Utilize All of Our Deferred Tax Assets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currently believe that we are likely to have sufficient taxable income in the future to realize the benefit of all of our deferred tax assets (consisting primarily of valuation adjustments, reserves and accruals that are not currently deductible for tax purposes, as well as operating loss carryforwards from losses we have incurred to date during fiscal year 2013). However, some or all of these deferred tax assets could expire unused if we are unable to generate sufficient taxable income in the future to take advantage of them or we enter into transactions that limit our right to use them. If it became more likely than not that deferred tax assets would expire unused, we would have to increase our valuation allowance against deferred tax assets to reflect this fact, which could materially increase our income tax expense, and therefore adversely affect our results of operations and tangible net worth in the period in which it is recorded.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the Regulatory Environment Could Have a Material Adverse Impact on Our Competitive Position, Growth and Financial Performance</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provision of wireless and satellite communications and secure networking products and services is highly regulated. Our business is subject to the regulatory authority of the jurisdictions in which we operate, including the United States and other jurisdictions around the world. Those authorities regulate, among other things, the launch and operation of satellites, the use of radio spectrum, the licensing of earth stations and other radio transmitters, the provision of communications services, and the design, manufacture and marketing of communications systems and networking infrastructure. We cannot predict when or whether applicable laws or regulations may come into effect or change, or what the cost and time necessary to comply with such new or updated laws or regulations may be. Failure to comply with applicable laws or regulations could result in the imposition of financial penalties against us, the adverse modification or cancellation of required authorizations, or other material adverse actions.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Laws and regulations affecting the wireless and satellite communications and secure networking industries are subject to change in response to industry developments, new technology, and political considerations. Legislators and regulatory authorities in various countries are considering, and may in the future adopt, new laws, policies and regulations, as well as changes to existing regulations, regarding a variety of matters that could, directly or indirectly, affect our operations or the operations of our distribution partners, increase the cost of providing our products and services and make our products less competitive in our core markets. For example, in November 2011, the FCC adopted an order establishing a new universal service funding mechanism to support the provision of voice and broadband services in certain high-cost areas of the United States, to be known as the CAF. Among other things, the new CAF mechanism would grant incumbent wireline carriers rights of first refusal allowing them to secure the vast majority of available support, to the exclusion of competitive service providers. Satellite broadband providers would be eligible for much more limited funding, which may place us at a competitive disadvantage in the provision of broadband services in rural areas. The CAF mechanism has not yet been fully implemented, and the FCC has sought further public comment with respect to certain details of implementation. Moreover, the FCC order establishing the CAF is the subject of pending petitions for reconsideration filed with the FCC, as well as pending judicial appeals. As such, it is uncertain how and when the CAF will be implemented, and how such implementation could impact satellite broadband providers. If the CAF, as implemented, were to give incumbents a competitive advantage in providing broadband services in supported areas, this could have a material adverse effect on our business, financial condition and results of operations.</w:t>
      </w:r>
    </w:p>
    <w:p>
      <w:pPr>
        <w:spacing w:after="0" w:line="12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August 2012, the SEC adopted disclosure rules regarding a company’s use of conflict minerals in their products, with substantial supply chain verification requirements in the event that the conflict minerals come from, or could have come from, the Democratic Republic of the Congo or adjoining countries. These new rules and verification requirements, which will apply to our activities beginning in calendar year 2013, will impose additional costs on us and on our suppliers, and may limit the sources or increase the prices of materials used in our products. Further, if we are unable to certify that our products are conflict free, we may face challenges with our customers, which could place us at a competitive disadvantage and could harm our reputation.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to laws and regulations could materially harm our business by (1) affecting our ability to obtain or retain required governmental authorizations,</w:t>
      </w:r>
    </w:p>
    <w:p>
      <w:pPr>
        <w:spacing w:after="0" w:line="38" w:lineRule="exact"/>
        <w:rPr>
          <w:sz w:val="20"/>
          <w:szCs w:val="20"/>
          <w:color w:val="auto"/>
        </w:rPr>
      </w:pPr>
    </w:p>
    <w:p>
      <w:pPr>
        <w:jc w:val="both"/>
        <w:ind w:right="60" w:firstLine="8"/>
        <w:spacing w:after="0" w:line="302" w:lineRule="auto"/>
        <w:tabs>
          <w:tab w:leader="none" w:pos="2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restricting our ability to provide certain products or services, (3) restricting development efforts by us and our customers, (4) making our current products and services less attractive or obsolete, (5) increasing our operational costs, or (6) making it easier or less expensive for our competitors to compete with us. Changes in, or our failure to comply with, applicable laws and regulations could materially harm our business and impair the value of our common stock.</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Failures or Degradations in Satellite Performance Could Affect Our Business, Financial Condition and Results of Operations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October 2011, our new high-capacity Ka-band spot-beam satellite, ViaSat-1, was successfully launched into orbit, and the satellite manufacturer handed over operation of the satellite to us in December 2011. In addition, we also own and operate the WildBlue-1 Ka-band satellite and hold an exclusive lifetime lease of Ka-band capacity on Telesat Canada’s Anik F2 satellite in the contiguous United States. We may construct, acquire or use one or more additional satellites in the future. We utilize capacity on our ViaSat-1 and WildBlue-1 satellites, on Telesat Canada’s Anik F2 satellite and on SES WorldSkies’ AMC-15 satellite to support our broadband services in the United States. We also lease capacity on multiple satellites related to the provision of our international mobile broadband services to commercial and government customers.</w:t>
      </w:r>
    </w:p>
    <w:p>
      <w:pPr>
        <w:spacing w:after="0" w:line="12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Satellites utilize highly complex technology and operate in the harsh environment of space and, accordingly, are subject to significant operational risks while in orbit. These risks include malfunctions (commonly referred to as anomalies), interference from electrostatic storms, and collisions with meteoroids, decommissioned spacecraft or other space debris. Our satellites have experienced various anomalies in the past and we will likely experience anomalies in the future. Anomalies can occur as a result of various factors, such as:</w:t>
      </w:r>
    </w:p>
    <w:p>
      <w:pPr>
        <w:spacing w:after="0" w:line="62" w:lineRule="exact"/>
        <w:rPr>
          <w:sz w:val="20"/>
          <w:szCs w:val="20"/>
          <w:color w:val="auto"/>
        </w:rPr>
      </w:pPr>
    </w:p>
    <w:p>
      <w:pPr>
        <w:ind w:left="440" w:right="200" w:hanging="324"/>
        <w:spacing w:after="0" w:line="268"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satellite manufacturer error, whether due to the use of new or largely unproven technology or due to a design, manufacturing or assembly defect that was not discovered before launch;</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problems with the power sub-system of the satellite;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problems with the control sub-system of the satellite;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failures resulting from operating satellites in the harsh space environment, such as premature component failure or wear out.</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Any single anomaly or series of anomalies, or other operational failure or degradation, on any of the satellites we own and operate or use could have a material adverse effect on our operations and revenues and our relationships with current customers and distributors, as well as our ability to attract new customers for our satellite services. Anomalies may also reduce the expected useful life of a satellite, thereby creating additional expense due to the need to provide replacement or backup capacity and potentially reducing revenues if service is interrupted or degraded on the satellites we utilize. We may not be able to obtain backup capacity or a replacement satellite on reasonable economic terms, reasonable schedule or at all. In addition, anomalies may also cause a reduction of the revenue generated by the applicable satellite or the recognition of an impairment loss, and in some circumstances could lead to claims from third parties for damages, for example, if a satellite experiencing an anomaly were to cause physical damage to another satellite, create interference to the transmissions on another satellite or cause another satellite operator to incur expenses to avoid such physical damage or interference. Finally, the occurrence of anomalies may adversely affect our ability to insure our satellites at commercially reasonable premiums or terms, if at all. While some anomalies are covered by insurance policies, others are not or may not be covered, or may be subject to large deductibles.</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Although our satellites have redundant or backup systems and components that operate in the event of an anomaly, operational failure or degradation of primary critical components, these redundant or backup systems and components are subject to risk of failure similar to those experienced by the primary systems and components. The occurrence of a failure of any of these redundant or backup systems and components could materially impair the useful life, capacity, coverage or operational capabilities of the satellite.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Satellites Have a Finite Useful Life, and Their Actual Operational Life May Be Shorter than Their Design Life</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ability to earn revenue from our satellite services depends on the continued operation of ViaSat-1, WildBlue-1, Anik F2 and any other satellite we may acquire or use in the future. Each satellite has a limited useful life, referred to as its design life. There can be no assurance as to the actual operational life of a satellite, which may be shorter than its design life. A number of factors affect the useful lives of the satellites, including, among other things, the quality of their design and construction, the durability of their component parts and back-up units, the ability to continue to maintain proper orbit and control over the satellite’s functions, the efficiency of the launch vehicle used, consumption of remaining on-board fuel following orbit insertion, degradation and durability of solar panels, the actual space environment experienced compared to the assumed space environment for which the satellites were designed and tested, and the occurrence of any anomaly or series of anomalies or other in-orbit risks affecting the satellite. In addition, continued improvements in satellite technology may make obsolete ViaSat-1 or any other satellite we may own or acquire prior to the end of its life.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Satellite Losses May Not Be Fully Covered By Insurance, or at All</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currently hold in-orbit insurance for ViaSat-1, WildBlue-1 and Anik F2. We also intend to seek launch and in-orbit insurance for any satellite we may acquire in the future. However, we may not be able to obtain insurance, or renew existing insurance, on reasonable economic terms or at all. If we are able to obtain or renew our insurance, it may contain customary exclusions, exclusions for past satellite anomalies and will not likely cover the full cost of constructing and launching or replacing the satellites, nor will it cover lost profits, business interruptions, fixed operating expenses or similar losses. In addition, the occurrence of any anomalies on other satellites, including other Ka-band satellites, or any failures of a satellite using similar components or failures of a similar launch vehicle to any launch vehicle we intend to use for any future satellite, may materially adversely affect our ability to insure the satellites at commercially reasonable premiums or terms, if at all.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Any insurance proceeds will not fully cover our losses in the event of a satellite failure or significant degradation. For example, the policies covering the insured satellites do not cover the full cost of constructing, launching and insuring new satellites, nor will they cover, and we do not have protection against, lost profits, business interruptions, fixed operating expenses, loss of business or similar losses. Our insurance contains customary exclusions, material change and other conditions that could limit recovery under those policies. Further, any insurance proceeds may not be received on a timely basis in order to launch a spare satellite or construct and launch a replacement satellite or take other remedial measures. In addition, the policies are subject to limitations involving uninsured losses, large satellite performance deductibles and policy limits.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or Proposed Satellites Are Subject to Significant Risks Related to Construction and Launch that Could Limit Our Ability to Utilize these Satellites</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intend to construct and launch one or more additional satellites in the future. In particular, we have announced our intention to award a satellite construction contract for a second high-capacity Ka-band spot-beam satellite. The design and construction of satellites require significant investments of capital and management time. Satellite construction and launch are also subject to significant risks, including construction delays, cost overruns, regulatory conditions or delays, unavailability of launch opportunities, launch failure, damage or destruction during launch and improper orbital placement. We have in the past experienced delays in satellite construction and launch which have adversely affected our operations. Future delays may have the same effect. A significant delay in the future delivery of any satellite may also adversely affect our business plan for the satellite. If satellite construction schedules are not met, a launch opportunity may not be available at the time the satellite is ready to be launched. The failure to implement our satellite deployment plan on schedule could have a material adverse effect on our business, financial condition and results of operations.</w:t>
      </w:r>
    </w:p>
    <w:p>
      <w:pPr>
        <w:spacing w:after="0" w:line="1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A Launch Failure or Other Satellite Damage or Destruction During Launch, or the Failure of a New Satellite to Achieve its Designated Orbital Location After Launch Could Result in a Total or Partial Satellite Loss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Satellites are subject to certain risks related to failed launches. Launch failures result in significant delays in the deployment of satellites because of the need both to construct replacement satellites, which can take up to 36 months or longer, and to obtain other launch opportunities. Such significant delays could have a material adverse effect on our business, financial condition and results of operations. The overall historical loss rate in the satellite industry for all launches of commercial satellites in fixed orbits in the last five years is estimated by some industry participants to be approximately 10% but could at any time be higher. Launch vehicles may also under-perform, in which case the satellite may still be able to be placed into service by using its onboard propulsion systems to reach the desired orbital location, but this would cause a reduction in its useful life.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 Index on page 61 is incorporated herein by reference as the list of exhibits required as part of this Quarterly Report.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219"/>
          </w:cols>
          <w:pgMar w:left="240" w:top="459"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VIASAT, INC.</w:t>
            </w:r>
          </w:p>
        </w:tc>
      </w:tr>
      <w:tr>
        <w:trPr>
          <w:trHeight w:val="433"/>
        </w:trPr>
        <w:tc>
          <w:tcPr>
            <w:tcW w:w="3420" w:type="dxa"/>
            <w:vAlign w:val="bottom"/>
          </w:tcPr>
          <w:p>
            <w:pPr>
              <w:spacing w:after="0"/>
              <w:rPr>
                <w:sz w:val="20"/>
                <w:szCs w:val="20"/>
                <w:color w:val="auto"/>
              </w:rPr>
            </w:pPr>
            <w:r>
              <w:rPr>
                <w:rFonts w:ascii="Arial" w:cs="Arial" w:eastAsia="Arial" w:hAnsi="Arial"/>
                <w:sz w:val="18"/>
                <w:szCs w:val="18"/>
                <w:color w:val="auto"/>
              </w:rPr>
              <w:t>February 6, 2013</w:t>
            </w:r>
          </w:p>
        </w:tc>
        <w:tc>
          <w:tcPr>
            <w:tcW w:w="266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tc>
      </w:tr>
      <w:tr>
        <w:trPr>
          <w:trHeight w:val="202"/>
        </w:trPr>
        <w:tc>
          <w:tcPr>
            <w:tcW w:w="3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Mark Dankberg</w:t>
            </w:r>
          </w:p>
        </w:tc>
      </w:tr>
      <w:tr>
        <w:trPr>
          <w:trHeight w:val="216"/>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Chairman of the Board and Chief Executive Officer</w:t>
            </w:r>
          </w:p>
        </w:tc>
      </w:tr>
      <w:tr>
        <w:trPr>
          <w:trHeight w:val="222"/>
        </w:trPr>
        <w:tc>
          <w:tcPr>
            <w:tcW w:w="3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33"/>
        </w:trPr>
        <w:tc>
          <w:tcPr>
            <w:tcW w:w="3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tc>
      </w:tr>
      <w:tr>
        <w:trPr>
          <w:trHeight w:val="202"/>
        </w:trPr>
        <w:tc>
          <w:tcPr>
            <w:tcW w:w="3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Shawn Duffy</w:t>
            </w:r>
          </w:p>
        </w:tc>
      </w:tr>
      <w:tr>
        <w:trPr>
          <w:trHeight w:val="216"/>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Vice President, Corporate Controller,</w:t>
            </w:r>
          </w:p>
        </w:tc>
      </w:tr>
      <w:tr>
        <w:trPr>
          <w:trHeight w:val="216"/>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Accounting Officer, and Chief Financial Officer</w:t>
            </w:r>
          </w:p>
        </w:tc>
      </w:tr>
      <w:tr>
        <w:trPr>
          <w:trHeight w:val="222"/>
        </w:trPr>
        <w:tc>
          <w:tcPr>
            <w:tcW w:w="3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and Chief Accounting Officer)</w:t>
            </w:r>
          </w:p>
        </w:tc>
      </w:tr>
      <w:tr>
        <w:trPr>
          <w:trHeight w:val="365"/>
        </w:trPr>
        <w:tc>
          <w:tcPr>
            <w:tcW w:w="3420" w:type="dxa"/>
            <w:vAlign w:val="bottom"/>
          </w:tcPr>
          <w:p>
            <w:pPr>
              <w:spacing w:after="0"/>
              <w:rPr>
                <w:sz w:val="24"/>
                <w:szCs w:val="24"/>
                <w:color w:val="auto"/>
              </w:rPr>
            </w:pPr>
          </w:p>
        </w:tc>
        <w:tc>
          <w:tcPr>
            <w:tcW w:w="2660" w:type="dxa"/>
            <w:vAlign w:val="bottom"/>
          </w:tcPr>
          <w:p>
            <w:pPr>
              <w:jc w:val="right"/>
              <w:ind w:right="192"/>
              <w:spacing w:after="0"/>
              <w:rPr>
                <w:sz w:val="20"/>
                <w:szCs w:val="20"/>
                <w:color w:val="auto"/>
              </w:rPr>
            </w:pPr>
            <w:r>
              <w:rPr>
                <w:rFonts w:ascii="Arial" w:cs="Arial" w:eastAsia="Arial" w:hAnsi="Arial"/>
                <w:sz w:val="18"/>
                <w:szCs w:val="18"/>
                <w:color w:val="auto"/>
              </w:rPr>
              <w:t>60</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20" w:type="dxa"/>
            <w:vAlign w:val="bottom"/>
            <w:gridSpan w:val="2"/>
          </w:tcPr>
          <w:p>
            <w:pPr>
              <w:ind w:left="416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520" w:type="dxa"/>
            <w:vAlign w:val="bottom"/>
            <w:gridSpan w:val="2"/>
          </w:tcPr>
          <w:p>
            <w:pPr>
              <w:ind w:left="218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Second Amended and Restated Bylaws of ViaSat, Inc.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89"/>
              </w:rPr>
              <w:t>Registration Rights Agreement, dated as of October 12, 2012, among ViaSat,</w:t>
            </w: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96"/>
              </w:rPr>
              <w:t>Inc., ViaSat Holding, Inc., ViaSat Communications, Inc., WB Holdings 1</w:t>
            </w: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96"/>
              </w:rPr>
              <w:t>LLC and Merrill Lynch, Pierce, Fenner &amp; Smith Incorporated, for and on</w:t>
            </w: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89"/>
              </w:rPr>
              <w:t>behalf of itself and JP Morgan Securities LLC, Credit Suisse Securities (USA)</w:t>
            </w: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95"/>
              </w:rPr>
              <w:t>LLC, Morgan Stanley &amp; Co. LLC, Wells Fargo Securities, LLC, Stephens</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Inc. and B. Riley &amp; Co.,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87"/>
              </w:rPr>
              <w:t>Second Supplemental Indenture, dated as of October 12, 2012, among ViaSat,</w:t>
            </w: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96"/>
              </w:rPr>
              <w:t>Inc., ViaSat Holding, Inc., ViaSat Communications, Inc., WB Holdings 1</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LLC and Wilmington Trust, National Association, as trustee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99"/>
              </w:rPr>
              <w:t>Certification of Chief Executive Officer Pursuant to Section 302 of the</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Section 302 of the</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92"/>
              </w:rPr>
              <w:t>Certifications Pursuant to 18 U.S.C. Section 1350, as Adopted Pursuant to</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Section 906 of the Sarbanes-Oxley Act of 2002</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52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520" w:type="dxa"/>
            <w:vAlign w:val="bottom"/>
            <w:gridSpan w:val="2"/>
          </w:tcPr>
          <w:p>
            <w:pPr>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5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520" w:type="dxa"/>
            <w:vAlign w:val="bottom"/>
            <w:gridSpan w:val="2"/>
          </w:tcPr>
          <w:p>
            <w:pPr>
              <w:spacing w:after="0"/>
              <w:rPr>
                <w:sz w:val="20"/>
                <w:szCs w:val="20"/>
                <w:color w:val="auto"/>
              </w:rPr>
            </w:pPr>
            <w:r>
              <w:rPr>
                <w:rFonts w:ascii="Arial" w:cs="Arial" w:eastAsia="Arial" w:hAnsi="Arial"/>
                <w:sz w:val="18"/>
                <w:szCs w:val="18"/>
                <w:color w:val="auto"/>
              </w:rPr>
              <w:t>XBRL Taxonomy Extension Labels Linkbase</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52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52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65"/>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00" w:type="dxa"/>
            <w:vAlign w:val="bottom"/>
          </w:tcPr>
          <w:p>
            <w:pPr>
              <w:ind w:left="474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Incorporated by Reference</w:t>
            </w:r>
          </w:p>
        </w:tc>
      </w:tr>
      <w:tr>
        <w:trPr>
          <w:trHeight w:val="156"/>
        </w:trPr>
        <w:tc>
          <w:tcPr>
            <w:tcW w:w="3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1"/>
              </w:rPr>
              <w:t>Form</w:t>
            </w:r>
          </w:p>
        </w:tc>
        <w:tc>
          <w:tcPr>
            <w:tcW w:w="300" w:type="dxa"/>
            <w:vAlign w:val="bottom"/>
          </w:tcPr>
          <w:p>
            <w:pPr>
              <w:spacing w:after="0"/>
              <w:rPr>
                <w:sz w:val="13"/>
                <w:szCs w:val="13"/>
                <w:color w:val="auto"/>
              </w:rPr>
            </w:pPr>
          </w:p>
        </w:tc>
        <w:tc>
          <w:tcPr>
            <w:tcW w:w="840" w:type="dxa"/>
            <w:vAlign w:val="bottom"/>
            <w:tcBorders>
              <w:bottom w:val="single" w:sz="8" w:color="auto"/>
            </w:tcBorders>
          </w:tcPr>
          <w:p>
            <w:pPr>
              <w:jc w:val="right"/>
              <w:ind w:right="122"/>
              <w:spacing w:after="0" w:line="155" w:lineRule="exact"/>
              <w:rPr>
                <w:sz w:val="20"/>
                <w:szCs w:val="20"/>
                <w:color w:val="auto"/>
              </w:rPr>
            </w:pPr>
            <w:r>
              <w:rPr>
                <w:rFonts w:ascii="Arial" w:cs="Arial" w:eastAsia="Arial" w:hAnsi="Arial"/>
                <w:sz w:val="14"/>
                <w:szCs w:val="14"/>
                <w:b w:val="1"/>
                <w:bCs w:val="1"/>
                <w:color w:val="auto"/>
              </w:rPr>
              <w:t>File No.</w:t>
            </w:r>
          </w:p>
        </w:tc>
        <w:tc>
          <w:tcPr>
            <w:tcW w:w="30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Exhibit</w:t>
            </w:r>
          </w:p>
        </w:tc>
        <w:tc>
          <w:tcPr>
            <w:tcW w:w="300" w:type="dxa"/>
            <w:vAlign w:val="bottom"/>
          </w:tcPr>
          <w:p>
            <w:pPr>
              <w:spacing w:after="0"/>
              <w:rPr>
                <w:sz w:val="13"/>
                <w:szCs w:val="13"/>
                <w:color w:val="auto"/>
              </w:rPr>
            </w:pPr>
          </w:p>
        </w:tc>
        <w:tc>
          <w:tcPr>
            <w:tcW w:w="136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Filing Date</w:t>
            </w:r>
          </w:p>
        </w:tc>
      </w:tr>
      <w:tr>
        <w:trPr>
          <w:trHeight w:val="302"/>
        </w:trPr>
        <w:tc>
          <w:tcPr>
            <w:tcW w:w="6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000-21767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8"/>
                <w:szCs w:val="18"/>
                <w:color w:val="auto"/>
                <w:w w:val="86"/>
              </w:rPr>
              <w:t>December 4, 2012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8-K</w:t>
            </w:r>
          </w:p>
        </w:tc>
        <w:tc>
          <w:tcPr>
            <w:tcW w:w="1220" w:type="dxa"/>
            <w:vAlign w:val="bottom"/>
          </w:tcPr>
          <w:p>
            <w:pPr>
              <w:jc w:val="right"/>
              <w:ind w:right="172"/>
              <w:spacing w:after="0"/>
              <w:rPr>
                <w:sz w:val="20"/>
                <w:szCs w:val="20"/>
                <w:color w:val="auto"/>
              </w:rPr>
            </w:pPr>
            <w:r>
              <w:rPr>
                <w:rFonts w:ascii="Arial" w:cs="Arial" w:eastAsia="Arial" w:hAnsi="Arial"/>
                <w:sz w:val="18"/>
                <w:szCs w:val="18"/>
                <w:color w:val="auto"/>
              </w:rPr>
              <w:t>000-21767</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4.1</w:t>
            </w:r>
          </w:p>
        </w:tc>
        <w:tc>
          <w:tcPr>
            <w:tcW w:w="1440" w:type="dxa"/>
            <w:vAlign w:val="bottom"/>
          </w:tcPr>
          <w:p>
            <w:pPr>
              <w:ind w:left="220"/>
              <w:spacing w:after="0"/>
              <w:rPr>
                <w:sz w:val="20"/>
                <w:szCs w:val="20"/>
                <w:color w:val="auto"/>
              </w:rPr>
            </w:pPr>
            <w:r>
              <w:rPr>
                <w:rFonts w:ascii="Arial" w:cs="Arial" w:eastAsia="Arial" w:hAnsi="Arial"/>
                <w:sz w:val="18"/>
                <w:szCs w:val="18"/>
                <w:color w:val="auto"/>
                <w:w w:val="86"/>
              </w:rPr>
              <w:t>October 12, 2012</w:t>
            </w:r>
          </w:p>
        </w:tc>
      </w:tr>
      <w:tr>
        <w:trPr>
          <w:trHeight w:val="756"/>
        </w:trPr>
        <w:tc>
          <w:tcPr>
            <w:tcW w:w="460" w:type="dxa"/>
            <w:vAlign w:val="bottom"/>
          </w:tcPr>
          <w:p>
            <w:pPr>
              <w:spacing w:after="0"/>
              <w:rPr>
                <w:sz w:val="20"/>
                <w:szCs w:val="20"/>
                <w:color w:val="auto"/>
              </w:rPr>
            </w:pPr>
            <w:r>
              <w:rPr>
                <w:rFonts w:ascii="Arial" w:cs="Arial" w:eastAsia="Arial" w:hAnsi="Arial"/>
                <w:sz w:val="18"/>
                <w:szCs w:val="18"/>
                <w:color w:val="auto"/>
              </w:rPr>
              <w:t>8-K</w:t>
            </w:r>
          </w:p>
        </w:tc>
        <w:tc>
          <w:tcPr>
            <w:tcW w:w="1220" w:type="dxa"/>
            <w:vAlign w:val="bottom"/>
          </w:tcPr>
          <w:p>
            <w:pPr>
              <w:jc w:val="right"/>
              <w:ind w:right="172"/>
              <w:spacing w:after="0"/>
              <w:rPr>
                <w:sz w:val="20"/>
                <w:szCs w:val="20"/>
                <w:color w:val="auto"/>
              </w:rPr>
            </w:pPr>
            <w:r>
              <w:rPr>
                <w:rFonts w:ascii="Arial" w:cs="Arial" w:eastAsia="Arial" w:hAnsi="Arial"/>
                <w:sz w:val="18"/>
                <w:szCs w:val="18"/>
                <w:color w:val="auto"/>
              </w:rPr>
              <w:t>000-21767</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4.2</w:t>
            </w:r>
          </w:p>
        </w:tc>
        <w:tc>
          <w:tcPr>
            <w:tcW w:w="1440" w:type="dxa"/>
            <w:vAlign w:val="bottom"/>
          </w:tcPr>
          <w:p>
            <w:pPr>
              <w:ind w:left="220"/>
              <w:spacing w:after="0"/>
              <w:rPr>
                <w:sz w:val="20"/>
                <w:szCs w:val="20"/>
                <w:color w:val="auto"/>
              </w:rPr>
            </w:pPr>
            <w:r>
              <w:rPr>
                <w:rFonts w:ascii="Arial" w:cs="Arial" w:eastAsia="Arial" w:hAnsi="Arial"/>
                <w:sz w:val="18"/>
                <w:szCs w:val="18"/>
                <w:color w:val="auto"/>
                <w:w w:val="86"/>
              </w:rPr>
              <w:t>October 12, 2012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3">
            <w:col w:w="6400" w:space="200"/>
            <w:col w:w="3880" w:space="300"/>
            <w:col w:w="540"/>
          </w:cols>
          <w:pgMar w:left="240" w:top="459"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February 6, 2013</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Mark Dankberg</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February 6, 2013</w:t>
      </w:r>
      <w:r>
        <w:rPr>
          <w:sz w:val="20"/>
          <w:szCs w:val="20"/>
          <w:color w:val="auto"/>
        </w:rPr>
        <w:tab/>
      </w:r>
      <w:r>
        <w:rPr>
          <w:rFonts w:ascii="Arial" w:cs="Arial" w:eastAsia="Arial" w:hAnsi="Arial"/>
          <w:sz w:val="16"/>
          <w:szCs w:val="16"/>
          <w:color w:val="auto"/>
        </w:rPr>
        <w:t>/s/ S</w:t>
      </w:r>
      <w:r>
        <w:rPr>
          <w:rFonts w:ascii="Arial" w:cs="Arial" w:eastAsia="Arial" w:hAnsi="Arial"/>
          <w:sz w:val="13"/>
          <w:szCs w:val="13"/>
          <w:color w:val="auto"/>
        </w:rPr>
        <w:t>HAWN</w:t>
      </w:r>
      <w:r>
        <w:rPr>
          <w:rFonts w:ascii="Arial" w:cs="Arial" w:eastAsia="Arial" w:hAnsi="Arial"/>
          <w:sz w:val="16"/>
          <w:szCs w:val="16"/>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Shawn Duffy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132" w:lineRule="exact"/>
        <w:rPr>
          <w:sz w:val="20"/>
          <w:szCs w:val="20"/>
          <w:color w:val="auto"/>
        </w:rPr>
      </w:pPr>
    </w:p>
    <w:p>
      <w:pPr>
        <w:ind w:right="40" w:firstLine="464"/>
        <w:spacing w:after="0" w:line="268"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December 28, 2012 (the “Report”) fully complies with the requirements of Section 13(a) or Section 15(d), as applicable, of the Securities Exchange Act of 1934, as amended;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February 6, 2013</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Mark Dankberg</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132" w:lineRule="exact"/>
        <w:rPr>
          <w:sz w:val="20"/>
          <w:szCs w:val="20"/>
          <w:color w:val="auto"/>
        </w:rPr>
      </w:pPr>
    </w:p>
    <w:p>
      <w:pPr>
        <w:ind w:right="40" w:firstLine="464"/>
        <w:spacing w:after="0" w:line="268"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December 28, 2012 (the “Report”) fully complies with the requirements of Section 13(a) or Section 15(d), as applicable, of the Securities Exchange Act of 1934, as amended;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February 6, 2013</w:t>
      </w:r>
      <w:r>
        <w:rPr>
          <w:sz w:val="20"/>
          <w:szCs w:val="20"/>
          <w:color w:val="auto"/>
        </w:rPr>
        <w:tab/>
      </w:r>
      <w:r>
        <w:rPr>
          <w:rFonts w:ascii="Arial" w:cs="Arial" w:eastAsia="Arial" w:hAnsi="Arial"/>
          <w:sz w:val="16"/>
          <w:szCs w:val="16"/>
          <w:color w:val="auto"/>
        </w:rPr>
        <w:t>/s/ S</w:t>
      </w:r>
      <w:r>
        <w:rPr>
          <w:rFonts w:ascii="Arial" w:cs="Arial" w:eastAsia="Arial" w:hAnsi="Arial"/>
          <w:sz w:val="13"/>
          <w:szCs w:val="13"/>
          <w:color w:val="auto"/>
        </w:rPr>
        <w:t>HAWN</w:t>
      </w:r>
      <w:r>
        <w:rPr>
          <w:rFonts w:ascii="Arial" w:cs="Arial" w:eastAsia="Arial" w:hAnsi="Arial"/>
          <w:sz w:val="16"/>
          <w:szCs w:val="16"/>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Shawn Duffy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Roman"/>
      <w:start w:val="2"/>
    </w:lvl>
  </w:abstractNum>
  <w:abstractNum w:abstractNumId="11">
    <w:nsid w:val="7FDCC233"/>
    <w:multiLevelType w:val="hybridMultilevel"/>
    <w:lvl w:ilvl="0">
      <w:lvlJc w:val="left"/>
      <w:lvlText w:val="(%1)"/>
      <w:numFmt w:val="decimal"/>
      <w:start w:val="2"/>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2019-12-06T00:10:34Z</dcterms:created>
  <dcterms:modified xsi:type="dcterms:W3CDTF">2019-12-06T00:10:34Z</dcterms:modified>
</cp:coreProperties>
</file>