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32385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72390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5" w:lineRule="exact"/>
        <w:rPr>
          <w:sz w:val="24"/>
          <w:szCs w:val="24"/>
          <w:color w:val="auto"/>
        </w:rPr>
      </w:pPr>
    </w:p>
    <w:p>
      <w:pPr>
        <w:ind w:left="3440" w:right="1580" w:hanging="3419"/>
        <w:spacing w:after="0" w:line="287" w:lineRule="auto"/>
        <w:tabs>
          <w:tab w:leader="none" w:pos="43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December 31, 2021.</w:t>
      </w: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420" w:hanging="399"/>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2" w:lineRule="exact"/>
        <w:rPr>
          <w:sz w:val="24"/>
          <w:szCs w:val="24"/>
          <w:color w:val="auto"/>
        </w:rPr>
      </w:pPr>
    </w:p>
    <w:p>
      <w:pPr>
        <w:ind w:left="3540"/>
        <w:spacing w:after="0"/>
        <w:tabs>
          <w:tab w:leader="none" w:pos="6760" w:val="left"/>
          <w:tab w:leader="none" w:pos="7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4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608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120"/>
        <w:spacing w:after="0"/>
        <w:rPr>
          <w:sz w:val="20"/>
          <w:szCs w:val="20"/>
          <w:color w:val="auto"/>
        </w:rPr>
      </w:pPr>
      <w:r>
        <w:rPr>
          <w:rFonts w:ascii="Arial" w:cs="Arial" w:eastAsia="Arial" w:hAnsi="Arial"/>
          <w:sz w:val="43"/>
          <w:szCs w:val="43"/>
          <w:b w:val="1"/>
          <w:bCs w:val="1"/>
          <w:color w:val="auto"/>
        </w:rPr>
        <w:t>VIASAT, INC.</w:t>
      </w:r>
    </w:p>
    <w:p>
      <w:pPr>
        <w:spacing w:after="0" w:line="3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tbl>
      <w:tblPr>
        <w:tblLayout w:type="fixed"/>
        <w:tblInd w:w="1780" w:type="dxa"/>
        <w:tblCellMar>
          <w:top w:w="0" w:type="dxa"/>
          <w:left w:w="0" w:type="dxa"/>
          <w:bottom w:w="0" w:type="dxa"/>
          <w:right w:w="0" w:type="dxa"/>
        </w:tblCellMar>
      </w:tblPr>
      <w:tr>
        <w:trPr>
          <w:trHeight w:val="212"/>
        </w:trPr>
        <w:tc>
          <w:tcPr>
            <w:tcW w:w="4060" w:type="dxa"/>
            <w:vAlign w:val="bottom"/>
          </w:tcPr>
          <w:p>
            <w:pPr>
              <w:jc w:val="center"/>
              <w:ind w:right="1902"/>
              <w:spacing w:after="0"/>
              <w:rPr>
                <w:sz w:val="20"/>
                <w:szCs w:val="20"/>
                <w:color w:val="auto"/>
              </w:rPr>
            </w:pPr>
            <w:r>
              <w:rPr>
                <w:rFonts w:ascii="Arial" w:cs="Arial" w:eastAsia="Arial" w:hAnsi="Arial"/>
                <w:sz w:val="18"/>
                <w:szCs w:val="18"/>
                <w:b w:val="1"/>
                <w:bCs w:val="1"/>
                <w:color w:val="auto"/>
              </w:rPr>
              <w:t>Delaware</w:t>
            </w:r>
          </w:p>
        </w:tc>
        <w:tc>
          <w:tcPr>
            <w:tcW w:w="3200" w:type="dxa"/>
            <w:vAlign w:val="bottom"/>
          </w:tcPr>
          <w:p>
            <w:pPr>
              <w:jc w:val="center"/>
              <w:ind w:left="1922"/>
              <w:spacing w:after="0"/>
              <w:rPr>
                <w:sz w:val="20"/>
                <w:szCs w:val="20"/>
                <w:color w:val="auto"/>
              </w:rPr>
            </w:pPr>
            <w:r>
              <w:rPr>
                <w:rFonts w:ascii="Arial" w:cs="Arial" w:eastAsia="Arial" w:hAnsi="Arial"/>
                <w:sz w:val="18"/>
                <w:szCs w:val="18"/>
                <w:b w:val="1"/>
                <w:bCs w:val="1"/>
                <w:color w:val="auto"/>
                <w:w w:val="99"/>
              </w:rPr>
              <w:t>33-0174996</w:t>
            </w:r>
          </w:p>
        </w:tc>
      </w:tr>
      <w:tr>
        <w:trPr>
          <w:trHeight w:val="148"/>
        </w:trPr>
        <w:tc>
          <w:tcPr>
            <w:tcW w:w="4060" w:type="dxa"/>
            <w:vAlign w:val="bottom"/>
          </w:tcPr>
          <w:p>
            <w:pPr>
              <w:jc w:val="center"/>
              <w:ind w:right="1922"/>
              <w:spacing w:after="0" w:line="148" w:lineRule="exact"/>
              <w:rPr>
                <w:sz w:val="20"/>
                <w:szCs w:val="20"/>
                <w:color w:val="auto"/>
              </w:rPr>
            </w:pPr>
            <w:r>
              <w:rPr>
                <w:rFonts w:ascii="Arial" w:cs="Arial" w:eastAsia="Arial" w:hAnsi="Arial"/>
                <w:sz w:val="14"/>
                <w:szCs w:val="14"/>
                <w:b w:val="1"/>
                <w:bCs w:val="1"/>
                <w:color w:val="auto"/>
              </w:rPr>
              <w:t>(State or other jurisdiction of</w:t>
            </w:r>
          </w:p>
        </w:tc>
        <w:tc>
          <w:tcPr>
            <w:tcW w:w="3200" w:type="dxa"/>
            <w:vAlign w:val="bottom"/>
          </w:tcPr>
          <w:p>
            <w:pPr>
              <w:jc w:val="center"/>
              <w:ind w:left="1902"/>
              <w:spacing w:after="0" w:line="148" w:lineRule="exact"/>
              <w:rPr>
                <w:sz w:val="20"/>
                <w:szCs w:val="20"/>
                <w:color w:val="auto"/>
              </w:rPr>
            </w:pPr>
            <w:r>
              <w:rPr>
                <w:rFonts w:ascii="Arial" w:cs="Arial" w:eastAsia="Arial" w:hAnsi="Arial"/>
                <w:sz w:val="14"/>
                <w:szCs w:val="14"/>
                <w:b w:val="1"/>
                <w:bCs w:val="1"/>
                <w:color w:val="auto"/>
              </w:rPr>
              <w:t>(I.R.S. Employer</w:t>
            </w:r>
          </w:p>
        </w:tc>
      </w:tr>
      <w:tr>
        <w:trPr>
          <w:trHeight w:val="190"/>
        </w:trPr>
        <w:tc>
          <w:tcPr>
            <w:tcW w:w="4060" w:type="dxa"/>
            <w:vAlign w:val="bottom"/>
          </w:tcPr>
          <w:p>
            <w:pPr>
              <w:jc w:val="center"/>
              <w:ind w:right="1922"/>
              <w:spacing w:after="0"/>
              <w:rPr>
                <w:sz w:val="20"/>
                <w:szCs w:val="20"/>
                <w:color w:val="auto"/>
              </w:rPr>
            </w:pPr>
            <w:r>
              <w:rPr>
                <w:rFonts w:ascii="Arial" w:cs="Arial" w:eastAsia="Arial" w:hAnsi="Arial"/>
                <w:sz w:val="14"/>
                <w:szCs w:val="14"/>
                <w:b w:val="1"/>
                <w:bCs w:val="1"/>
                <w:color w:val="auto"/>
              </w:rPr>
              <w:t>incorporation or organization)</w:t>
            </w:r>
          </w:p>
        </w:tc>
        <w:tc>
          <w:tcPr>
            <w:tcW w:w="3200" w:type="dxa"/>
            <w:vAlign w:val="bottom"/>
          </w:tcPr>
          <w:p>
            <w:pPr>
              <w:jc w:val="center"/>
              <w:ind w:left="1902"/>
              <w:spacing w:after="0"/>
              <w:rPr>
                <w:sz w:val="20"/>
                <w:szCs w:val="20"/>
                <w:color w:val="auto"/>
              </w:rPr>
            </w:pPr>
            <w:r>
              <w:rPr>
                <w:rFonts w:ascii="Arial" w:cs="Arial" w:eastAsia="Arial" w:hAnsi="Arial"/>
                <w:sz w:val="14"/>
                <w:szCs w:val="14"/>
                <w:b w:val="1"/>
                <w:bCs w:val="1"/>
                <w:color w:val="auto"/>
              </w:rPr>
              <w:t>Identification No.)</w:t>
            </w:r>
          </w:p>
        </w:tc>
      </w:tr>
    </w:tbl>
    <w:p>
      <w:pPr>
        <w:spacing w:after="0" w:line="1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6155 El Camino Real</w:t>
      </w:r>
    </w:p>
    <w:p>
      <w:pPr>
        <w:jc w:val="center"/>
        <w:ind w:right="40"/>
        <w:spacing w:after="0" w:line="223" w:lineRule="auto"/>
        <w:rPr>
          <w:sz w:val="20"/>
          <w:szCs w:val="20"/>
          <w:color w:val="auto"/>
        </w:rPr>
      </w:pPr>
      <w:r>
        <w:rPr>
          <w:rFonts w:ascii="Arial" w:cs="Arial" w:eastAsia="Arial" w:hAnsi="Arial"/>
          <w:sz w:val="18"/>
          <w:szCs w:val="18"/>
          <w:b w:val="1"/>
          <w:bCs w:val="1"/>
          <w:color w:val="auto"/>
        </w:rPr>
        <w:t>Carlsbad, California 92009</w:t>
      </w:r>
    </w:p>
    <w:p>
      <w:pPr>
        <w:jc w:val="center"/>
        <w:ind w:right="40"/>
        <w:spacing w:after="0" w:line="226" w:lineRule="auto"/>
        <w:rPr>
          <w:sz w:val="20"/>
          <w:szCs w:val="20"/>
          <w:color w:val="auto"/>
        </w:rPr>
      </w:pPr>
      <w:r>
        <w:rPr>
          <w:rFonts w:ascii="Arial" w:cs="Arial" w:eastAsia="Arial" w:hAnsi="Arial"/>
          <w:sz w:val="18"/>
          <w:szCs w:val="18"/>
          <w:b w:val="1"/>
          <w:bCs w:val="1"/>
          <w:color w:val="auto"/>
        </w:rPr>
        <w:t>(760) 476-2200</w:t>
      </w:r>
    </w:p>
    <w:p>
      <w:pPr>
        <w:jc w:val="center"/>
        <w:ind w:right="40"/>
        <w:spacing w:after="0"/>
        <w:rPr>
          <w:sz w:val="20"/>
          <w:szCs w:val="20"/>
          <w:color w:val="auto"/>
        </w:rPr>
      </w:pPr>
      <w:r>
        <w:rPr>
          <w:rFonts w:ascii="Arial" w:cs="Arial" w:eastAsia="Arial" w:hAnsi="Arial"/>
          <w:sz w:val="14"/>
          <w:szCs w:val="14"/>
          <w:b w:val="1"/>
          <w:bCs w:val="1"/>
          <w:color w:val="auto"/>
        </w:rPr>
        <w:t>(Address of principal executive offices and telephone number)</w:t>
      </w:r>
    </w:p>
    <w:p>
      <w:pPr>
        <w:spacing w:after="0" w:line="11"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100" w:type="dxa"/>
            <w:vAlign w:val="bottom"/>
          </w:tcPr>
          <w:p>
            <w:pPr>
              <w:spacing w:after="0"/>
              <w:rPr>
                <w:sz w:val="16"/>
                <w:szCs w:val="16"/>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8"/>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Common Stock, par value $0.0001 per share</w:t>
            </w:r>
          </w:p>
        </w:tc>
        <w:tc>
          <w:tcPr>
            <w:tcW w:w="1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98"/>
              </w:rPr>
              <w:t>VSAT</w:t>
            </w: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6"/>
                <w:szCs w:val="16"/>
                <w:b w:val="1"/>
                <w:bCs w:val="1"/>
                <w:color w:val="auto"/>
              </w:rPr>
              <w:t>The Nasdaq Stock Market LLC</w:t>
            </w:r>
          </w:p>
        </w:tc>
      </w:tr>
    </w:tbl>
    <w:p>
      <w:pPr>
        <w:spacing w:after="0" w:line="28" w:lineRule="exact"/>
        <w:rPr>
          <w:sz w:val="24"/>
          <w:szCs w:val="24"/>
          <w:color w:val="auto"/>
        </w:rPr>
      </w:pPr>
    </w:p>
    <w:p>
      <w:pPr>
        <w:jc w:val="both"/>
        <w:ind w:right="260" w:firstLine="509"/>
        <w:spacing w:after="0" w:line="21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5640" w:val="left"/>
          <w:tab w:leader="none" w:pos="6400" w:val="left"/>
          <w:tab w:leader="none" w:pos="678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w:t>
      </w:r>
      <w:r>
        <w:rPr>
          <w:sz w:val="20"/>
          <w:szCs w:val="20"/>
          <w:color w:val="auto"/>
        </w:rPr>
        <w:tab/>
      </w:r>
      <w:r>
        <w:rPr>
          <w:rFonts w:ascii="MS PGothic" w:cs="MS PGothic" w:eastAsia="MS PGothic" w:hAnsi="MS PGothic"/>
          <w:sz w:val="16"/>
          <w:szCs w:val="16"/>
          <w:color w:val="auto"/>
        </w:rPr>
        <w:t>☐</w:t>
      </w:r>
    </w:p>
    <w:p>
      <w:pPr>
        <w:spacing w:after="0" w:line="54" w:lineRule="exact"/>
        <w:rPr>
          <w:sz w:val="24"/>
          <w:szCs w:val="24"/>
          <w:color w:val="auto"/>
        </w:rPr>
      </w:pPr>
    </w:p>
    <w:p>
      <w:pPr>
        <w:jc w:val="both"/>
        <w:ind w:right="660" w:firstLine="509"/>
        <w:spacing w:after="0" w:line="20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40" w:firstLine="509"/>
        <w:spacing w:after="0" w:line="22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1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00" w:type="dxa"/>
            <w:vAlign w:val="bottom"/>
          </w:tcPr>
          <w:p>
            <w:pPr>
              <w:ind w:left="284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p>
    <w:p>
      <w:pPr>
        <w:ind w:right="560" w:firstLine="509"/>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520" w:right="280"/>
        <w:spacing w:after="0" w:line="24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outstanding of the registrant’s common stock, $0.0001 par value, as of January 21, 2022 was 74,393,040.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391160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960" w:type="dxa"/>
            <w:vAlign w:val="bottom"/>
            <w:gridSpan w:val="10"/>
            <w:vMerge w:val="restart"/>
          </w:tcPr>
          <w:p>
            <w:pPr>
              <w:spacing w:after="0"/>
              <w:rPr>
                <w:rFonts w:ascii="Arial" w:cs="Arial" w:eastAsia="Arial" w:hAnsi="Arial"/>
                <w:sz w:val="18"/>
                <w:szCs w:val="18"/>
                <w:b w:val="1"/>
                <w:bCs w:val="1"/>
                <w:color w:val="0000FF"/>
                <w:w w:val="98"/>
              </w:rPr>
            </w:pPr>
            <w:hyperlink w:anchor="page3">
              <w:r>
                <w:rPr>
                  <w:rFonts w:ascii="Arial" w:cs="Arial" w:eastAsia="Arial" w:hAnsi="Arial"/>
                  <w:sz w:val="18"/>
                  <w:szCs w:val="18"/>
                  <w:b w:val="1"/>
                  <w:bCs w:val="1"/>
                  <w:color w:val="0000FF"/>
                  <w:w w:val="98"/>
                </w:rPr>
                <w:t>PART I. FINANCIAL INFORMATION</w:t>
              </w:r>
            </w:hyperlink>
          </w:p>
        </w:tc>
        <w:tc>
          <w:tcPr>
            <w:tcW w:w="7360" w:type="dxa"/>
            <w:vAlign w:val="bottom"/>
            <w:gridSpan w:val="12"/>
            <w:vMerge w:val="restart"/>
          </w:tcPr>
          <w:p>
            <w:pPr>
              <w:spacing w:after="0"/>
              <w:rPr>
                <w:sz w:val="16"/>
                <w:szCs w:val="16"/>
                <w:color w:val="auto"/>
              </w:rPr>
            </w:pP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2960" w:type="dxa"/>
            <w:vAlign w:val="bottom"/>
            <w:tcBorders>
              <w:bottom w:val="single" w:sz="8" w:color="0000FF"/>
            </w:tcBorders>
            <w:gridSpan w:val="10"/>
            <w:vMerge w:val="continue"/>
          </w:tcPr>
          <w:p>
            <w:pPr>
              <w:spacing w:after="0"/>
              <w:rPr>
                <w:sz w:val="14"/>
                <w:szCs w:val="14"/>
                <w:color w:val="auto"/>
              </w:rPr>
            </w:pPr>
          </w:p>
        </w:tc>
        <w:tc>
          <w:tcPr>
            <w:tcW w:w="7360" w:type="dxa"/>
            <w:vAlign w:val="bottom"/>
            <w:gridSpan w:val="12"/>
            <w:vMerge w:val="continue"/>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80" w:type="dxa"/>
            <w:vAlign w:val="bottom"/>
            <w:tcBorders>
              <w:bottom w:val="single" w:sz="8" w:color="0000FF"/>
            </w:tcBorders>
            <w:gridSpan w:val="11"/>
          </w:tcPr>
          <w:p>
            <w:pPr>
              <w:spacing w:after="0" w:line="182"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Item 1. Financial Statements (Unaudited)</w:t>
              </w:r>
            </w:hyperlink>
          </w:p>
        </w:tc>
        <w:tc>
          <w:tcPr>
            <w:tcW w:w="20" w:type="dxa"/>
            <w:vAlign w:val="bottom"/>
            <w:tcBorders>
              <w:bottom w:val="single" w:sz="8" w:color="0000EE"/>
            </w:tcBorders>
          </w:tcPr>
          <w:p>
            <w:pPr>
              <w:spacing w:after="0"/>
              <w:rPr>
                <w:sz w:val="15"/>
                <w:szCs w:val="15"/>
                <w:color w:val="auto"/>
              </w:rPr>
            </w:pPr>
          </w:p>
        </w:tc>
        <w:tc>
          <w:tcPr>
            <w:tcW w:w="7020" w:type="dxa"/>
            <w:vAlign w:val="bottom"/>
            <w:gridSpan w:val="10"/>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34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Condensed Consolidated Balance Sheets</w:t>
              </w:r>
            </w:hyperlink>
          </w:p>
        </w:tc>
        <w:tc>
          <w:tcPr>
            <w:tcW w:w="20" w:type="dxa"/>
            <w:vAlign w:val="bottom"/>
            <w:tcBorders>
              <w:bottom w:val="single" w:sz="8" w:color="0000EE"/>
            </w:tcBorders>
          </w:tcPr>
          <w:p>
            <w:pPr>
              <w:spacing w:after="0"/>
              <w:rPr>
                <w:sz w:val="15"/>
                <w:szCs w:val="15"/>
                <w:color w:val="auto"/>
              </w:rPr>
            </w:pPr>
          </w:p>
        </w:tc>
        <w:tc>
          <w:tcPr>
            <w:tcW w:w="6520" w:type="dxa"/>
            <w:vAlign w:val="bottom"/>
            <w:gridSpan w:val="8"/>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80" w:type="dxa"/>
            <w:vAlign w:val="bottom"/>
            <w:gridSpan w:val="21"/>
          </w:tcPr>
          <w:p>
            <w:pPr>
              <w:spacing w:after="0" w:line="182" w:lineRule="exact"/>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Operations and Comprehensive Income (Loss)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18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Consolidated Statements of Cash Flows</w:t>
              </w:r>
            </w:hyperlink>
          </w:p>
        </w:tc>
        <w:tc>
          <w:tcPr>
            <w:tcW w:w="2780" w:type="dxa"/>
            <w:vAlign w:val="bottom"/>
            <w:tcBorders>
              <w:top w:val="single" w:sz="8" w:color="0000FF"/>
            </w:tcBorders>
            <w:gridSpan w:val="4"/>
          </w:tcPr>
          <w:p>
            <w:pPr>
              <w:spacing w:after="0"/>
              <w:rPr>
                <w:sz w:val="15"/>
                <w:szCs w:val="15"/>
                <w:color w:val="auto"/>
              </w:rPr>
            </w:pPr>
          </w:p>
        </w:tc>
        <w:tc>
          <w:tcPr>
            <w:tcW w:w="2920" w:type="dxa"/>
            <w:vAlign w:val="bottom"/>
            <w:gridSpan w:val="2"/>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740" w:type="dxa"/>
            <w:vAlign w:val="bottom"/>
            <w:tcBorders>
              <w:bottom w:val="single" w:sz="8" w:color="0000FF"/>
            </w:tcBorders>
            <w:gridSpan w:val="14"/>
          </w:tcPr>
          <w:p>
            <w:pPr>
              <w:spacing w:after="0" w:line="182"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Condensed Consolidated Statements of Equity</w:t>
              </w:r>
            </w:hyperlink>
          </w:p>
        </w:tc>
        <w:tc>
          <w:tcPr>
            <w:tcW w:w="6140" w:type="dxa"/>
            <w:vAlign w:val="bottom"/>
            <w:gridSpan w:val="7"/>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780" w:type="dxa"/>
            <w:vAlign w:val="bottom"/>
            <w:tcBorders>
              <w:bottom w:val="single" w:sz="8" w:color="0000FF"/>
            </w:tcBorders>
            <w:gridSpan w:val="16"/>
          </w:tcPr>
          <w:p>
            <w:pPr>
              <w:spacing w:after="0" w:line="182" w:lineRule="exact"/>
              <w:rPr>
                <w:rFonts w:ascii="Arial" w:cs="Arial" w:eastAsia="Arial" w:hAnsi="Arial"/>
                <w:sz w:val="18"/>
                <w:szCs w:val="18"/>
                <w:color w:val="0000FF"/>
                <w:w w:val="99"/>
              </w:rPr>
            </w:pPr>
            <w:hyperlink w:anchor="page8">
              <w:r>
                <w:rPr>
                  <w:rFonts w:ascii="Arial" w:cs="Arial" w:eastAsia="Arial" w:hAnsi="Arial"/>
                  <w:sz w:val="18"/>
                  <w:szCs w:val="18"/>
                  <w:color w:val="0000FF"/>
                  <w:w w:val="99"/>
                </w:rPr>
                <w:t>Notes to the Condensed Consolidated Financial Statements</w:t>
              </w:r>
            </w:hyperlink>
          </w:p>
        </w:tc>
        <w:tc>
          <w:tcPr>
            <w:tcW w:w="20" w:type="dxa"/>
            <w:vAlign w:val="bottom"/>
            <w:tcBorders>
              <w:bottom w:val="single" w:sz="8" w:color="0000EE"/>
            </w:tcBorders>
          </w:tcPr>
          <w:p>
            <w:pPr>
              <w:spacing w:after="0"/>
              <w:rPr>
                <w:sz w:val="15"/>
                <w:szCs w:val="15"/>
                <w:color w:val="auto"/>
              </w:rPr>
            </w:pPr>
          </w:p>
        </w:tc>
        <w:tc>
          <w:tcPr>
            <w:tcW w:w="5080" w:type="dxa"/>
            <w:vAlign w:val="bottom"/>
            <w:gridSpan w:val="4"/>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20" w:type="dxa"/>
            <w:vAlign w:val="bottom"/>
            <w:tcBorders>
              <w:bottom w:val="single" w:sz="8" w:color="0000EE"/>
            </w:tcBorders>
          </w:tcPr>
          <w:p>
            <w:pPr>
              <w:spacing w:after="0"/>
              <w:rPr>
                <w:sz w:val="15"/>
                <w:szCs w:val="15"/>
                <w:color w:val="auto"/>
              </w:rPr>
            </w:pPr>
          </w:p>
        </w:tc>
        <w:tc>
          <w:tcPr>
            <w:tcW w:w="7680" w:type="dxa"/>
            <w:vAlign w:val="bottom"/>
            <w:tcBorders>
              <w:bottom w:val="single" w:sz="8" w:color="0000FF"/>
            </w:tcBorders>
            <w:gridSpan w:val="21"/>
          </w:tcPr>
          <w:p>
            <w:pPr>
              <w:spacing w:after="0" w:line="182" w:lineRule="exact"/>
              <w:rPr>
                <w:rFonts w:ascii="Arial" w:cs="Arial" w:eastAsia="Arial" w:hAnsi="Arial"/>
                <w:sz w:val="18"/>
                <w:szCs w:val="18"/>
                <w:color w:val="0000FF"/>
                <w:w w:val="99"/>
              </w:rPr>
            </w:pPr>
            <w:hyperlink w:anchor="page36">
              <w:r>
                <w:rPr>
                  <w:rFonts w:ascii="Arial" w:cs="Arial" w:eastAsia="Arial" w:hAnsi="Arial"/>
                  <w:sz w:val="18"/>
                  <w:szCs w:val="18"/>
                  <w:color w:val="0000FF"/>
                  <w:w w:val="99"/>
                </w:rPr>
                <w:t>Item 2. Management’s Discussion and Analysis of Financial Condition and Results of Operations</w:t>
              </w:r>
            </w:hyperlink>
          </w:p>
        </w:tc>
        <w:tc>
          <w:tcPr>
            <w:tcW w:w="264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3"/>
        </w:trPr>
        <w:tc>
          <w:tcPr>
            <w:tcW w:w="20" w:type="dxa"/>
            <w:vAlign w:val="bottom"/>
            <w:tcBorders>
              <w:bottom w:val="single" w:sz="8" w:color="0000EE"/>
            </w:tcBorders>
          </w:tcPr>
          <w:p>
            <w:pPr>
              <w:spacing w:after="0"/>
              <w:rPr>
                <w:sz w:val="15"/>
                <w:szCs w:val="15"/>
                <w:color w:val="auto"/>
              </w:rPr>
            </w:pPr>
          </w:p>
        </w:tc>
        <w:tc>
          <w:tcPr>
            <w:tcW w:w="580" w:type="dxa"/>
            <w:vAlign w:val="bottom"/>
            <w:tcBorders>
              <w:bottom w:val="single" w:sz="8" w:color="0000FF"/>
            </w:tcBorders>
            <w:gridSpan w:val="2"/>
          </w:tcPr>
          <w:p>
            <w:pPr>
              <w:spacing w:after="0" w:line="182" w:lineRule="exact"/>
              <w:rPr>
                <w:rFonts w:ascii="Arial" w:cs="Arial" w:eastAsia="Arial" w:hAnsi="Arial"/>
                <w:sz w:val="18"/>
                <w:szCs w:val="18"/>
                <w:color w:val="0000FF"/>
              </w:rPr>
            </w:pPr>
            <w:hyperlink w:anchor="page59">
              <w:r>
                <w:rPr>
                  <w:rFonts w:ascii="Arial" w:cs="Arial" w:eastAsia="Arial" w:hAnsi="Arial"/>
                  <w:sz w:val="18"/>
                  <w:szCs w:val="18"/>
                  <w:color w:val="0000FF"/>
                </w:rPr>
                <w:t>Item 3.</w:t>
              </w:r>
            </w:hyperlink>
          </w:p>
        </w:tc>
        <w:tc>
          <w:tcPr>
            <w:tcW w:w="4740" w:type="dxa"/>
            <w:vAlign w:val="bottom"/>
            <w:tcBorders>
              <w:bottom w:val="single" w:sz="8" w:color="0000FF"/>
            </w:tcBorders>
            <w:gridSpan w:val="17"/>
          </w:tcPr>
          <w:p>
            <w:pPr>
              <w:ind w:left="20"/>
              <w:spacing w:after="0" w:line="182" w:lineRule="exact"/>
              <w:rPr>
                <w:rFonts w:ascii="Arial" w:cs="Arial" w:eastAsia="Arial" w:hAnsi="Arial"/>
                <w:sz w:val="18"/>
                <w:szCs w:val="18"/>
                <w:color w:val="0000FF"/>
                <w:w w:val="99"/>
              </w:rPr>
            </w:pPr>
            <w:hyperlink w:anchor="page59">
              <w:r>
                <w:rPr>
                  <w:rFonts w:ascii="Arial" w:cs="Arial" w:eastAsia="Arial" w:hAnsi="Arial"/>
                  <w:sz w:val="18"/>
                  <w:szCs w:val="18"/>
                  <w:color w:val="0000FF"/>
                  <w:w w:val="99"/>
                </w:rPr>
                <w:t>Quantitative and Qualitative Disclosures About Market Risk</w:t>
              </w:r>
            </w:hyperlink>
          </w:p>
        </w:tc>
        <w:tc>
          <w:tcPr>
            <w:tcW w:w="5000" w:type="dxa"/>
            <w:vAlign w:val="bottom"/>
            <w:gridSpan w:val="3"/>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83"/>
        </w:trPr>
        <w:tc>
          <w:tcPr>
            <w:tcW w:w="20" w:type="dxa"/>
            <w:vAlign w:val="bottom"/>
            <w:tcBorders>
              <w:bottom w:val="single" w:sz="8" w:color="0000EE"/>
            </w:tcBorders>
          </w:tcPr>
          <w:p>
            <w:pPr>
              <w:spacing w:after="0"/>
              <w:rPr>
                <w:sz w:val="15"/>
                <w:szCs w:val="15"/>
                <w:color w:val="auto"/>
              </w:rPr>
            </w:pPr>
          </w:p>
        </w:tc>
        <w:tc>
          <w:tcPr>
            <w:tcW w:w="580" w:type="dxa"/>
            <w:vAlign w:val="bottom"/>
            <w:tcBorders>
              <w:bottom w:val="single" w:sz="8" w:color="0000FF"/>
            </w:tcBorders>
            <w:gridSpan w:val="2"/>
          </w:tcPr>
          <w:p>
            <w:pPr>
              <w:spacing w:after="0" w:line="182" w:lineRule="exact"/>
              <w:rPr>
                <w:rFonts w:ascii="Arial" w:cs="Arial" w:eastAsia="Arial" w:hAnsi="Arial"/>
                <w:sz w:val="18"/>
                <w:szCs w:val="18"/>
                <w:color w:val="0000FF"/>
              </w:rPr>
            </w:pPr>
            <w:hyperlink w:anchor="page60">
              <w:r>
                <w:rPr>
                  <w:rFonts w:ascii="Arial" w:cs="Arial" w:eastAsia="Arial" w:hAnsi="Arial"/>
                  <w:sz w:val="18"/>
                  <w:szCs w:val="18"/>
                  <w:color w:val="0000FF"/>
                </w:rPr>
                <w:t>Item 4.</w:t>
              </w:r>
            </w:hyperlink>
          </w:p>
        </w:tc>
        <w:tc>
          <w:tcPr>
            <w:tcW w:w="2020" w:type="dxa"/>
            <w:vAlign w:val="bottom"/>
            <w:tcBorders>
              <w:bottom w:val="single" w:sz="8" w:color="0000FF"/>
            </w:tcBorders>
            <w:gridSpan w:val="5"/>
          </w:tcPr>
          <w:p>
            <w:pPr>
              <w:ind w:left="20"/>
              <w:spacing w:after="0" w:line="182" w:lineRule="exact"/>
              <w:rPr>
                <w:rFonts w:ascii="Arial" w:cs="Arial" w:eastAsia="Arial" w:hAnsi="Arial"/>
                <w:sz w:val="18"/>
                <w:szCs w:val="18"/>
                <w:color w:val="0000FF"/>
                <w:w w:val="99"/>
              </w:rPr>
            </w:pPr>
            <w:hyperlink w:anchor="page60">
              <w:r>
                <w:rPr>
                  <w:rFonts w:ascii="Arial" w:cs="Arial" w:eastAsia="Arial" w:hAnsi="Arial"/>
                  <w:sz w:val="18"/>
                  <w:szCs w:val="18"/>
                  <w:color w:val="0000FF"/>
                  <w:w w:val="99"/>
                </w:rPr>
                <w:t>Controls and Procedures</w:t>
              </w:r>
            </w:hyperlink>
          </w:p>
        </w:tc>
        <w:tc>
          <w:tcPr>
            <w:tcW w:w="20" w:type="dxa"/>
            <w:vAlign w:val="bottom"/>
            <w:tcBorders>
              <w:bottom w:val="single" w:sz="8" w:color="0000EE"/>
            </w:tcBorders>
          </w:tcPr>
          <w:p>
            <w:pPr>
              <w:spacing w:after="0"/>
              <w:rPr>
                <w:sz w:val="15"/>
                <w:szCs w:val="15"/>
                <w:color w:val="auto"/>
              </w:rPr>
            </w:pPr>
          </w:p>
        </w:tc>
        <w:tc>
          <w:tcPr>
            <w:tcW w:w="7700" w:type="dxa"/>
            <w:vAlign w:val="bottom"/>
            <w:gridSpan w:val="14"/>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82"/>
        </w:trPr>
        <w:tc>
          <w:tcPr>
            <w:tcW w:w="20" w:type="dxa"/>
            <w:vAlign w:val="bottom"/>
            <w:tcBorders>
              <w:bottom w:val="single" w:sz="8" w:color="0000EE"/>
            </w:tcBorders>
          </w:tcPr>
          <w:p>
            <w:pPr>
              <w:spacing w:after="0"/>
              <w:rPr>
                <w:sz w:val="15"/>
                <w:szCs w:val="15"/>
                <w:color w:val="auto"/>
              </w:rPr>
            </w:pPr>
          </w:p>
        </w:tc>
        <w:tc>
          <w:tcPr>
            <w:tcW w:w="2620" w:type="dxa"/>
            <w:vAlign w:val="bottom"/>
            <w:tcBorders>
              <w:bottom w:val="single" w:sz="8" w:color="0000FF"/>
            </w:tcBorders>
            <w:gridSpan w:val="8"/>
          </w:tcPr>
          <w:p>
            <w:pPr>
              <w:spacing w:after="0" w:line="182" w:lineRule="exact"/>
              <w:rPr>
                <w:rFonts w:ascii="Arial" w:cs="Arial" w:eastAsia="Arial" w:hAnsi="Arial"/>
                <w:sz w:val="18"/>
                <w:szCs w:val="18"/>
                <w:b w:val="1"/>
                <w:bCs w:val="1"/>
                <w:color w:val="0000FF"/>
                <w:w w:val="96"/>
              </w:rPr>
            </w:pPr>
            <w:hyperlink w:anchor="page60">
              <w:r>
                <w:rPr>
                  <w:rFonts w:ascii="Arial" w:cs="Arial" w:eastAsia="Arial" w:hAnsi="Arial"/>
                  <w:sz w:val="18"/>
                  <w:szCs w:val="18"/>
                  <w:b w:val="1"/>
                  <w:bCs w:val="1"/>
                  <w:color w:val="0000FF"/>
                  <w:w w:val="96"/>
                </w:rPr>
                <w:t>PART II. OTHER INFORMATION</w:t>
              </w:r>
            </w:hyperlink>
          </w:p>
        </w:tc>
        <w:tc>
          <w:tcPr>
            <w:tcW w:w="40" w:type="dxa"/>
            <w:vAlign w:val="bottom"/>
            <w:tcBorders>
              <w:bottom w:val="single" w:sz="8" w:color="0000FF"/>
            </w:tcBorders>
          </w:tcPr>
          <w:p>
            <w:pPr>
              <w:spacing w:after="0"/>
              <w:rPr>
                <w:sz w:val="15"/>
                <w:szCs w:val="15"/>
                <w:color w:val="auto"/>
              </w:rPr>
            </w:pPr>
          </w:p>
        </w:tc>
        <w:tc>
          <w:tcPr>
            <w:tcW w:w="7660" w:type="dxa"/>
            <w:vAlign w:val="bottom"/>
            <w:gridSpan w:val="13"/>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0000EE"/>
            </w:tcBorders>
          </w:tcPr>
          <w:p>
            <w:pPr>
              <w:spacing w:after="0"/>
              <w:rPr>
                <w:sz w:val="15"/>
                <w:szCs w:val="15"/>
                <w:color w:val="auto"/>
              </w:rPr>
            </w:pPr>
          </w:p>
        </w:tc>
        <w:tc>
          <w:tcPr>
            <w:tcW w:w="580" w:type="dxa"/>
            <w:vAlign w:val="bottom"/>
            <w:tcBorders>
              <w:bottom w:val="single" w:sz="8" w:color="0000FF"/>
            </w:tcBorders>
            <w:gridSpan w:val="2"/>
          </w:tcPr>
          <w:p>
            <w:pPr>
              <w:spacing w:after="0" w:line="182" w:lineRule="exact"/>
              <w:rPr>
                <w:rFonts w:ascii="Arial" w:cs="Arial" w:eastAsia="Arial" w:hAnsi="Arial"/>
                <w:sz w:val="18"/>
                <w:szCs w:val="18"/>
                <w:color w:val="0000FF"/>
              </w:rPr>
            </w:pPr>
            <w:hyperlink w:anchor="page60">
              <w:r>
                <w:rPr>
                  <w:rFonts w:ascii="Arial" w:cs="Arial" w:eastAsia="Arial" w:hAnsi="Arial"/>
                  <w:sz w:val="18"/>
                  <w:szCs w:val="18"/>
                  <w:color w:val="0000FF"/>
                </w:rPr>
                <w:t>Item 1.</w:t>
              </w:r>
            </w:hyperlink>
          </w:p>
        </w:tc>
        <w:tc>
          <w:tcPr>
            <w:tcW w:w="1520" w:type="dxa"/>
            <w:vAlign w:val="bottom"/>
            <w:tcBorders>
              <w:bottom w:val="single" w:sz="8" w:color="0000FF"/>
            </w:tcBorders>
            <w:gridSpan w:val="4"/>
          </w:tcPr>
          <w:p>
            <w:pPr>
              <w:ind w:left="20"/>
              <w:spacing w:after="0" w:line="182" w:lineRule="exact"/>
              <w:rPr>
                <w:rFonts w:ascii="Arial" w:cs="Arial" w:eastAsia="Arial" w:hAnsi="Arial"/>
                <w:sz w:val="18"/>
                <w:szCs w:val="18"/>
                <w:color w:val="0000FF"/>
                <w:w w:val="99"/>
              </w:rPr>
            </w:pPr>
            <w:hyperlink w:anchor="page60">
              <w:r>
                <w:rPr>
                  <w:rFonts w:ascii="Arial" w:cs="Arial" w:eastAsia="Arial" w:hAnsi="Arial"/>
                  <w:sz w:val="18"/>
                  <w:szCs w:val="18"/>
                  <w:color w:val="0000FF"/>
                  <w:w w:val="99"/>
                </w:rPr>
                <w:t>Legal Proceedings</w:t>
              </w:r>
            </w:hyperlink>
          </w:p>
        </w:tc>
        <w:tc>
          <w:tcPr>
            <w:tcW w:w="8220" w:type="dxa"/>
            <w:vAlign w:val="bottom"/>
            <w:gridSpan w:val="16"/>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320" w:type="dxa"/>
            <w:vAlign w:val="bottom"/>
            <w:gridSpan w:val="22"/>
          </w:tcPr>
          <w:p>
            <w:pPr>
              <w:spacing w:after="0" w:line="182" w:lineRule="exact"/>
              <w:rPr>
                <w:rFonts w:ascii="Arial" w:cs="Arial" w:eastAsia="Arial" w:hAnsi="Arial"/>
                <w:sz w:val="18"/>
                <w:szCs w:val="18"/>
                <w:color w:val="0000FF"/>
              </w:rPr>
            </w:pPr>
            <w:hyperlink w:anchor="page60">
              <w:r>
                <w:rPr>
                  <w:rFonts w:ascii="Arial" w:cs="Arial" w:eastAsia="Arial" w:hAnsi="Arial"/>
                  <w:sz w:val="18"/>
                  <w:szCs w:val="18"/>
                  <w:color w:val="0000FF"/>
                </w:rPr>
                <w:t>Item 1A. Risk Factors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bottom w:val="single" w:sz="8" w:color="0000EE"/>
            </w:tcBorders>
          </w:tcPr>
          <w:p>
            <w:pPr>
              <w:spacing w:after="0"/>
              <w:rPr>
                <w:sz w:val="15"/>
                <w:szCs w:val="15"/>
                <w:color w:val="auto"/>
              </w:rPr>
            </w:pPr>
          </w:p>
        </w:tc>
        <w:tc>
          <w:tcPr>
            <w:tcW w:w="58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rPr>
            </w:pPr>
            <w:hyperlink w:anchor="page61">
              <w:r>
                <w:rPr>
                  <w:rFonts w:ascii="Arial" w:cs="Arial" w:eastAsia="Arial" w:hAnsi="Arial"/>
                  <w:sz w:val="18"/>
                  <w:szCs w:val="18"/>
                  <w:color w:val="0000FF"/>
                </w:rPr>
                <w:t>Item 6.</w:t>
              </w:r>
            </w:hyperlink>
          </w:p>
        </w:tc>
        <w:tc>
          <w:tcPr>
            <w:tcW w:w="660" w:type="dxa"/>
            <w:vAlign w:val="bottom"/>
            <w:tcBorders>
              <w:top w:val="single" w:sz="8" w:color="0000FF"/>
              <w:bottom w:val="single" w:sz="8" w:color="0000FF"/>
            </w:tcBorders>
            <w:gridSpan w:val="2"/>
          </w:tcPr>
          <w:p>
            <w:pPr>
              <w:ind w:left="20"/>
              <w:spacing w:after="0" w:line="182" w:lineRule="exact"/>
              <w:rPr>
                <w:rFonts w:ascii="Arial" w:cs="Arial" w:eastAsia="Arial" w:hAnsi="Arial"/>
                <w:sz w:val="18"/>
                <w:szCs w:val="18"/>
                <w:color w:val="0000FF"/>
                <w:w w:val="98"/>
              </w:rPr>
            </w:pPr>
            <w:hyperlink w:anchor="page61">
              <w:r>
                <w:rPr>
                  <w:rFonts w:ascii="Arial" w:cs="Arial" w:eastAsia="Arial" w:hAnsi="Arial"/>
                  <w:sz w:val="18"/>
                  <w:szCs w:val="18"/>
                  <w:color w:val="0000FF"/>
                  <w:w w:val="98"/>
                </w:rPr>
                <w:t>Exhibits</w:t>
              </w:r>
            </w:hyperlink>
          </w:p>
        </w:tc>
        <w:tc>
          <w:tcPr>
            <w:tcW w:w="480" w:type="dxa"/>
            <w:vAlign w:val="bottom"/>
            <w:tcBorders>
              <w:top w:val="single" w:sz="8" w:color="0000FF"/>
            </w:tcBorders>
          </w:tcPr>
          <w:p>
            <w:pPr>
              <w:spacing w:after="0"/>
              <w:rPr>
                <w:sz w:val="15"/>
                <w:szCs w:val="15"/>
                <w:color w:val="auto"/>
              </w:rPr>
            </w:pPr>
          </w:p>
        </w:tc>
        <w:tc>
          <w:tcPr>
            <w:tcW w:w="8600" w:type="dxa"/>
            <w:vAlign w:val="bottom"/>
            <w:gridSpan w:val="17"/>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320" w:type="dxa"/>
            <w:vAlign w:val="bottom"/>
            <w:gridSpan w:val="22"/>
          </w:tcPr>
          <w:p>
            <w:pPr>
              <w:spacing w:after="0" w:line="182" w:lineRule="exact"/>
              <w:rPr>
                <w:rFonts w:ascii="Arial" w:cs="Arial" w:eastAsia="Arial" w:hAnsi="Arial"/>
                <w:sz w:val="18"/>
                <w:szCs w:val="18"/>
                <w:color w:val="0000FF"/>
              </w:rPr>
            </w:pPr>
            <w:hyperlink w:anchor="page62">
              <w:r>
                <w:rPr>
                  <w:rFonts w:ascii="Arial" w:cs="Arial" w:eastAsia="Arial" w:hAnsi="Arial"/>
                  <w:sz w:val="18"/>
                  <w:szCs w:val="18"/>
                  <w:color w:val="0000FF"/>
                </w:rPr>
                <w:t>Signatures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540" w:type="dxa"/>
            <w:vAlign w:val="bottom"/>
            <w:gridSpan w:val="17"/>
          </w:tcPr>
          <w:p>
            <w:pPr>
              <w:jc w:val="right"/>
              <w:ind w:right="174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6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2"/>
          </w:tcPr>
          <w:p>
            <w:pPr>
              <w:jc w:val="right"/>
              <w:ind w:right="948"/>
              <w:spacing w:after="0"/>
              <w:rPr>
                <w:sz w:val="20"/>
                <w:szCs w:val="20"/>
                <w:color w:val="auto"/>
              </w:rPr>
            </w:pPr>
            <w:r>
              <w:rPr>
                <w:rFonts w:ascii="Arial" w:cs="Arial" w:eastAsia="Arial" w:hAnsi="Arial"/>
                <w:sz w:val="14"/>
                <w:szCs w:val="14"/>
                <w:b w:val="1"/>
                <w:bCs w:val="1"/>
                <w:color w:val="auto"/>
              </w:rPr>
              <w:t>As of</w:t>
            </w:r>
          </w:p>
        </w:tc>
        <w:tc>
          <w:tcPr>
            <w:tcW w:w="380" w:type="dxa"/>
            <w:vAlign w:val="bottom"/>
          </w:tcPr>
          <w:p>
            <w:pPr>
              <w:spacing w:after="0"/>
              <w:rPr>
                <w:sz w:val="14"/>
                <w:szCs w:val="14"/>
                <w:color w:val="auto"/>
              </w:rPr>
            </w:pPr>
          </w:p>
        </w:tc>
        <w:tc>
          <w:tcPr>
            <w:tcW w:w="1440" w:type="dxa"/>
            <w:vAlign w:val="bottom"/>
          </w:tcPr>
          <w:p>
            <w:pPr>
              <w:jc w:val="right"/>
              <w:ind w:right="631"/>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r>
      <w:tr>
        <w:trPr>
          <w:trHeight w:val="189"/>
        </w:trPr>
        <w:tc>
          <w:tcPr>
            <w:tcW w:w="7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December 31, 2021</w:t>
            </w: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6"/>
                <w:szCs w:val="16"/>
                <w:color w:val="auto"/>
              </w:rPr>
            </w:pPr>
          </w:p>
        </w:tc>
      </w:tr>
      <w:tr>
        <w:trPr>
          <w:trHeight w:val="169"/>
        </w:trPr>
        <w:tc>
          <w:tcPr>
            <w:tcW w:w="7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right"/>
              <w:ind w:right="112"/>
              <w:spacing w:after="0"/>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79"/>
              </w:rPr>
              <w:t>thousands)</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7180" w:type="dxa"/>
            <w:vAlign w:val="bottom"/>
            <w:shd w:val="clear" w:color="auto" w:fill="CFF0FC"/>
          </w:tcPr>
          <w:p>
            <w:pPr>
              <w:ind w:left="3160"/>
              <w:spacing w:after="0" w:line="202"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166,032</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295,949</w:t>
            </w: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280"/>
              <w:spacing w:after="0" w:line="202" w:lineRule="exact"/>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363,013</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238,652</w:t>
            </w:r>
          </w:p>
        </w:tc>
        <w:tc>
          <w:tcPr>
            <w:tcW w:w="100" w:type="dxa"/>
            <w:vAlign w:val="bottom"/>
          </w:tcPr>
          <w:p>
            <w:pPr>
              <w:spacing w:after="0"/>
              <w:rPr>
                <w:sz w:val="17"/>
                <w:szCs w:val="17"/>
                <w:color w:val="auto"/>
              </w:rPr>
            </w:pPr>
          </w:p>
        </w:tc>
      </w:tr>
      <w:tr>
        <w:trPr>
          <w:trHeight w:val="203"/>
        </w:trPr>
        <w:tc>
          <w:tcPr>
            <w:tcW w:w="71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Inventories</w:t>
            </w:r>
          </w:p>
        </w:tc>
        <w:tc>
          <w:tcPr>
            <w:tcW w:w="22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353,993</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336,672</w:t>
            </w: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2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144,833</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119,960</w:t>
            </w:r>
          </w:p>
        </w:tc>
        <w:tc>
          <w:tcPr>
            <w:tcW w:w="100" w:type="dxa"/>
            <w:vAlign w:val="bottom"/>
          </w:tcPr>
          <w:p>
            <w:pPr>
              <w:spacing w:after="0"/>
              <w:rPr>
                <w:sz w:val="17"/>
                <w:szCs w:val="17"/>
                <w:color w:val="auto"/>
              </w:rPr>
            </w:pPr>
          </w:p>
        </w:tc>
      </w:tr>
      <w:tr>
        <w:trPr>
          <w:trHeight w:val="196"/>
        </w:trPr>
        <w:tc>
          <w:tcPr>
            <w:tcW w:w="718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1,027,871</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991,233</w:t>
            </w: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equipment and satellites, net</w:t>
            </w:r>
          </w:p>
        </w:tc>
        <w:tc>
          <w:tcPr>
            <w:tcW w:w="22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3,603,181</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3,050,483</w:t>
            </w: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344,499</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340,456</w:t>
            </w:r>
          </w:p>
        </w:tc>
        <w:tc>
          <w:tcPr>
            <w:tcW w:w="100" w:type="dxa"/>
            <w:vAlign w:val="bottom"/>
          </w:tcPr>
          <w:p>
            <w:pPr>
              <w:spacing w:after="0"/>
              <w:rPr>
                <w:sz w:val="17"/>
                <w:szCs w:val="17"/>
                <w:color w:val="auto"/>
              </w:rPr>
            </w:pPr>
          </w:p>
        </w:tc>
      </w:tr>
      <w:tr>
        <w:trPr>
          <w:trHeight w:val="203"/>
        </w:trPr>
        <w:tc>
          <w:tcPr>
            <w:tcW w:w="7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acquired intangible assets, net</w:t>
            </w:r>
          </w:p>
        </w:tc>
        <w:tc>
          <w:tcPr>
            <w:tcW w:w="22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237,850</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9,568</w:t>
            </w: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190,907</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122,300</w:t>
            </w:r>
          </w:p>
        </w:tc>
        <w:tc>
          <w:tcPr>
            <w:tcW w:w="100" w:type="dxa"/>
            <w:vAlign w:val="bottom"/>
          </w:tcPr>
          <w:p>
            <w:pPr>
              <w:spacing w:after="0"/>
              <w:rPr>
                <w:sz w:val="17"/>
                <w:szCs w:val="17"/>
                <w:color w:val="auto"/>
              </w:rPr>
            </w:pPr>
          </w:p>
        </w:tc>
      </w:tr>
      <w:tr>
        <w:trPr>
          <w:trHeight w:val="203"/>
        </w:trPr>
        <w:tc>
          <w:tcPr>
            <w:tcW w:w="71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682,486</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835,427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80" w:type="dxa"/>
            <w:vAlign w:val="bottom"/>
          </w:tcPr>
          <w:p>
            <w:pPr>
              <w:ind w:left="280"/>
              <w:spacing w:after="0" w:line="196" w:lineRule="exact"/>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6,086,794</w:t>
            </w:r>
          </w:p>
        </w:tc>
        <w:tc>
          <w:tcPr>
            <w:tcW w:w="28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5,349,467</w:t>
            </w:r>
          </w:p>
        </w:tc>
        <w:tc>
          <w:tcPr>
            <w:tcW w:w="100" w:type="dxa"/>
            <w:vAlign w:val="bottom"/>
          </w:tcPr>
          <w:p>
            <w:pPr>
              <w:spacing w:after="0"/>
              <w:rPr>
                <w:sz w:val="17"/>
                <w:szCs w:val="17"/>
                <w:color w:val="auto"/>
              </w:rPr>
            </w:pPr>
          </w:p>
        </w:tc>
      </w:tr>
      <w:tr>
        <w:trPr>
          <w:trHeight w:val="20"/>
        </w:trPr>
        <w:tc>
          <w:tcPr>
            <w:tcW w:w="7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180" w:type="dxa"/>
            <w:vAlign w:val="bottom"/>
            <w:shd w:val="clear" w:color="auto" w:fill="CFF0FC"/>
          </w:tcPr>
          <w:p>
            <w:pPr>
              <w:ind w:left="2420"/>
              <w:spacing w:after="0" w:line="183" w:lineRule="exact"/>
              <w:rPr>
                <w:sz w:val="20"/>
                <w:szCs w:val="20"/>
                <w:color w:val="auto"/>
              </w:rPr>
            </w:pPr>
            <w:r>
              <w:rPr>
                <w:rFonts w:ascii="Arial" w:cs="Arial" w:eastAsia="Arial" w:hAnsi="Arial"/>
                <w:sz w:val="18"/>
                <w:szCs w:val="18"/>
                <w:b w:val="1"/>
                <w:bCs w:val="1"/>
                <w:color w:val="auto"/>
              </w:rPr>
              <w:t>LIABILITIES AND EQUITY</w:t>
            </w:r>
          </w:p>
        </w:tc>
        <w:tc>
          <w:tcPr>
            <w:tcW w:w="22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18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251,335</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145,134</w:t>
            </w: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280"/>
              <w:spacing w:after="0" w:line="202" w:lineRule="exact"/>
              <w:rPr>
                <w:sz w:val="20"/>
                <w:szCs w:val="20"/>
                <w:color w:val="auto"/>
              </w:rPr>
            </w:pPr>
            <w:r>
              <w:rPr>
                <w:rFonts w:ascii="Arial" w:cs="Arial" w:eastAsia="Arial" w:hAnsi="Arial"/>
                <w:sz w:val="18"/>
                <w:szCs w:val="18"/>
                <w:color w:val="auto"/>
              </w:rPr>
              <w:t>Accrued and other liabilities</w:t>
            </w:r>
          </w:p>
        </w:tc>
        <w:tc>
          <w:tcPr>
            <w:tcW w:w="22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505,702</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532,831</w:t>
            </w:r>
          </w:p>
        </w:tc>
        <w:tc>
          <w:tcPr>
            <w:tcW w:w="100" w:type="dxa"/>
            <w:vAlign w:val="bottom"/>
          </w:tcPr>
          <w:p>
            <w:pPr>
              <w:spacing w:after="0"/>
              <w:rPr>
                <w:sz w:val="17"/>
                <w:szCs w:val="17"/>
                <w:color w:val="auto"/>
              </w:rPr>
            </w:pPr>
          </w:p>
        </w:tc>
      </w:tr>
      <w:tr>
        <w:trPr>
          <w:trHeight w:val="203"/>
        </w:trPr>
        <w:tc>
          <w:tcPr>
            <w:tcW w:w="718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Current portion of long-term debt</w:t>
            </w:r>
          </w:p>
        </w:tc>
        <w:tc>
          <w:tcPr>
            <w:tcW w:w="22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29,590</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30,472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80" w:type="dxa"/>
            <w:vAlign w:val="bottom"/>
          </w:tcPr>
          <w:p>
            <w:pPr>
              <w:ind w:left="280"/>
              <w:spacing w:after="0" w:line="196" w:lineRule="exact"/>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786,627</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708,437</w:t>
            </w:r>
          </w:p>
        </w:tc>
        <w:tc>
          <w:tcPr>
            <w:tcW w:w="100" w:type="dxa"/>
            <w:vAlign w:val="bottom"/>
          </w:tcPr>
          <w:p>
            <w:pPr>
              <w:spacing w:after="0"/>
              <w:rPr>
                <w:sz w:val="17"/>
                <w:szCs w:val="17"/>
                <w:color w:val="auto"/>
              </w:rPr>
            </w:pPr>
          </w:p>
        </w:tc>
      </w:tr>
      <w:tr>
        <w:trPr>
          <w:trHeight w:val="203"/>
        </w:trPr>
        <w:tc>
          <w:tcPr>
            <w:tcW w:w="7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20"/>
              <w:spacing w:after="0" w:line="202" w:lineRule="exact"/>
              <w:rPr>
                <w:sz w:val="20"/>
                <w:szCs w:val="20"/>
                <w:color w:val="auto"/>
              </w:rPr>
            </w:pPr>
            <w:r>
              <w:rPr>
                <w:rFonts w:ascii="Arial" w:cs="Arial" w:eastAsia="Arial" w:hAnsi="Arial"/>
                <w:sz w:val="18"/>
                <w:szCs w:val="18"/>
                <w:color w:val="auto"/>
              </w:rPr>
              <w:t>Senior notes</w:t>
            </w:r>
          </w:p>
        </w:tc>
        <w:tc>
          <w:tcPr>
            <w:tcW w:w="22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1,685,484</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1,683,264</w:t>
            </w:r>
          </w:p>
        </w:tc>
        <w:tc>
          <w:tcPr>
            <w:tcW w:w="100" w:type="dxa"/>
            <w:vAlign w:val="bottom"/>
          </w:tcPr>
          <w:p>
            <w:pPr>
              <w:spacing w:after="0"/>
              <w:rPr>
                <w:sz w:val="17"/>
                <w:szCs w:val="17"/>
                <w:color w:val="auto"/>
              </w:rPr>
            </w:pPr>
          </w:p>
        </w:tc>
      </w:tr>
      <w:tr>
        <w:trPr>
          <w:trHeight w:val="203"/>
        </w:trPr>
        <w:tc>
          <w:tcPr>
            <w:tcW w:w="7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long-term debt</w:t>
            </w:r>
          </w:p>
        </w:tc>
        <w:tc>
          <w:tcPr>
            <w:tcW w:w="22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463,908</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119,420</w:t>
            </w: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20"/>
              <w:spacing w:after="0" w:line="202" w:lineRule="exact"/>
              <w:rPr>
                <w:sz w:val="20"/>
                <w:szCs w:val="20"/>
                <w:color w:val="auto"/>
              </w:rPr>
            </w:pPr>
            <w:r>
              <w:rPr>
                <w:rFonts w:ascii="Arial" w:cs="Arial" w:eastAsia="Arial" w:hAnsi="Arial"/>
                <w:sz w:val="18"/>
                <w:szCs w:val="18"/>
                <w:color w:val="auto"/>
              </w:rPr>
              <w:t>Non-current operating lease liabilities</w:t>
            </w:r>
          </w:p>
        </w:tc>
        <w:tc>
          <w:tcPr>
            <w:tcW w:w="22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317,941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313,762</w:t>
            </w:r>
          </w:p>
        </w:tc>
        <w:tc>
          <w:tcPr>
            <w:tcW w:w="100" w:type="dxa"/>
            <w:vAlign w:val="bottom"/>
          </w:tcPr>
          <w:p>
            <w:pPr>
              <w:spacing w:after="0"/>
              <w:rPr>
                <w:sz w:val="17"/>
                <w:szCs w:val="17"/>
                <w:color w:val="auto"/>
              </w:rPr>
            </w:pPr>
          </w:p>
        </w:tc>
      </w:tr>
      <w:tr>
        <w:trPr>
          <w:trHeight w:val="202"/>
        </w:trPr>
        <w:tc>
          <w:tcPr>
            <w:tcW w:w="71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157,104</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137,350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80" w:type="dxa"/>
            <w:vAlign w:val="bottom"/>
          </w:tcPr>
          <w:p>
            <w:pPr>
              <w:ind w:left="280"/>
              <w:spacing w:after="0" w:line="196" w:lineRule="exact"/>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3,411,064</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2,962,233</w:t>
            </w:r>
          </w:p>
        </w:tc>
        <w:tc>
          <w:tcPr>
            <w:tcW w:w="100" w:type="dxa"/>
            <w:vAlign w:val="bottom"/>
          </w:tcPr>
          <w:p>
            <w:pPr>
              <w:spacing w:after="0"/>
              <w:rPr>
                <w:sz w:val="17"/>
                <w:szCs w:val="17"/>
                <w:color w:val="auto"/>
              </w:rPr>
            </w:pPr>
          </w:p>
        </w:tc>
      </w:tr>
      <w:tr>
        <w:trPr>
          <w:trHeight w:val="196"/>
        </w:trPr>
        <w:tc>
          <w:tcPr>
            <w:tcW w:w="7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Commitments and contingencies (Note 8)</w:t>
            </w:r>
          </w:p>
        </w:tc>
        <w:tc>
          <w:tcPr>
            <w:tcW w:w="2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20"/>
              <w:spacing w:after="0" w:line="202" w:lineRule="exact"/>
              <w:rPr>
                <w:sz w:val="20"/>
                <w:szCs w:val="20"/>
                <w:color w:val="auto"/>
              </w:rPr>
            </w:pPr>
            <w:r>
              <w:rPr>
                <w:rFonts w:ascii="Arial" w:cs="Arial" w:eastAsia="Arial" w:hAnsi="Arial"/>
                <w:sz w:val="18"/>
                <w:szCs w:val="18"/>
                <w:color w:val="auto"/>
              </w:rPr>
              <w:t>Equity:</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Viasat, Inc. stockholders’ equity</w:t>
            </w:r>
          </w:p>
        </w:tc>
        <w:tc>
          <w:tcPr>
            <w:tcW w:w="2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280"/>
              <w:spacing w:after="0" w:line="202" w:lineRule="exact"/>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r>
      <w:tr>
        <w:trPr>
          <w:trHeight w:val="203"/>
        </w:trPr>
        <w:tc>
          <w:tcPr>
            <w:tcW w:w="71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Paid-in capital</w:t>
            </w:r>
          </w:p>
        </w:tc>
        <w:tc>
          <w:tcPr>
            <w:tcW w:w="22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2,397,903</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2,092,595</w:t>
            </w: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280"/>
              <w:spacing w:after="0" w:line="202" w:lineRule="exact"/>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262,710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249,064</w:t>
            </w:r>
          </w:p>
        </w:tc>
        <w:tc>
          <w:tcPr>
            <w:tcW w:w="100" w:type="dxa"/>
            <w:vAlign w:val="bottom"/>
          </w:tcPr>
          <w:p>
            <w:pPr>
              <w:spacing w:after="0"/>
              <w:rPr>
                <w:sz w:val="17"/>
                <w:szCs w:val="17"/>
                <w:color w:val="auto"/>
              </w:rPr>
            </w:pPr>
          </w:p>
        </w:tc>
      </w:tr>
      <w:tr>
        <w:trPr>
          <w:trHeight w:val="203"/>
        </w:trPr>
        <w:tc>
          <w:tcPr>
            <w:tcW w:w="71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Accumulated other comprehensive (loss) income</w:t>
            </w:r>
          </w:p>
        </w:tc>
        <w:tc>
          <w:tcPr>
            <w:tcW w:w="22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128"/>
              <w:spacing w:after="0" w:line="202" w:lineRule="exact"/>
              <w:rPr>
                <w:sz w:val="20"/>
                <w:szCs w:val="20"/>
                <w:color w:val="auto"/>
              </w:rPr>
            </w:pPr>
            <w:r>
              <w:rPr>
                <w:rFonts w:ascii="Arial" w:cs="Arial" w:eastAsia="Arial" w:hAnsi="Arial"/>
                <w:sz w:val="18"/>
                <w:szCs w:val="18"/>
                <w:color w:val="auto"/>
              </w:rPr>
              <w:t>(26,170 )</w:t>
            </w:r>
          </w:p>
        </w:tc>
        <w:tc>
          <w:tcPr>
            <w:tcW w:w="3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9,803</w:t>
            </w:r>
          </w:p>
        </w:tc>
        <w:tc>
          <w:tcPr>
            <w:tcW w:w="100" w:type="dxa"/>
            <w:vAlign w:val="bottom"/>
            <w:shd w:val="clear" w:color="auto" w:fill="CFF0FC"/>
          </w:tcPr>
          <w:p>
            <w:pPr>
              <w:spacing w:after="0"/>
              <w:rPr>
                <w:sz w:val="17"/>
                <w:szCs w:val="17"/>
                <w:color w:val="auto"/>
              </w:rPr>
            </w:pPr>
          </w:p>
        </w:tc>
      </w:tr>
      <w:tr>
        <w:trPr>
          <w:trHeight w:val="196"/>
        </w:trPr>
        <w:tc>
          <w:tcPr>
            <w:tcW w:w="7180" w:type="dxa"/>
            <w:vAlign w:val="bottom"/>
            <w:tcBorders>
              <w:top w:val="single" w:sz="8" w:color="CFF0FC"/>
            </w:tcBorders>
          </w:tcPr>
          <w:p>
            <w:pPr>
              <w:ind w:left="280"/>
              <w:spacing w:after="0" w:line="196" w:lineRule="exact"/>
              <w:rPr>
                <w:sz w:val="20"/>
                <w:szCs w:val="20"/>
                <w:color w:val="auto"/>
              </w:rPr>
            </w:pPr>
            <w:r>
              <w:rPr>
                <w:rFonts w:ascii="Arial" w:cs="Arial" w:eastAsia="Arial" w:hAnsi="Arial"/>
                <w:sz w:val="18"/>
                <w:szCs w:val="18"/>
                <w:color w:val="auto"/>
              </w:rPr>
              <w:t>Total Viasat, Inc. stockholders’ equity</w:t>
            </w:r>
          </w:p>
        </w:tc>
        <w:tc>
          <w:tcPr>
            <w:tcW w:w="2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2,634,450</w:t>
            </w:r>
          </w:p>
        </w:tc>
        <w:tc>
          <w:tcPr>
            <w:tcW w:w="28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2,351,469</w:t>
            </w:r>
          </w:p>
        </w:tc>
        <w:tc>
          <w:tcPr>
            <w:tcW w:w="100" w:type="dxa"/>
            <w:vAlign w:val="bottom"/>
            <w:tcBorders>
              <w:top w:val="single" w:sz="8" w:color="CFF0FC"/>
            </w:tcBorders>
          </w:tcPr>
          <w:p>
            <w:pPr>
              <w:spacing w:after="0"/>
              <w:rPr>
                <w:sz w:val="17"/>
                <w:szCs w:val="17"/>
                <w:color w:val="auto"/>
              </w:rPr>
            </w:pPr>
          </w:p>
        </w:tc>
      </w:tr>
      <w:tr>
        <w:trPr>
          <w:trHeight w:val="203"/>
        </w:trPr>
        <w:tc>
          <w:tcPr>
            <w:tcW w:w="71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Noncontrolling interest in subsidiary</w:t>
            </w:r>
          </w:p>
        </w:tc>
        <w:tc>
          <w:tcPr>
            <w:tcW w:w="22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41,280</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35,765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80" w:type="dxa"/>
            <w:vAlign w:val="bottom"/>
          </w:tcPr>
          <w:p>
            <w:pPr>
              <w:ind w:left="520"/>
              <w:spacing w:after="0" w:line="196" w:lineRule="exact"/>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2,675,730</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2,387,234</w:t>
            </w:r>
          </w:p>
        </w:tc>
        <w:tc>
          <w:tcPr>
            <w:tcW w:w="100" w:type="dxa"/>
            <w:vAlign w:val="bottom"/>
          </w:tcPr>
          <w:p>
            <w:pPr>
              <w:spacing w:after="0"/>
              <w:rPr>
                <w:sz w:val="17"/>
                <w:szCs w:val="17"/>
                <w:color w:val="auto"/>
              </w:rPr>
            </w:pPr>
          </w:p>
        </w:tc>
      </w:tr>
      <w:tr>
        <w:trPr>
          <w:trHeight w:val="236"/>
        </w:trPr>
        <w:tc>
          <w:tcPr>
            <w:tcW w:w="7180" w:type="dxa"/>
            <w:vAlign w:val="bottom"/>
            <w:tcBorders>
              <w:bottom w:val="single" w:sz="8" w:color="CFF0FC"/>
            </w:tcBorders>
            <w:shd w:val="clear" w:color="auto" w:fill="CFF0FC"/>
          </w:tcPr>
          <w:p>
            <w:pPr>
              <w:ind w:left="140"/>
              <w:spacing w:after="0" w:line="196" w:lineRule="exact"/>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6,086,794</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5,349,467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-3194050</wp:posOffset>
            </wp:positionV>
            <wp:extent cx="685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-3194050</wp:posOffset>
            </wp:positionV>
            <wp:extent cx="5969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-2388235</wp:posOffset>
            </wp:positionV>
            <wp:extent cx="685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-2388235</wp:posOffset>
            </wp:positionV>
            <wp:extent cx="5969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-1607820</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-1607820</wp:posOffset>
            </wp:positionV>
            <wp:extent cx="5969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-561975</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-561975</wp:posOffset>
            </wp:positionV>
            <wp:extent cx="5969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-296545</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-296545</wp:posOffset>
            </wp:positionV>
            <wp:extent cx="5969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ind w:right="40"/>
        <w:spacing w:after="0" w:line="234" w:lineRule="auto"/>
        <w:rPr>
          <w:sz w:val="20"/>
          <w:szCs w:val="20"/>
          <w:color w:val="auto"/>
        </w:rPr>
      </w:pPr>
      <w:r>
        <w:rPr>
          <w:rFonts w:ascii="Arial" w:cs="Arial" w:eastAsia="Arial" w:hAnsi="Arial"/>
          <w:sz w:val="18"/>
          <w:szCs w:val="18"/>
          <w:b w:val="1"/>
          <w:bCs w:val="1"/>
          <w:color w:val="auto"/>
        </w:rPr>
        <w:t>AND COMPREHENSIVE INCOME (LOSS)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40" w:type="dxa"/>
            <w:vAlign w:val="bottom"/>
            <w:gridSpan w:val="5"/>
          </w:tcPr>
          <w:p>
            <w:pPr>
              <w:jc w:val="right"/>
              <w:ind w:right="1120"/>
              <w:spacing w:after="0"/>
              <w:rPr>
                <w:sz w:val="20"/>
                <w:szCs w:val="20"/>
                <w:color w:val="auto"/>
              </w:rPr>
            </w:pPr>
            <w:r>
              <w:rPr>
                <w:rFonts w:ascii="Arial" w:cs="Arial" w:eastAsia="Arial" w:hAnsi="Arial"/>
                <w:sz w:val="13"/>
                <w:szCs w:val="13"/>
                <w:b w:val="1"/>
                <w:bCs w:val="1"/>
                <w:color w:val="auto"/>
              </w:rPr>
              <w:t>Three Months Ended</w:t>
            </w:r>
          </w:p>
        </w:tc>
        <w:tc>
          <w:tcPr>
            <w:tcW w:w="160" w:type="dxa"/>
            <w:vAlign w:val="bottom"/>
          </w:tcPr>
          <w:p>
            <w:pPr>
              <w:spacing w:after="0"/>
              <w:rPr>
                <w:sz w:val="14"/>
                <w:szCs w:val="14"/>
                <w:color w:val="auto"/>
              </w:rPr>
            </w:pPr>
          </w:p>
        </w:tc>
        <w:tc>
          <w:tcPr>
            <w:tcW w:w="3140" w:type="dxa"/>
            <w:vAlign w:val="bottom"/>
            <w:gridSpan w:val="5"/>
          </w:tcPr>
          <w:p>
            <w:pPr>
              <w:jc w:val="right"/>
              <w:ind w:right="110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44"/>
        </w:trPr>
        <w:tc>
          <w:tcPr>
            <w:tcW w:w="45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149"/>
              <w:spacing w:after="0" w:line="144" w:lineRule="exact"/>
              <w:rPr>
                <w:sz w:val="20"/>
                <w:szCs w:val="20"/>
                <w:color w:val="auto"/>
              </w:rPr>
            </w:pPr>
            <w:r>
              <w:rPr>
                <w:rFonts w:ascii="Arial" w:cs="Arial" w:eastAsia="Arial" w:hAnsi="Arial"/>
                <w:sz w:val="13"/>
                <w:szCs w:val="13"/>
                <w:b w:val="1"/>
                <w:bCs w:val="1"/>
                <w:color w:val="auto"/>
              </w:rPr>
              <w:t>December 31, 2021</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149"/>
              <w:spacing w:after="0" w:line="144" w:lineRule="exact"/>
              <w:rPr>
                <w:sz w:val="20"/>
                <w:szCs w:val="20"/>
                <w:color w:val="auto"/>
              </w:rPr>
            </w:pPr>
            <w:r>
              <w:rPr>
                <w:rFonts w:ascii="Arial" w:cs="Arial" w:eastAsia="Arial" w:hAnsi="Arial"/>
                <w:sz w:val="13"/>
                <w:szCs w:val="13"/>
                <w:b w:val="1"/>
                <w:bCs w:val="1"/>
                <w:color w:val="auto"/>
              </w:rPr>
              <w:t>December 31, 2020</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149"/>
              <w:spacing w:after="0" w:line="144" w:lineRule="exact"/>
              <w:rPr>
                <w:sz w:val="20"/>
                <w:szCs w:val="20"/>
                <w:color w:val="auto"/>
              </w:rPr>
            </w:pPr>
            <w:r>
              <w:rPr>
                <w:rFonts w:ascii="Arial" w:cs="Arial" w:eastAsia="Arial" w:hAnsi="Arial"/>
                <w:sz w:val="13"/>
                <w:szCs w:val="13"/>
                <w:b w:val="1"/>
                <w:bCs w:val="1"/>
                <w:color w:val="auto"/>
                <w:w w:val="99"/>
              </w:rPr>
              <w:t>December 31, 2021</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128"/>
              <w:spacing w:after="0" w:line="144" w:lineRule="exact"/>
              <w:rPr>
                <w:sz w:val="20"/>
                <w:szCs w:val="20"/>
                <w:color w:val="auto"/>
              </w:rPr>
            </w:pPr>
            <w:r>
              <w:rPr>
                <w:rFonts w:ascii="Arial" w:cs="Arial" w:eastAsia="Arial" w:hAnsi="Arial"/>
                <w:sz w:val="13"/>
                <w:szCs w:val="13"/>
                <w:b w:val="1"/>
                <w:bCs w:val="1"/>
                <w:color w:val="auto"/>
              </w:rPr>
              <w:t>December 31, 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80" w:type="dxa"/>
            <w:vAlign w:val="bottom"/>
            <w:gridSpan w:val="5"/>
          </w:tcPr>
          <w:p>
            <w:pPr>
              <w:jc w:val="right"/>
              <w:ind w:right="640"/>
              <w:spacing w:after="0" w:line="142" w:lineRule="exact"/>
              <w:rPr>
                <w:sz w:val="20"/>
                <w:szCs w:val="20"/>
                <w:color w:val="auto"/>
              </w:rPr>
            </w:pPr>
            <w:r>
              <w:rPr>
                <w:rFonts w:ascii="Arial" w:cs="Arial" w:eastAsia="Arial" w:hAnsi="Arial"/>
                <w:sz w:val="13"/>
                <w:szCs w:val="13"/>
                <w:b w:val="1"/>
                <w:bCs w:val="1"/>
                <w:color w:val="auto"/>
              </w:rPr>
              <w:t>(In thousands, except per share data)</w:t>
            </w: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Revenues:</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200"/>
              <w:spacing w:after="0"/>
              <w:rPr>
                <w:sz w:val="20"/>
                <w:szCs w:val="20"/>
                <w:color w:val="auto"/>
              </w:rPr>
            </w:pPr>
            <w:r>
              <w:rPr>
                <w:rFonts w:ascii="Arial" w:cs="Arial" w:eastAsia="Arial" w:hAnsi="Arial"/>
                <w:sz w:val="14"/>
                <w:szCs w:val="14"/>
                <w:color w:val="auto"/>
              </w:rPr>
              <w:t>Product revenues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316,143</w:t>
            </w:r>
          </w:p>
        </w:tc>
        <w:tc>
          <w:tcPr>
            <w:tcW w:w="1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266,514</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918,073</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773,128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Service revenues</w:t>
            </w:r>
          </w:p>
        </w:tc>
        <w:tc>
          <w:tcPr>
            <w:tcW w:w="16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403,574</w:t>
            </w: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309,045</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1,167,858</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887,197</w:t>
            </w: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4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719,717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575,559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2,085,931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1,660,325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200"/>
              <w:spacing w:after="0"/>
              <w:rPr>
                <w:sz w:val="20"/>
                <w:szCs w:val="20"/>
                <w:color w:val="auto"/>
              </w:rPr>
            </w:pPr>
            <w:r>
              <w:rPr>
                <w:rFonts w:ascii="Arial" w:cs="Arial" w:eastAsia="Arial" w:hAnsi="Arial"/>
                <w:sz w:val="14"/>
                <w:szCs w:val="14"/>
                <w:color w:val="auto"/>
              </w:rPr>
              <w:t>Cost of product revenues</w:t>
            </w: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237,481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196,895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691,549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576,677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Cost of service revenues</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262,640</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194,394</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750,991</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587,494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200"/>
              <w:spacing w:after="0"/>
              <w:rPr>
                <w:sz w:val="20"/>
                <w:szCs w:val="20"/>
                <w:color w:val="auto"/>
              </w:rPr>
            </w:pPr>
            <w:r>
              <w:rPr>
                <w:rFonts w:ascii="Arial" w:cs="Arial" w:eastAsia="Arial" w:hAnsi="Arial"/>
                <w:sz w:val="14"/>
                <w:szCs w:val="14"/>
                <w:color w:val="auto"/>
              </w:rPr>
              <w:t>Selling, general and administrative</w:t>
            </w: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170,222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132,394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481,106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378,884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Independent research and development</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37,316</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28,803</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112,309</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83,970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200"/>
              <w:spacing w:after="0"/>
              <w:rPr>
                <w:sz w:val="20"/>
                <w:szCs w:val="20"/>
                <w:color w:val="auto"/>
              </w:rPr>
            </w:pPr>
            <w:r>
              <w:rPr>
                <w:rFonts w:ascii="Arial" w:cs="Arial" w:eastAsia="Arial" w:hAnsi="Arial"/>
                <w:sz w:val="14"/>
                <w:szCs w:val="14"/>
                <w:color w:val="auto"/>
              </w:rPr>
              <w:t>Amortization of acquired intangible assets</w:t>
            </w: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7,531</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1,313</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20,859</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Income from operations</w:t>
            </w: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4,527</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21,760</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29,117</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29,129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386</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520</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20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5"/>
                <w:szCs w:val="15"/>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4"/>
                <w:szCs w:val="14"/>
                <w:color w:val="auto"/>
              </w:rPr>
              <w:t>(5,411 )</w:t>
            </w:r>
          </w:p>
        </w:tc>
        <w:tc>
          <w:tcPr>
            <w:tcW w:w="160" w:type="dxa"/>
            <w:vAlign w:val="bottom"/>
          </w:tcPr>
          <w:p>
            <w:pPr>
              <w:spacing w:after="0"/>
              <w:rPr>
                <w:sz w:val="15"/>
                <w:szCs w:val="15"/>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4"/>
                <w:szCs w:val="14"/>
                <w:color w:val="auto"/>
              </w:rPr>
              <w:t>(7,880 )</w:t>
            </w:r>
          </w:p>
        </w:tc>
        <w:tc>
          <w:tcPr>
            <w:tcW w:w="160" w:type="dxa"/>
            <w:vAlign w:val="bottom"/>
          </w:tcPr>
          <w:p>
            <w:pPr>
              <w:spacing w:after="0"/>
              <w:rPr>
                <w:sz w:val="15"/>
                <w:szCs w:val="15"/>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4"/>
                <w:szCs w:val="14"/>
                <w:color w:val="auto"/>
              </w:rPr>
              <w:t>(17,796 )</w:t>
            </w:r>
          </w:p>
        </w:tc>
        <w:tc>
          <w:tcPr>
            <w:tcW w:w="160" w:type="dxa"/>
            <w:vAlign w:val="bottom"/>
          </w:tcPr>
          <w:p>
            <w:pPr>
              <w:spacing w:after="0"/>
              <w:rPr>
                <w:sz w:val="15"/>
                <w:szCs w:val="15"/>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4"/>
                <w:szCs w:val="14"/>
                <w:color w:val="auto"/>
              </w:rPr>
              <w:t>(27,194 )</w:t>
            </w:r>
          </w:p>
        </w:tc>
        <w:tc>
          <w:tcPr>
            <w:tcW w:w="0" w:type="dxa"/>
            <w:vAlign w:val="bottom"/>
          </w:tcPr>
          <w:p>
            <w:pPr>
              <w:spacing w:after="0"/>
              <w:rPr>
                <w:sz w:val="1"/>
                <w:szCs w:val="1"/>
                <w:color w:val="auto"/>
              </w:rPr>
            </w:pPr>
          </w:p>
        </w:tc>
      </w:tr>
      <w:tr>
        <w:trPr>
          <w:trHeight w:val="176"/>
        </w:trPr>
        <w:tc>
          <w:tcPr>
            <w:tcW w:w="45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income, net</w:t>
            </w:r>
          </w:p>
        </w:tc>
        <w:tc>
          <w:tcPr>
            <w:tcW w:w="16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4,118</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40" w:type="dxa"/>
            <w:vAlign w:val="bottom"/>
          </w:tcPr>
          <w:p>
            <w:pPr>
              <w:ind w:left="20"/>
              <w:spacing w:after="0"/>
              <w:rPr>
                <w:sz w:val="20"/>
                <w:szCs w:val="20"/>
                <w:color w:val="auto"/>
              </w:rPr>
            </w:pPr>
            <w:r>
              <w:rPr>
                <w:rFonts w:ascii="Arial" w:cs="Arial" w:eastAsia="Arial" w:hAnsi="Arial"/>
                <w:sz w:val="14"/>
                <w:szCs w:val="14"/>
                <w:color w:val="auto"/>
              </w:rPr>
              <w:t>(Loss) income before income taxes</w:t>
            </w:r>
          </w:p>
        </w:tc>
        <w:tc>
          <w:tcPr>
            <w:tcW w:w="160" w:type="dxa"/>
            <w:vAlign w:val="bottom"/>
          </w:tcPr>
          <w:p>
            <w:pPr>
              <w:spacing w:after="0"/>
              <w:rPr>
                <w:sz w:val="14"/>
                <w:szCs w:val="14"/>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4"/>
                <w:szCs w:val="14"/>
                <w:color w:val="auto"/>
              </w:rPr>
              <w:t>(498 )</w:t>
            </w: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13,994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15,959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2,409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1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(3,492 )</w:t>
            </w:r>
          </w:p>
        </w:tc>
        <w:tc>
          <w:tcPr>
            <w:tcW w:w="16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(7,008 )</w:t>
            </w: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3,469</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(573 )</w:t>
            </w:r>
          </w:p>
        </w:tc>
        <w:tc>
          <w:tcPr>
            <w:tcW w:w="0" w:type="dxa"/>
            <w:vAlign w:val="bottom"/>
          </w:tcPr>
          <w:p>
            <w:pPr>
              <w:spacing w:after="0"/>
              <w:rPr>
                <w:sz w:val="1"/>
                <w:szCs w:val="1"/>
                <w:color w:val="auto"/>
              </w:rPr>
            </w:pPr>
          </w:p>
        </w:tc>
      </w:tr>
      <w:tr>
        <w:trPr>
          <w:trHeight w:val="176"/>
        </w:trPr>
        <w:tc>
          <w:tcPr>
            <w:tcW w:w="4540" w:type="dxa"/>
            <w:vAlign w:val="bottom"/>
          </w:tcPr>
          <w:p>
            <w:pPr>
              <w:ind w:left="20"/>
              <w:spacing w:after="0"/>
              <w:rPr>
                <w:sz w:val="20"/>
                <w:szCs w:val="20"/>
                <w:color w:val="auto"/>
              </w:rPr>
            </w:pPr>
            <w:r>
              <w:rPr>
                <w:rFonts w:ascii="Arial" w:cs="Arial" w:eastAsia="Arial" w:hAnsi="Arial"/>
                <w:sz w:val="14"/>
                <w:szCs w:val="14"/>
                <w:color w:val="auto"/>
              </w:rPr>
              <w:t>Equity in income (loss) of unconsolidated affiliate, net</w:t>
            </w: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774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4"/>
                <w:szCs w:val="14"/>
                <w:color w:val="auto"/>
              </w:rPr>
              <w:t>(256 )</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788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 income</w:t>
            </w:r>
          </w:p>
        </w:tc>
        <w:tc>
          <w:tcPr>
            <w:tcW w:w="16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(3,990 )</w:t>
            </w: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7,760</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19,172</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540" w:type="dxa"/>
            <w:vAlign w:val="bottom"/>
          </w:tcPr>
          <w:p>
            <w:pPr>
              <w:ind w:left="20"/>
              <w:spacing w:after="0" w:line="153" w:lineRule="exact"/>
              <w:rPr>
                <w:sz w:val="20"/>
                <w:szCs w:val="20"/>
                <w:color w:val="auto"/>
              </w:rPr>
            </w:pPr>
            <w:r>
              <w:rPr>
                <w:rFonts w:ascii="Arial" w:cs="Arial" w:eastAsia="Arial" w:hAnsi="Arial"/>
                <w:sz w:val="14"/>
                <w:szCs w:val="14"/>
                <w:color w:val="auto"/>
              </w:rPr>
              <w:t>Less: net income attributable to</w:t>
            </w:r>
          </w:p>
        </w:tc>
        <w:tc>
          <w:tcPr>
            <w:tcW w:w="16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2,623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5,526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6,290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40" w:type="dxa"/>
            <w:vAlign w:val="bottom"/>
          </w:tcPr>
          <w:p>
            <w:pPr>
              <w:ind w:left="140"/>
              <w:spacing w:after="0" w:line="157" w:lineRule="exact"/>
              <w:rPr>
                <w:sz w:val="20"/>
                <w:szCs w:val="20"/>
                <w:color w:val="auto"/>
              </w:rPr>
            </w:pPr>
            <w:r>
              <w:rPr>
                <w:rFonts w:ascii="Arial" w:cs="Arial" w:eastAsia="Arial" w:hAnsi="Arial"/>
                <w:sz w:val="14"/>
                <w:szCs w:val="14"/>
                <w:color w:val="auto"/>
              </w:rPr>
              <w:t>noncontrolling interest, net of tax</w:t>
            </w: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 income attributable to Viasat, Inc.</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(6,613 )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6,760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13,646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(3,666 )</w:t>
            </w:r>
          </w:p>
        </w:tc>
        <w:tc>
          <w:tcPr>
            <w:tcW w:w="0" w:type="dxa"/>
            <w:vAlign w:val="bottom"/>
          </w:tcPr>
          <w:p>
            <w:pPr>
              <w:spacing w:after="0"/>
              <w:rPr>
                <w:sz w:val="1"/>
                <w:szCs w:val="1"/>
                <w:color w:val="auto"/>
              </w:rPr>
            </w:pPr>
          </w:p>
        </w:tc>
      </w:tr>
      <w:tr>
        <w:trPr>
          <w:trHeight w:val="134"/>
        </w:trPr>
        <w:tc>
          <w:tcPr>
            <w:tcW w:w="4540" w:type="dxa"/>
            <w:vAlign w:val="bottom"/>
            <w:tcBorders>
              <w:top w:val="single" w:sz="8" w:color="CFF0FC"/>
            </w:tcBorders>
          </w:tcPr>
          <w:p>
            <w:pPr>
              <w:ind w:left="20"/>
              <w:spacing w:after="0" w:line="134" w:lineRule="exact"/>
              <w:rPr>
                <w:sz w:val="20"/>
                <w:szCs w:val="20"/>
                <w:color w:val="auto"/>
              </w:rPr>
            </w:pPr>
            <w:r>
              <w:rPr>
                <w:rFonts w:ascii="Arial" w:cs="Arial" w:eastAsia="Arial" w:hAnsi="Arial"/>
                <w:sz w:val="14"/>
                <w:szCs w:val="14"/>
                <w:color w:val="auto"/>
              </w:rPr>
              <w:t>Basic net (loss) income per share attributable</w:t>
            </w:r>
          </w:p>
        </w:tc>
        <w:tc>
          <w:tcPr>
            <w:tcW w:w="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540" w:type="dxa"/>
            <w:vAlign w:val="bottom"/>
          </w:tcPr>
          <w:p>
            <w:pPr>
              <w:ind w:left="140"/>
              <w:spacing w:after="0"/>
              <w:rPr>
                <w:sz w:val="20"/>
                <w:szCs w:val="20"/>
                <w:color w:val="auto"/>
              </w:rPr>
            </w:pPr>
            <w:r>
              <w:rPr>
                <w:rFonts w:ascii="Arial" w:cs="Arial" w:eastAsia="Arial" w:hAnsi="Arial"/>
                <w:sz w:val="14"/>
                <w:szCs w:val="14"/>
                <w:color w:val="auto"/>
              </w:rPr>
              <w:t>to Viasat, Inc. common stockholders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80"/>
              <w:spacing w:after="0"/>
              <w:rPr>
                <w:sz w:val="20"/>
                <w:szCs w:val="20"/>
                <w:color w:val="auto"/>
              </w:rPr>
            </w:pPr>
            <w:r>
              <w:rPr>
                <w:rFonts w:ascii="Arial" w:cs="Arial" w:eastAsia="Arial" w:hAnsi="Arial"/>
                <w:sz w:val="14"/>
                <w:szCs w:val="14"/>
                <w:color w:val="auto"/>
              </w:rPr>
              <w:t>(0.09 )</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0.19</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0"/>
              <w:spacing w:after="0"/>
              <w:rPr>
                <w:sz w:val="20"/>
                <w:szCs w:val="20"/>
                <w:color w:val="auto"/>
              </w:rPr>
            </w:pPr>
            <w:r>
              <w:rPr>
                <w:rFonts w:ascii="Arial" w:cs="Arial" w:eastAsia="Arial" w:hAnsi="Arial"/>
                <w:sz w:val="14"/>
                <w:szCs w:val="14"/>
                <w:color w:val="auto"/>
              </w:rPr>
              <w:t>(0.06 )</w:t>
            </w:r>
          </w:p>
        </w:tc>
        <w:tc>
          <w:tcPr>
            <w:tcW w:w="0" w:type="dxa"/>
            <w:vAlign w:val="bottom"/>
          </w:tcPr>
          <w:p>
            <w:pPr>
              <w:spacing w:after="0"/>
              <w:rPr>
                <w:sz w:val="1"/>
                <w:szCs w:val="1"/>
                <w:color w:val="auto"/>
              </w:rPr>
            </w:pPr>
          </w:p>
        </w:tc>
      </w:tr>
      <w:tr>
        <w:trPr>
          <w:trHeight w:val="153"/>
        </w:trPr>
        <w:tc>
          <w:tcPr>
            <w:tcW w:w="454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color w:val="auto"/>
              </w:rPr>
              <w:t>Diluted net (loss) income per share attributable</w:t>
            </w:r>
          </w:p>
        </w:tc>
        <w:tc>
          <w:tcPr>
            <w:tcW w:w="1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5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to Viasat, Inc. common stockholders</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(0.09 )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0.10</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0.18</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(0.06 )</w:t>
            </w:r>
          </w:p>
        </w:tc>
        <w:tc>
          <w:tcPr>
            <w:tcW w:w="0" w:type="dxa"/>
            <w:vAlign w:val="bottom"/>
          </w:tcPr>
          <w:p>
            <w:pPr>
              <w:spacing w:after="0"/>
              <w:rPr>
                <w:sz w:val="1"/>
                <w:szCs w:val="1"/>
                <w:color w:val="auto"/>
              </w:rPr>
            </w:pPr>
          </w:p>
        </w:tc>
      </w:tr>
      <w:tr>
        <w:trPr>
          <w:trHeight w:val="153"/>
        </w:trPr>
        <w:tc>
          <w:tcPr>
            <w:tcW w:w="4540" w:type="dxa"/>
            <w:vAlign w:val="bottom"/>
          </w:tcPr>
          <w:p>
            <w:pPr>
              <w:ind w:left="20"/>
              <w:spacing w:after="0" w:line="153" w:lineRule="exact"/>
              <w:rPr>
                <w:sz w:val="20"/>
                <w:szCs w:val="20"/>
                <w:color w:val="auto"/>
              </w:rPr>
            </w:pPr>
            <w:r>
              <w:rPr>
                <w:rFonts w:ascii="Arial" w:cs="Arial" w:eastAsia="Arial" w:hAnsi="Arial"/>
                <w:sz w:val="14"/>
                <w:szCs w:val="14"/>
                <w:color w:val="auto"/>
              </w:rPr>
              <w:t>Shares used in computing basic net</w:t>
            </w: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540" w:type="dxa"/>
            <w:vAlign w:val="bottom"/>
          </w:tcPr>
          <w:p>
            <w:pPr>
              <w:ind w:left="140"/>
              <w:spacing w:after="0"/>
              <w:rPr>
                <w:sz w:val="20"/>
                <w:szCs w:val="20"/>
                <w:color w:val="auto"/>
              </w:rPr>
            </w:pPr>
            <w:r>
              <w:rPr>
                <w:rFonts w:ascii="Arial" w:cs="Arial" w:eastAsia="Arial" w:hAnsi="Arial"/>
                <w:sz w:val="14"/>
                <w:szCs w:val="14"/>
                <w:color w:val="auto"/>
              </w:rPr>
              <w:t>(loss) income per share</w:t>
            </w: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73,917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67,995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73,004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65,704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54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color w:val="auto"/>
              </w:rPr>
              <w:t>Shares used in computing diluted net</w:t>
            </w:r>
          </w:p>
        </w:tc>
        <w:tc>
          <w:tcPr>
            <w:tcW w:w="1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5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(loss) income per share</w:t>
            </w: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73,917</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68,668</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74,348</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65,704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20"/>
              <w:spacing w:after="0"/>
              <w:rPr>
                <w:sz w:val="20"/>
                <w:szCs w:val="20"/>
                <w:color w:val="auto"/>
              </w:rPr>
            </w:pPr>
            <w:r>
              <w:rPr>
                <w:rFonts w:ascii="Arial" w:cs="Arial" w:eastAsia="Arial" w:hAnsi="Arial"/>
                <w:sz w:val="14"/>
                <w:szCs w:val="14"/>
                <w:color w:val="auto"/>
              </w:rPr>
              <w:t>Comprehensive income (loss):</w:t>
            </w: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 income</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(3,990 )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7,760</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19,172</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54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Foreign currency translation adjustments, net</w:t>
            </w:r>
          </w:p>
        </w:tc>
        <w:tc>
          <w:tcPr>
            <w:tcW w:w="160" w:type="dxa"/>
            <w:vAlign w:val="bottom"/>
            <w:shd w:val="clear" w:color="auto" w:fill="CFF0FC"/>
          </w:tcPr>
          <w:p>
            <w:pPr>
              <w:spacing w:after="0"/>
              <w:rPr>
                <w:sz w:val="13"/>
                <w:szCs w:val="13"/>
                <w:color w:val="auto"/>
              </w:rPr>
            </w:pPr>
          </w:p>
        </w:tc>
        <w:tc>
          <w:tcPr>
            <w:tcW w:w="15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4"/>
                <w:szCs w:val="14"/>
                <w:color w:val="auto"/>
              </w:rPr>
              <w:t>(9,297 )</w:t>
            </w:r>
          </w:p>
        </w:tc>
        <w:tc>
          <w:tcPr>
            <w:tcW w:w="160" w:type="dxa"/>
            <w:vAlign w:val="bottom"/>
            <w:shd w:val="clear" w:color="auto" w:fill="CFF0FC"/>
          </w:tcPr>
          <w:p>
            <w:pPr>
              <w:spacing w:after="0"/>
              <w:rPr>
                <w:sz w:val="13"/>
                <w:szCs w:val="13"/>
                <w:color w:val="auto"/>
              </w:rPr>
            </w:pP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9,047</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5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4"/>
                <w:szCs w:val="14"/>
                <w:color w:val="auto"/>
              </w:rPr>
              <w:t>(35,973 )</w:t>
            </w:r>
          </w:p>
        </w:tc>
        <w:tc>
          <w:tcPr>
            <w:tcW w:w="160" w:type="dxa"/>
            <w:vAlign w:val="bottom"/>
            <w:shd w:val="clear" w:color="auto" w:fill="CFF0FC"/>
          </w:tcPr>
          <w:p>
            <w:pPr>
              <w:spacing w:after="0"/>
              <w:rPr>
                <w:sz w:val="13"/>
                <w:szCs w:val="13"/>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12,662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40" w:type="dxa"/>
            <w:vAlign w:val="bottom"/>
            <w:shd w:val="clear" w:color="auto" w:fill="CFF0FC"/>
          </w:tcPr>
          <w:p>
            <w:pPr>
              <w:ind w:left="320"/>
              <w:spacing w:after="0" w:line="157" w:lineRule="exact"/>
              <w:rPr>
                <w:sz w:val="20"/>
                <w:szCs w:val="20"/>
                <w:color w:val="auto"/>
              </w:rPr>
            </w:pPr>
            <w:r>
              <w:rPr>
                <w:rFonts w:ascii="Arial" w:cs="Arial" w:eastAsia="Arial" w:hAnsi="Arial"/>
                <w:sz w:val="14"/>
                <w:szCs w:val="14"/>
                <w:color w:val="auto"/>
              </w:rPr>
              <w:t>of tax</w:t>
            </w:r>
          </w:p>
        </w:tc>
        <w:tc>
          <w:tcPr>
            <w:tcW w:w="160" w:type="dxa"/>
            <w:vAlign w:val="bottom"/>
            <w:shd w:val="clear" w:color="auto" w:fill="CFF0FC"/>
          </w:tcPr>
          <w:p>
            <w:pPr>
              <w:spacing w:after="0"/>
              <w:rPr>
                <w:sz w:val="13"/>
                <w:szCs w:val="13"/>
                <w:color w:val="auto"/>
              </w:rPr>
            </w:pPr>
          </w:p>
        </w:tc>
        <w:tc>
          <w:tcPr>
            <w:tcW w:w="1560" w:type="dxa"/>
            <w:vAlign w:val="bottom"/>
            <w:gridSpan w:val="2"/>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500" w:type="dxa"/>
            <w:vAlign w:val="bottom"/>
            <w:gridSpan w:val="2"/>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40" w:type="dxa"/>
            <w:vAlign w:val="bottom"/>
          </w:tcPr>
          <w:p>
            <w:pPr>
              <w:ind w:left="20"/>
              <w:spacing w:after="0"/>
              <w:rPr>
                <w:sz w:val="20"/>
                <w:szCs w:val="20"/>
                <w:color w:val="auto"/>
              </w:rPr>
            </w:pPr>
            <w:r>
              <w:rPr>
                <w:rFonts w:ascii="Arial" w:cs="Arial" w:eastAsia="Arial" w:hAnsi="Arial"/>
                <w:sz w:val="14"/>
                <w:szCs w:val="14"/>
                <w:color w:val="auto"/>
              </w:rPr>
              <w:t>Other comprehensive (loss) income, net of tax</w:t>
            </w:r>
          </w:p>
        </w:tc>
        <w:tc>
          <w:tcPr>
            <w:tcW w:w="160" w:type="dxa"/>
            <w:vAlign w:val="bottom"/>
          </w:tcPr>
          <w:p>
            <w:pPr>
              <w:spacing w:after="0"/>
              <w:rPr>
                <w:sz w:val="14"/>
                <w:szCs w:val="14"/>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4"/>
                <w:szCs w:val="14"/>
                <w:color w:val="auto"/>
              </w:rPr>
              <w:t>(9,297 )</w:t>
            </w: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9,047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4"/>
                <w:szCs w:val="14"/>
                <w:color w:val="auto"/>
              </w:rPr>
              <w:t>(35,973 )</w:t>
            </w: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12,662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Comprehensive (loss) income</w:t>
            </w:r>
          </w:p>
        </w:tc>
        <w:tc>
          <w:tcPr>
            <w:tcW w:w="16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(13,287 )</w:t>
            </w: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16,807</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(16,801 )</w:t>
            </w: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15,286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540" w:type="dxa"/>
            <w:vAlign w:val="bottom"/>
          </w:tcPr>
          <w:p>
            <w:pPr>
              <w:ind w:left="20"/>
              <w:spacing w:after="0" w:line="153" w:lineRule="exact"/>
              <w:rPr>
                <w:sz w:val="20"/>
                <w:szCs w:val="20"/>
                <w:color w:val="auto"/>
              </w:rPr>
            </w:pPr>
            <w:r>
              <w:rPr>
                <w:rFonts w:ascii="Arial" w:cs="Arial" w:eastAsia="Arial" w:hAnsi="Arial"/>
                <w:sz w:val="14"/>
                <w:szCs w:val="14"/>
                <w:color w:val="auto"/>
              </w:rPr>
              <w:t>Less: comprehensive income attributable</w:t>
            </w:r>
          </w:p>
        </w:tc>
        <w:tc>
          <w:tcPr>
            <w:tcW w:w="16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2,623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5,526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6,290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40" w:type="dxa"/>
            <w:vAlign w:val="bottom"/>
          </w:tcPr>
          <w:p>
            <w:pPr>
              <w:ind w:left="140"/>
              <w:spacing w:after="0" w:line="157" w:lineRule="exact"/>
              <w:rPr>
                <w:sz w:val="20"/>
                <w:szCs w:val="20"/>
                <w:color w:val="auto"/>
              </w:rPr>
            </w:pPr>
            <w:r>
              <w:rPr>
                <w:rFonts w:ascii="Arial" w:cs="Arial" w:eastAsia="Arial" w:hAnsi="Arial"/>
                <w:sz w:val="14"/>
                <w:szCs w:val="14"/>
                <w:color w:val="auto"/>
              </w:rPr>
              <w:t>to noncontrolling interest, net of tax</w:t>
            </w: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540" w:type="dxa"/>
            <w:vAlign w:val="bottom"/>
            <w:shd w:val="clear" w:color="auto" w:fill="CFF0FC"/>
          </w:tcPr>
          <w:p>
            <w:pPr>
              <w:ind w:left="20"/>
              <w:spacing w:after="0" w:line="147" w:lineRule="exact"/>
              <w:rPr>
                <w:sz w:val="20"/>
                <w:szCs w:val="20"/>
                <w:color w:val="auto"/>
              </w:rPr>
            </w:pPr>
            <w:r>
              <w:rPr>
                <w:rFonts w:ascii="Arial" w:cs="Arial" w:eastAsia="Arial" w:hAnsi="Arial"/>
                <w:sz w:val="14"/>
                <w:szCs w:val="14"/>
                <w:color w:val="auto"/>
              </w:rPr>
              <w:t>Comprehensive (loss) income attributable to</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4"/>
                <w:szCs w:val="14"/>
                <w:color w:val="auto"/>
              </w:rPr>
              <w:t>(15,910 )</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15,807</w:t>
            </w:r>
          </w:p>
        </w:tc>
        <w:tc>
          <w:tcPr>
            <w:tcW w:w="100" w:type="dxa"/>
            <w:vAlign w:val="bottom"/>
            <w:shd w:val="clear" w:color="auto" w:fill="CFF0FC"/>
          </w:tcPr>
          <w:p>
            <w:pPr>
              <w:spacing w:after="0"/>
              <w:rPr>
                <w:sz w:val="12"/>
                <w:szCs w:val="12"/>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60" w:type="dxa"/>
            <w:vAlign w:val="bottom"/>
            <w:gridSpan w:val="3"/>
            <w:vMerge w:val="restart"/>
            <w:shd w:val="clear" w:color="auto" w:fill="CFF0FC"/>
          </w:tcPr>
          <w:p>
            <w:pPr>
              <w:jc w:val="right"/>
              <w:spacing w:after="0"/>
              <w:rPr>
                <w:sz w:val="20"/>
                <w:szCs w:val="20"/>
                <w:color w:val="auto"/>
              </w:rPr>
            </w:pPr>
            <w:r>
              <w:rPr>
                <w:rFonts w:ascii="Arial" w:cs="Arial" w:eastAsia="Arial" w:hAnsi="Arial"/>
                <w:sz w:val="14"/>
                <w:szCs w:val="14"/>
                <w:color w:val="auto"/>
              </w:rPr>
              <w:t>(22,327 ) $</w:t>
            </w: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8,996</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540" w:type="dxa"/>
            <w:vAlign w:val="bottom"/>
            <w:shd w:val="clear" w:color="auto" w:fill="CFF0FC"/>
          </w:tcPr>
          <w:p>
            <w:pPr>
              <w:ind w:left="140"/>
              <w:spacing w:after="0" w:line="110" w:lineRule="exact"/>
              <w:rPr>
                <w:sz w:val="20"/>
                <w:szCs w:val="20"/>
                <w:color w:val="auto"/>
              </w:rPr>
            </w:pPr>
            <w:r>
              <w:rPr>
                <w:rFonts w:ascii="Arial" w:cs="Arial" w:eastAsia="Arial" w:hAnsi="Arial"/>
                <w:sz w:val="12"/>
                <w:szCs w:val="12"/>
                <w:color w:val="auto"/>
              </w:rPr>
              <w:t>Viasat, Inc.</w:t>
            </w:r>
          </w:p>
        </w:tc>
        <w:tc>
          <w:tcPr>
            <w:tcW w:w="160" w:type="dxa"/>
            <w:vAlign w:val="bottom"/>
            <w:vMerge w:val="continue"/>
            <w:shd w:val="clear" w:color="auto" w:fill="CFF0FC"/>
          </w:tcPr>
          <w:p>
            <w:pPr>
              <w:spacing w:after="0"/>
              <w:rPr>
                <w:sz w:val="13"/>
                <w:szCs w:val="13"/>
                <w:color w:val="auto"/>
              </w:rPr>
            </w:pPr>
          </w:p>
        </w:tc>
        <w:tc>
          <w:tcPr>
            <w:tcW w:w="1560" w:type="dxa"/>
            <w:vAlign w:val="bottom"/>
            <w:gridSpan w:val="2"/>
            <w:vMerge w:val="continue"/>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14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1660" w:type="dxa"/>
            <w:vAlign w:val="bottom"/>
            <w:gridSpan w:val="3"/>
            <w:vMerge w:val="continue"/>
            <w:shd w:val="clear" w:color="auto" w:fill="CFF0FC"/>
          </w:tcPr>
          <w:p>
            <w:pPr>
              <w:spacing w:after="0"/>
              <w:rPr>
                <w:sz w:val="13"/>
                <w:szCs w:val="13"/>
                <w:color w:val="auto"/>
              </w:rPr>
            </w:pPr>
          </w:p>
        </w:tc>
        <w:tc>
          <w:tcPr>
            <w:tcW w:w="140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-4162425</wp:posOffset>
            </wp:positionV>
            <wp:extent cx="6032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-4162425</wp:posOffset>
            </wp:positionV>
            <wp:extent cx="5143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-4162425</wp:posOffset>
            </wp:positionV>
            <wp:extent cx="5143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-4162425</wp:posOffset>
            </wp:positionV>
            <wp:extent cx="5143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-2807970</wp:posOffset>
            </wp:positionV>
            <wp:extent cx="6032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-2807970</wp:posOffset>
            </wp:positionV>
            <wp:extent cx="5143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-2807970</wp:posOffset>
            </wp:positionV>
            <wp:extent cx="5143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-2807970</wp:posOffset>
            </wp:positionV>
            <wp:extent cx="5143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-2030730</wp:posOffset>
            </wp:positionV>
            <wp:extent cx="60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-2014220</wp:posOffset>
            </wp:positionV>
            <wp:extent cx="603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-2030730</wp:posOffset>
            </wp:positionV>
            <wp:extent cx="514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-2014220</wp:posOffset>
            </wp:positionV>
            <wp:extent cx="514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-2030730</wp:posOffset>
            </wp:positionV>
            <wp:extent cx="514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-2014220</wp:posOffset>
            </wp:positionV>
            <wp:extent cx="514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-2030730</wp:posOffset>
            </wp:positionV>
            <wp:extent cx="514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-2014220</wp:posOffset>
            </wp:positionV>
            <wp:extent cx="514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-647700</wp:posOffset>
            </wp:positionV>
            <wp:extent cx="6032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-647700</wp:posOffset>
            </wp:positionV>
            <wp:extent cx="5143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-647700</wp:posOffset>
            </wp:positionV>
            <wp:extent cx="5143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-647700</wp:posOffset>
            </wp:positionV>
            <wp:extent cx="5143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-24765</wp:posOffset>
            </wp:positionV>
            <wp:extent cx="603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514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514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514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514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920" w:type="dxa"/>
            <w:vAlign w:val="bottom"/>
            <w:gridSpan w:val="5"/>
          </w:tcPr>
          <w:p>
            <w:pPr>
              <w:jc w:val="right"/>
              <w:ind w:right="1350"/>
              <w:spacing w:after="0"/>
              <w:rPr>
                <w:sz w:val="20"/>
                <w:szCs w:val="20"/>
                <w:color w:val="auto"/>
              </w:rPr>
            </w:pPr>
            <w:r>
              <w:rPr>
                <w:rFonts w:ascii="Arial" w:cs="Arial" w:eastAsia="Arial" w:hAnsi="Arial"/>
                <w:sz w:val="14"/>
                <w:szCs w:val="14"/>
                <w:b w:val="1"/>
                <w:bCs w:val="1"/>
                <w:color w:val="auto"/>
              </w:rPr>
              <w:t>Nine Months Ended</w:t>
            </w:r>
          </w:p>
        </w:tc>
      </w:tr>
      <w:tr>
        <w:trPr>
          <w:trHeight w:val="169"/>
        </w:trPr>
        <w:tc>
          <w:tcPr>
            <w:tcW w:w="71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7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Pr>
          <w:p>
            <w:pPr>
              <w:spacing w:after="0"/>
              <w:rPr>
                <w:sz w:val="14"/>
                <w:szCs w:val="14"/>
                <w:color w:val="auto"/>
              </w:rPr>
            </w:pPr>
          </w:p>
        </w:tc>
      </w:tr>
      <w:tr>
        <w:trPr>
          <w:trHeight w:val="169"/>
        </w:trPr>
        <w:tc>
          <w:tcPr>
            <w:tcW w:w="7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jc w:val="right"/>
              <w:ind w:right="112"/>
              <w:spacing w:after="0"/>
              <w:rPr>
                <w:sz w:val="20"/>
                <w:szCs w:val="20"/>
                <w:color w:val="auto"/>
              </w:rPr>
            </w:pPr>
            <w:r>
              <w:rPr>
                <w:rFonts w:ascii="Arial" w:cs="Arial" w:eastAsia="Arial" w:hAnsi="Arial"/>
                <w:sz w:val="14"/>
                <w:szCs w:val="14"/>
                <w:b w:val="1"/>
                <w:bCs w:val="1"/>
                <w:color w:val="auto"/>
              </w:rPr>
              <w:t>(In</w:t>
            </w:r>
          </w:p>
        </w:tc>
        <w:tc>
          <w:tcPr>
            <w:tcW w:w="2140" w:type="dxa"/>
            <w:vAlign w:val="bottom"/>
            <w:gridSpan w:val="3"/>
          </w:tcPr>
          <w:p>
            <w:pPr>
              <w:jc w:val="center"/>
              <w:ind w:right="1451"/>
              <w:spacing w:after="0"/>
              <w:rPr>
                <w:sz w:val="20"/>
                <w:szCs w:val="20"/>
                <w:color w:val="auto"/>
              </w:rPr>
            </w:pPr>
            <w:r>
              <w:rPr>
                <w:rFonts w:ascii="Arial" w:cs="Arial" w:eastAsia="Arial" w:hAnsi="Arial"/>
                <w:sz w:val="14"/>
                <w:szCs w:val="14"/>
                <w:b w:val="1"/>
                <w:bCs w:val="1"/>
                <w:color w:val="auto"/>
                <w:w w:val="79"/>
              </w:rPr>
              <w:t>thousands)</w:t>
            </w:r>
          </w:p>
        </w:tc>
        <w:tc>
          <w:tcPr>
            <w:tcW w:w="80" w:type="dxa"/>
            <w:vAlign w:val="bottom"/>
          </w:tcPr>
          <w:p>
            <w:pPr>
              <w:spacing w:after="0"/>
              <w:rPr>
                <w:sz w:val="14"/>
                <w:szCs w:val="14"/>
                <w:color w:val="auto"/>
              </w:rPr>
            </w:pPr>
          </w:p>
        </w:tc>
      </w:tr>
      <w:tr>
        <w:trPr>
          <w:trHeight w:val="203"/>
        </w:trPr>
        <w:tc>
          <w:tcPr>
            <w:tcW w:w="7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100" w:type="dxa"/>
            <w:vAlign w:val="bottom"/>
          </w:tcPr>
          <w:p>
            <w:pPr>
              <w:ind w:left="280"/>
              <w:spacing w:after="0" w:line="202" w:lineRule="exact"/>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19,172</w:t>
            </w:r>
          </w:p>
        </w:tc>
        <w:tc>
          <w:tcPr>
            <w:tcW w:w="240" w:type="dxa"/>
            <w:vAlign w:val="bottom"/>
          </w:tcPr>
          <w:p>
            <w:pPr>
              <w:spacing w:after="0"/>
              <w:rPr>
                <w:sz w:val="17"/>
                <w:szCs w:val="17"/>
                <w:color w:val="auto"/>
              </w:rPr>
            </w:pPr>
          </w:p>
        </w:tc>
        <w:tc>
          <w:tcPr>
            <w:tcW w:w="22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2,624</w:t>
            </w:r>
          </w:p>
        </w:tc>
        <w:tc>
          <w:tcPr>
            <w:tcW w:w="80" w:type="dxa"/>
            <w:vAlign w:val="bottom"/>
          </w:tcPr>
          <w:p>
            <w:pPr>
              <w:spacing w:after="0"/>
              <w:rPr>
                <w:sz w:val="17"/>
                <w:szCs w:val="17"/>
                <w:color w:val="auto"/>
              </w:rPr>
            </w:pPr>
          </w:p>
        </w:tc>
      </w:tr>
      <w:tr>
        <w:trPr>
          <w:trHeight w:val="162"/>
        </w:trPr>
        <w:tc>
          <w:tcPr>
            <w:tcW w:w="71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b w:val="1"/>
                <w:bCs w:val="1"/>
                <w:color w:val="auto"/>
              </w:rPr>
              <w:t>Adjustments to reconcile net income to net cash provided by</w:t>
            </w:r>
          </w:p>
        </w:tc>
        <w:tc>
          <w:tcPr>
            <w:tcW w:w="220" w:type="dxa"/>
            <w:vAlign w:val="bottom"/>
            <w:shd w:val="clear" w:color="auto" w:fill="CFF0FC"/>
          </w:tcPr>
          <w:p>
            <w:pPr>
              <w:spacing w:after="0"/>
              <w:rPr>
                <w:sz w:val="14"/>
                <w:szCs w:val="14"/>
                <w:color w:val="auto"/>
              </w:rPr>
            </w:pPr>
          </w:p>
        </w:tc>
        <w:tc>
          <w:tcPr>
            <w:tcW w:w="1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216"/>
        </w:trPr>
        <w:tc>
          <w:tcPr>
            <w:tcW w:w="7100" w:type="dxa"/>
            <w:vAlign w:val="bottom"/>
            <w:shd w:val="clear" w:color="auto" w:fill="CFF0FC"/>
          </w:tcPr>
          <w:p>
            <w:pPr>
              <w:ind w:left="18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7100" w:type="dxa"/>
            <w:vAlign w:val="bottom"/>
          </w:tcPr>
          <w:p>
            <w:pPr>
              <w:ind w:left="520"/>
              <w:spacing w:after="0" w:line="202" w:lineRule="exact"/>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304,145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241,935</w:t>
            </w:r>
          </w:p>
        </w:tc>
        <w:tc>
          <w:tcPr>
            <w:tcW w:w="80" w:type="dxa"/>
            <w:vAlign w:val="bottom"/>
          </w:tcPr>
          <w:p>
            <w:pPr>
              <w:spacing w:after="0"/>
              <w:rPr>
                <w:sz w:val="17"/>
                <w:szCs w:val="17"/>
                <w:color w:val="auto"/>
              </w:rPr>
            </w:pPr>
          </w:p>
        </w:tc>
      </w:tr>
      <w:tr>
        <w:trPr>
          <w:trHeight w:val="203"/>
        </w:trPr>
        <w:tc>
          <w:tcPr>
            <w:tcW w:w="710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Amortization of intangible assets</w:t>
            </w:r>
          </w:p>
        </w:tc>
        <w:tc>
          <w:tcPr>
            <w:tcW w:w="22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65,343</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50,181</w:t>
            </w:r>
          </w:p>
        </w:tc>
        <w:tc>
          <w:tcPr>
            <w:tcW w:w="80" w:type="dxa"/>
            <w:vAlign w:val="bottom"/>
            <w:shd w:val="clear" w:color="auto" w:fill="CFF0FC"/>
          </w:tcPr>
          <w:p>
            <w:pPr>
              <w:spacing w:after="0"/>
              <w:rPr>
                <w:sz w:val="17"/>
                <w:szCs w:val="17"/>
                <w:color w:val="auto"/>
              </w:rPr>
            </w:pPr>
          </w:p>
        </w:tc>
      </w:tr>
      <w:tr>
        <w:trPr>
          <w:trHeight w:val="203"/>
        </w:trPr>
        <w:tc>
          <w:tcPr>
            <w:tcW w:w="7100" w:type="dxa"/>
            <w:vAlign w:val="bottom"/>
          </w:tcPr>
          <w:p>
            <w:pPr>
              <w:ind w:left="520"/>
              <w:spacing w:after="0" w:line="202" w:lineRule="exact"/>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64,676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64,967</w:t>
            </w:r>
          </w:p>
        </w:tc>
        <w:tc>
          <w:tcPr>
            <w:tcW w:w="80" w:type="dxa"/>
            <w:vAlign w:val="bottom"/>
          </w:tcPr>
          <w:p>
            <w:pPr>
              <w:spacing w:after="0"/>
              <w:rPr>
                <w:sz w:val="17"/>
                <w:szCs w:val="17"/>
                <w:color w:val="auto"/>
              </w:rPr>
            </w:pPr>
          </w:p>
        </w:tc>
      </w:tr>
      <w:tr>
        <w:trPr>
          <w:trHeight w:val="203"/>
        </w:trPr>
        <w:tc>
          <w:tcPr>
            <w:tcW w:w="710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Loss on disposition of fixed assets</w:t>
            </w:r>
          </w:p>
        </w:tc>
        <w:tc>
          <w:tcPr>
            <w:tcW w:w="22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32,383</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29,841</w:t>
            </w:r>
          </w:p>
        </w:tc>
        <w:tc>
          <w:tcPr>
            <w:tcW w:w="80" w:type="dxa"/>
            <w:vAlign w:val="bottom"/>
            <w:shd w:val="clear" w:color="auto" w:fill="CFF0FC"/>
          </w:tcPr>
          <w:p>
            <w:pPr>
              <w:spacing w:after="0"/>
              <w:rPr>
                <w:sz w:val="17"/>
                <w:szCs w:val="17"/>
                <w:color w:val="auto"/>
              </w:rPr>
            </w:pPr>
          </w:p>
        </w:tc>
      </w:tr>
      <w:tr>
        <w:trPr>
          <w:trHeight w:val="203"/>
        </w:trPr>
        <w:tc>
          <w:tcPr>
            <w:tcW w:w="7100" w:type="dxa"/>
            <w:vAlign w:val="bottom"/>
          </w:tcPr>
          <w:p>
            <w:pPr>
              <w:ind w:left="520"/>
              <w:spacing w:after="0" w:line="202" w:lineRule="exact"/>
              <w:rPr>
                <w:sz w:val="20"/>
                <w:szCs w:val="20"/>
                <w:color w:val="auto"/>
              </w:rPr>
            </w:pPr>
            <w:r>
              <w:rPr>
                <w:rFonts w:ascii="Arial" w:cs="Arial" w:eastAsia="Arial" w:hAnsi="Arial"/>
                <w:sz w:val="18"/>
                <w:szCs w:val="18"/>
                <w:color w:val="auto"/>
              </w:rPr>
              <w:t>Other non-cash adjustments</w:t>
            </w:r>
          </w:p>
        </w:tc>
        <w:tc>
          <w:tcPr>
            <w:tcW w:w="220" w:type="dxa"/>
            <w:vAlign w:val="bottom"/>
          </w:tcPr>
          <w:p>
            <w:pPr>
              <w:spacing w:after="0"/>
              <w:rPr>
                <w:sz w:val="17"/>
                <w:szCs w:val="17"/>
                <w:color w:val="auto"/>
              </w:rPr>
            </w:pPr>
          </w:p>
        </w:tc>
        <w:tc>
          <w:tcPr>
            <w:tcW w:w="1940" w:type="dxa"/>
            <w:vAlign w:val="bottom"/>
            <w:gridSpan w:val="2"/>
          </w:tcPr>
          <w:p>
            <w:pPr>
              <w:jc w:val="right"/>
              <w:ind w:right="105"/>
              <w:spacing w:after="0" w:line="202" w:lineRule="exact"/>
              <w:rPr>
                <w:sz w:val="20"/>
                <w:szCs w:val="20"/>
                <w:color w:val="auto"/>
              </w:rPr>
            </w:pPr>
            <w:r>
              <w:rPr>
                <w:rFonts w:ascii="Arial" w:cs="Arial" w:eastAsia="Arial" w:hAnsi="Arial"/>
                <w:sz w:val="18"/>
                <w:szCs w:val="18"/>
                <w:color w:val="auto"/>
              </w:rPr>
              <w:t>(932 )</w:t>
            </w:r>
          </w:p>
        </w:tc>
        <w:tc>
          <w:tcPr>
            <w:tcW w:w="22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3,611</w:t>
            </w:r>
          </w:p>
        </w:tc>
        <w:tc>
          <w:tcPr>
            <w:tcW w:w="80" w:type="dxa"/>
            <w:vAlign w:val="bottom"/>
          </w:tcPr>
          <w:p>
            <w:pPr>
              <w:spacing w:after="0"/>
              <w:rPr>
                <w:sz w:val="17"/>
                <w:szCs w:val="17"/>
                <w:color w:val="auto"/>
              </w:rPr>
            </w:pPr>
          </w:p>
        </w:tc>
      </w:tr>
      <w:tr>
        <w:trPr>
          <w:trHeight w:val="175"/>
        </w:trPr>
        <w:tc>
          <w:tcPr>
            <w:tcW w:w="7100" w:type="dxa"/>
            <w:vAlign w:val="bottom"/>
            <w:shd w:val="clear" w:color="auto" w:fill="CFF0FC"/>
          </w:tcPr>
          <w:p>
            <w:pPr>
              <w:ind w:left="280"/>
              <w:spacing w:after="0" w:line="175" w:lineRule="exact"/>
              <w:rPr>
                <w:sz w:val="20"/>
                <w:szCs w:val="20"/>
                <w:color w:val="auto"/>
              </w:rPr>
            </w:pPr>
            <w:r>
              <w:rPr>
                <w:rFonts w:ascii="Arial" w:cs="Arial" w:eastAsia="Arial" w:hAnsi="Arial"/>
                <w:sz w:val="18"/>
                <w:szCs w:val="18"/>
                <w:color w:val="auto"/>
              </w:rPr>
              <w:t>Increase (decrease) in cash resulting from changes in operating</w:t>
            </w:r>
          </w:p>
        </w:tc>
        <w:tc>
          <w:tcPr>
            <w:tcW w:w="220" w:type="dxa"/>
            <w:vAlign w:val="bottom"/>
            <w:shd w:val="clear" w:color="auto" w:fill="CFF0FC"/>
          </w:tcPr>
          <w:p>
            <w:pPr>
              <w:spacing w:after="0"/>
              <w:rPr>
                <w:sz w:val="15"/>
                <w:szCs w:val="15"/>
                <w:color w:val="auto"/>
              </w:rPr>
            </w:pPr>
          </w:p>
        </w:tc>
        <w:tc>
          <w:tcPr>
            <w:tcW w:w="17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7100" w:type="dxa"/>
            <w:vAlign w:val="bottom"/>
            <w:shd w:val="clear" w:color="auto" w:fill="CFF0FC"/>
          </w:tcPr>
          <w:p>
            <w:pPr>
              <w:ind w:left="420"/>
              <w:spacing w:after="0" w:line="203" w:lineRule="exact"/>
              <w:rPr>
                <w:sz w:val="20"/>
                <w:szCs w:val="20"/>
                <w:color w:val="auto"/>
              </w:rPr>
            </w:pPr>
            <w:r>
              <w:rPr>
                <w:rFonts w:ascii="Arial" w:cs="Arial" w:eastAsia="Arial" w:hAnsi="Arial"/>
                <w:sz w:val="18"/>
                <w:szCs w:val="18"/>
                <w:color w:val="auto"/>
              </w:rPr>
              <w:t>assets and liabilities, net of effect of acquisitions:</w:t>
            </w:r>
          </w:p>
        </w:tc>
        <w:tc>
          <w:tcPr>
            <w:tcW w:w="22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100" w:type="dxa"/>
            <w:vAlign w:val="bottom"/>
          </w:tcPr>
          <w:p>
            <w:pPr>
              <w:ind w:left="520"/>
              <w:spacing w:after="0" w:line="202" w:lineRule="exact"/>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7"/>
                <w:szCs w:val="17"/>
                <w:color w:val="auto"/>
              </w:rPr>
            </w:pPr>
          </w:p>
        </w:tc>
        <w:tc>
          <w:tcPr>
            <w:tcW w:w="1940" w:type="dxa"/>
            <w:vAlign w:val="bottom"/>
            <w:gridSpan w:val="2"/>
          </w:tcPr>
          <w:p>
            <w:pPr>
              <w:jc w:val="right"/>
              <w:ind w:right="105"/>
              <w:spacing w:after="0" w:line="202" w:lineRule="exact"/>
              <w:rPr>
                <w:sz w:val="20"/>
                <w:szCs w:val="20"/>
                <w:color w:val="auto"/>
              </w:rPr>
            </w:pPr>
            <w:r>
              <w:rPr>
                <w:rFonts w:ascii="Arial" w:cs="Arial" w:eastAsia="Arial" w:hAnsi="Arial"/>
                <w:sz w:val="18"/>
                <w:szCs w:val="18"/>
                <w:color w:val="auto"/>
              </w:rPr>
              <w:t>(58,166 )</w:t>
            </w:r>
          </w:p>
        </w:tc>
        <w:tc>
          <w:tcPr>
            <w:tcW w:w="22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123,374</w:t>
            </w:r>
          </w:p>
        </w:tc>
        <w:tc>
          <w:tcPr>
            <w:tcW w:w="80" w:type="dxa"/>
            <w:vAlign w:val="bottom"/>
          </w:tcPr>
          <w:p>
            <w:pPr>
              <w:spacing w:after="0"/>
              <w:rPr>
                <w:sz w:val="17"/>
                <w:szCs w:val="17"/>
                <w:color w:val="auto"/>
              </w:rPr>
            </w:pPr>
          </w:p>
        </w:tc>
      </w:tr>
      <w:tr>
        <w:trPr>
          <w:trHeight w:val="203"/>
        </w:trPr>
        <w:tc>
          <w:tcPr>
            <w:tcW w:w="710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Inventories</w:t>
            </w:r>
          </w:p>
        </w:tc>
        <w:tc>
          <w:tcPr>
            <w:tcW w:w="22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105"/>
              <w:spacing w:after="0" w:line="202" w:lineRule="exact"/>
              <w:rPr>
                <w:sz w:val="20"/>
                <w:szCs w:val="20"/>
                <w:color w:val="auto"/>
              </w:rPr>
            </w:pPr>
            <w:r>
              <w:rPr>
                <w:rFonts w:ascii="Arial" w:cs="Arial" w:eastAsia="Arial" w:hAnsi="Arial"/>
                <w:sz w:val="18"/>
                <w:szCs w:val="18"/>
                <w:color w:val="auto"/>
              </w:rPr>
              <w:t>(14,717 )</w:t>
            </w:r>
          </w:p>
        </w:tc>
        <w:tc>
          <w:tcPr>
            <w:tcW w:w="2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(39,988 )</w:t>
            </w:r>
          </w:p>
        </w:tc>
      </w:tr>
      <w:tr>
        <w:trPr>
          <w:trHeight w:val="203"/>
        </w:trPr>
        <w:tc>
          <w:tcPr>
            <w:tcW w:w="7100" w:type="dxa"/>
            <w:vAlign w:val="bottom"/>
          </w:tcPr>
          <w:p>
            <w:pPr>
              <w:ind w:left="520"/>
              <w:spacing w:after="0" w:line="202" w:lineRule="exact"/>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25,141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24,017</w:t>
            </w:r>
          </w:p>
        </w:tc>
        <w:tc>
          <w:tcPr>
            <w:tcW w:w="80" w:type="dxa"/>
            <w:vAlign w:val="bottom"/>
          </w:tcPr>
          <w:p>
            <w:pPr>
              <w:spacing w:after="0"/>
              <w:rPr>
                <w:sz w:val="17"/>
                <w:szCs w:val="17"/>
                <w:color w:val="auto"/>
              </w:rPr>
            </w:pPr>
          </w:p>
        </w:tc>
      </w:tr>
      <w:tr>
        <w:trPr>
          <w:trHeight w:val="203"/>
        </w:trPr>
        <w:tc>
          <w:tcPr>
            <w:tcW w:w="710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49,718</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(39,004 )</w:t>
            </w:r>
          </w:p>
        </w:tc>
      </w:tr>
      <w:tr>
        <w:trPr>
          <w:trHeight w:val="203"/>
        </w:trPr>
        <w:tc>
          <w:tcPr>
            <w:tcW w:w="7100" w:type="dxa"/>
            <w:vAlign w:val="bottom"/>
          </w:tcPr>
          <w:p>
            <w:pPr>
              <w:ind w:left="520"/>
              <w:spacing w:after="0" w:line="202" w:lineRule="exact"/>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7"/>
                <w:szCs w:val="17"/>
                <w:color w:val="auto"/>
              </w:rPr>
            </w:pPr>
          </w:p>
        </w:tc>
        <w:tc>
          <w:tcPr>
            <w:tcW w:w="1940" w:type="dxa"/>
            <w:vAlign w:val="bottom"/>
            <w:gridSpan w:val="2"/>
          </w:tcPr>
          <w:p>
            <w:pPr>
              <w:jc w:val="right"/>
              <w:ind w:right="105"/>
              <w:spacing w:after="0" w:line="202" w:lineRule="exact"/>
              <w:rPr>
                <w:sz w:val="20"/>
                <w:szCs w:val="20"/>
                <w:color w:val="auto"/>
              </w:rPr>
            </w:pPr>
            <w:r>
              <w:rPr>
                <w:rFonts w:ascii="Arial" w:cs="Arial" w:eastAsia="Arial" w:hAnsi="Arial"/>
                <w:sz w:val="18"/>
                <w:szCs w:val="18"/>
                <w:color w:val="auto"/>
              </w:rPr>
              <w:t>(59,135 )</w:t>
            </w:r>
          </w:p>
        </w:tc>
        <w:tc>
          <w:tcPr>
            <w:tcW w:w="22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102,603</w:t>
            </w:r>
          </w:p>
        </w:tc>
        <w:tc>
          <w:tcPr>
            <w:tcW w:w="80" w:type="dxa"/>
            <w:vAlign w:val="bottom"/>
          </w:tcPr>
          <w:p>
            <w:pPr>
              <w:spacing w:after="0"/>
              <w:rPr>
                <w:sz w:val="17"/>
                <w:szCs w:val="17"/>
                <w:color w:val="auto"/>
              </w:rPr>
            </w:pPr>
          </w:p>
        </w:tc>
      </w:tr>
      <w:tr>
        <w:trPr>
          <w:trHeight w:val="203"/>
        </w:trPr>
        <w:tc>
          <w:tcPr>
            <w:tcW w:w="710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Other liabilities</w:t>
            </w:r>
          </w:p>
        </w:tc>
        <w:tc>
          <w:tcPr>
            <w:tcW w:w="22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105"/>
              <w:spacing w:after="0" w:line="202" w:lineRule="exact"/>
              <w:rPr>
                <w:sz w:val="20"/>
                <w:szCs w:val="20"/>
                <w:color w:val="auto"/>
              </w:rPr>
            </w:pPr>
            <w:r>
              <w:rPr>
                <w:rFonts w:ascii="Arial" w:cs="Arial" w:eastAsia="Arial" w:hAnsi="Arial"/>
                <w:sz w:val="18"/>
                <w:szCs w:val="18"/>
                <w:color w:val="auto"/>
              </w:rPr>
              <w:t>(41,250 )</w:t>
            </w:r>
          </w:p>
        </w:tc>
        <w:tc>
          <w:tcPr>
            <w:tcW w:w="2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(6,787 )</w:t>
            </w:r>
          </w:p>
        </w:tc>
      </w:tr>
      <w:tr>
        <w:trPr>
          <w:trHeight w:val="196"/>
        </w:trPr>
        <w:tc>
          <w:tcPr>
            <w:tcW w:w="7100" w:type="dxa"/>
            <w:vAlign w:val="bottom"/>
            <w:tcBorders>
              <w:top w:val="single" w:sz="8" w:color="CFF0FC"/>
            </w:tcBorders>
          </w:tcPr>
          <w:p>
            <w:pPr>
              <w:ind w:left="78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386,378</w:t>
            </w: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557,374</w:t>
            </w:r>
          </w:p>
        </w:tc>
        <w:tc>
          <w:tcPr>
            <w:tcW w:w="80" w:type="dxa"/>
            <w:vAlign w:val="bottom"/>
            <w:tcBorders>
              <w:top w:val="single" w:sz="8" w:color="CFF0FC"/>
            </w:tcBorders>
          </w:tcPr>
          <w:p>
            <w:pPr>
              <w:spacing w:after="0"/>
              <w:rPr>
                <w:sz w:val="17"/>
                <w:szCs w:val="17"/>
                <w:color w:val="auto"/>
              </w:rPr>
            </w:pPr>
          </w:p>
        </w:tc>
      </w:tr>
      <w:tr>
        <w:trPr>
          <w:trHeight w:val="203"/>
        </w:trPr>
        <w:tc>
          <w:tcPr>
            <w:tcW w:w="7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100" w:type="dxa"/>
            <w:vAlign w:val="bottom"/>
          </w:tcPr>
          <w:p>
            <w:pPr>
              <w:ind w:left="280"/>
              <w:spacing w:after="0" w:line="202" w:lineRule="exact"/>
              <w:rPr>
                <w:sz w:val="20"/>
                <w:szCs w:val="20"/>
                <w:color w:val="auto"/>
              </w:rPr>
            </w:pPr>
            <w:r>
              <w:rPr>
                <w:rFonts w:ascii="Arial" w:cs="Arial" w:eastAsia="Arial" w:hAnsi="Arial"/>
                <w:sz w:val="18"/>
                <w:szCs w:val="18"/>
                <w:color w:val="auto"/>
              </w:rPr>
              <w:t>Purchase of property, equipment and satellites</w:t>
            </w:r>
          </w:p>
        </w:tc>
        <w:tc>
          <w:tcPr>
            <w:tcW w:w="220" w:type="dxa"/>
            <w:vAlign w:val="bottom"/>
          </w:tcPr>
          <w:p>
            <w:pPr>
              <w:spacing w:after="0"/>
              <w:rPr>
                <w:sz w:val="17"/>
                <w:szCs w:val="17"/>
                <w:color w:val="auto"/>
              </w:rPr>
            </w:pPr>
          </w:p>
        </w:tc>
        <w:tc>
          <w:tcPr>
            <w:tcW w:w="1940" w:type="dxa"/>
            <w:vAlign w:val="bottom"/>
            <w:gridSpan w:val="2"/>
          </w:tcPr>
          <w:p>
            <w:pPr>
              <w:jc w:val="right"/>
              <w:ind w:right="105"/>
              <w:spacing w:after="0" w:line="202" w:lineRule="exact"/>
              <w:rPr>
                <w:sz w:val="20"/>
                <w:szCs w:val="20"/>
                <w:color w:val="auto"/>
              </w:rPr>
            </w:pPr>
            <w:r>
              <w:rPr>
                <w:rFonts w:ascii="Arial" w:cs="Arial" w:eastAsia="Arial" w:hAnsi="Arial"/>
                <w:sz w:val="18"/>
                <w:szCs w:val="18"/>
                <w:color w:val="auto"/>
              </w:rPr>
              <w:t>(671,207 )</w:t>
            </w:r>
          </w:p>
        </w:tc>
        <w:tc>
          <w:tcPr>
            <w:tcW w:w="220" w:type="dxa"/>
            <w:vAlign w:val="bottom"/>
          </w:tcPr>
          <w:p>
            <w:pPr>
              <w:spacing w:after="0"/>
              <w:rPr>
                <w:sz w:val="17"/>
                <w:szCs w:val="17"/>
                <w:color w:val="auto"/>
              </w:rPr>
            </w:pPr>
          </w:p>
        </w:tc>
        <w:tc>
          <w:tcPr>
            <w:tcW w:w="1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(655,672 )</w:t>
            </w:r>
          </w:p>
        </w:tc>
      </w:tr>
      <w:tr>
        <w:trPr>
          <w:trHeight w:val="203"/>
        </w:trPr>
        <w:tc>
          <w:tcPr>
            <w:tcW w:w="71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Cash paid for patents, licenses and other assets</w:t>
            </w:r>
          </w:p>
        </w:tc>
        <w:tc>
          <w:tcPr>
            <w:tcW w:w="22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105"/>
              <w:spacing w:after="0" w:line="202" w:lineRule="exact"/>
              <w:rPr>
                <w:sz w:val="20"/>
                <w:szCs w:val="20"/>
                <w:color w:val="auto"/>
              </w:rPr>
            </w:pPr>
            <w:r>
              <w:rPr>
                <w:rFonts w:ascii="Arial" w:cs="Arial" w:eastAsia="Arial" w:hAnsi="Arial"/>
                <w:sz w:val="18"/>
                <w:szCs w:val="18"/>
                <w:color w:val="auto"/>
              </w:rPr>
              <w:t>(41,041 )</w:t>
            </w:r>
          </w:p>
        </w:tc>
        <w:tc>
          <w:tcPr>
            <w:tcW w:w="2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(47,164 )</w:t>
            </w:r>
          </w:p>
        </w:tc>
      </w:tr>
      <w:tr>
        <w:trPr>
          <w:trHeight w:val="203"/>
        </w:trPr>
        <w:tc>
          <w:tcPr>
            <w:tcW w:w="7100" w:type="dxa"/>
            <w:vAlign w:val="bottom"/>
          </w:tcPr>
          <w:p>
            <w:pPr>
              <w:ind w:left="280"/>
              <w:spacing w:after="0" w:line="202" w:lineRule="exact"/>
              <w:rPr>
                <w:sz w:val="20"/>
                <w:szCs w:val="20"/>
                <w:color w:val="auto"/>
              </w:rPr>
            </w:pPr>
            <w:r>
              <w:rPr>
                <w:rFonts w:ascii="Arial" w:cs="Arial" w:eastAsia="Arial" w:hAnsi="Arial"/>
                <w:sz w:val="18"/>
                <w:szCs w:val="18"/>
                <w:color w:val="auto"/>
              </w:rPr>
              <w:t>Payments related to acquisition of businesses, net of cash acquired</w:t>
            </w:r>
          </w:p>
        </w:tc>
        <w:tc>
          <w:tcPr>
            <w:tcW w:w="220" w:type="dxa"/>
            <w:vAlign w:val="bottom"/>
          </w:tcPr>
          <w:p>
            <w:pPr>
              <w:spacing w:after="0"/>
              <w:rPr>
                <w:sz w:val="17"/>
                <w:szCs w:val="17"/>
                <w:color w:val="auto"/>
              </w:rPr>
            </w:pPr>
          </w:p>
        </w:tc>
        <w:tc>
          <w:tcPr>
            <w:tcW w:w="1940" w:type="dxa"/>
            <w:vAlign w:val="bottom"/>
            <w:gridSpan w:val="2"/>
          </w:tcPr>
          <w:p>
            <w:pPr>
              <w:jc w:val="right"/>
              <w:ind w:right="105"/>
              <w:spacing w:after="0" w:line="202" w:lineRule="exact"/>
              <w:rPr>
                <w:sz w:val="20"/>
                <w:szCs w:val="20"/>
                <w:color w:val="auto"/>
              </w:rPr>
            </w:pPr>
            <w:r>
              <w:rPr>
                <w:rFonts w:ascii="Arial" w:cs="Arial" w:eastAsia="Arial" w:hAnsi="Arial"/>
                <w:sz w:val="18"/>
                <w:szCs w:val="18"/>
                <w:color w:val="auto"/>
              </w:rPr>
              <w:t>(138,668 )</w:t>
            </w:r>
          </w:p>
        </w:tc>
        <w:tc>
          <w:tcPr>
            <w:tcW w:w="220" w:type="dxa"/>
            <w:vAlign w:val="bottom"/>
          </w:tcPr>
          <w:p>
            <w:pPr>
              <w:spacing w:after="0"/>
              <w:rPr>
                <w:sz w:val="17"/>
                <w:szCs w:val="17"/>
                <w:color w:val="auto"/>
              </w:rPr>
            </w:pPr>
          </w:p>
        </w:tc>
        <w:tc>
          <w:tcPr>
            <w:tcW w:w="17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196"/>
        </w:trPr>
        <w:tc>
          <w:tcPr>
            <w:tcW w:w="710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tcBorders>
            <w:shd w:val="clear" w:color="auto" w:fill="CFF0FC"/>
          </w:tcPr>
          <w:p>
            <w:pPr>
              <w:spacing w:after="0"/>
              <w:rPr>
                <w:sz w:val="17"/>
                <w:szCs w:val="17"/>
                <w:color w:val="auto"/>
              </w:rPr>
            </w:pPr>
          </w:p>
        </w:tc>
        <w:tc>
          <w:tcPr>
            <w:tcW w:w="1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(850,916</w:t>
            </w:r>
          </w:p>
        </w:tc>
        <w:tc>
          <w:tcPr>
            <w:tcW w:w="240" w:type="dxa"/>
            <w:vAlign w:val="bottom"/>
            <w:shd w:val="clear" w:color="auto" w:fill="CFF0FC"/>
          </w:tcPr>
          <w:p>
            <w:pPr>
              <w:jc w:val="right"/>
              <w:ind w:right="105"/>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(702,836</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71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1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Proceeds from debt borrowings</w:t>
            </w:r>
          </w:p>
        </w:tc>
        <w:tc>
          <w:tcPr>
            <w:tcW w:w="22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440,000</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400,000</w:t>
            </w:r>
          </w:p>
        </w:tc>
        <w:tc>
          <w:tcPr>
            <w:tcW w:w="80" w:type="dxa"/>
            <w:vAlign w:val="bottom"/>
            <w:shd w:val="clear" w:color="auto" w:fill="CFF0FC"/>
          </w:tcPr>
          <w:p>
            <w:pPr>
              <w:spacing w:after="0"/>
              <w:rPr>
                <w:sz w:val="17"/>
                <w:szCs w:val="17"/>
                <w:color w:val="auto"/>
              </w:rPr>
            </w:pPr>
          </w:p>
        </w:tc>
      </w:tr>
      <w:tr>
        <w:trPr>
          <w:trHeight w:val="203"/>
        </w:trPr>
        <w:tc>
          <w:tcPr>
            <w:tcW w:w="7100" w:type="dxa"/>
            <w:vAlign w:val="bottom"/>
          </w:tcPr>
          <w:p>
            <w:pPr>
              <w:ind w:left="280"/>
              <w:spacing w:after="0" w:line="202" w:lineRule="exact"/>
              <w:rPr>
                <w:sz w:val="20"/>
                <w:szCs w:val="20"/>
                <w:color w:val="auto"/>
              </w:rPr>
            </w:pPr>
            <w:r>
              <w:rPr>
                <w:rFonts w:ascii="Arial" w:cs="Arial" w:eastAsia="Arial" w:hAnsi="Arial"/>
                <w:sz w:val="18"/>
                <w:szCs w:val="18"/>
                <w:color w:val="auto"/>
              </w:rPr>
              <w:t>Payments of debt borrowings</w:t>
            </w:r>
          </w:p>
        </w:tc>
        <w:tc>
          <w:tcPr>
            <w:tcW w:w="220" w:type="dxa"/>
            <w:vAlign w:val="bottom"/>
          </w:tcPr>
          <w:p>
            <w:pPr>
              <w:spacing w:after="0"/>
              <w:rPr>
                <w:sz w:val="17"/>
                <w:szCs w:val="17"/>
                <w:color w:val="auto"/>
              </w:rPr>
            </w:pPr>
          </w:p>
        </w:tc>
        <w:tc>
          <w:tcPr>
            <w:tcW w:w="1940" w:type="dxa"/>
            <w:vAlign w:val="bottom"/>
            <w:gridSpan w:val="2"/>
          </w:tcPr>
          <w:p>
            <w:pPr>
              <w:jc w:val="right"/>
              <w:ind w:right="105"/>
              <w:spacing w:after="0" w:line="202" w:lineRule="exact"/>
              <w:rPr>
                <w:sz w:val="20"/>
                <w:szCs w:val="20"/>
                <w:color w:val="auto"/>
              </w:rPr>
            </w:pPr>
            <w:r>
              <w:rPr>
                <w:rFonts w:ascii="Arial" w:cs="Arial" w:eastAsia="Arial" w:hAnsi="Arial"/>
                <w:sz w:val="18"/>
                <w:szCs w:val="18"/>
                <w:color w:val="auto"/>
              </w:rPr>
              <w:t>(97,784 )</w:t>
            </w:r>
          </w:p>
        </w:tc>
        <w:tc>
          <w:tcPr>
            <w:tcW w:w="220" w:type="dxa"/>
            <w:vAlign w:val="bottom"/>
          </w:tcPr>
          <w:p>
            <w:pPr>
              <w:spacing w:after="0"/>
              <w:rPr>
                <w:sz w:val="17"/>
                <w:szCs w:val="17"/>
                <w:color w:val="auto"/>
              </w:rPr>
            </w:pPr>
          </w:p>
        </w:tc>
        <w:tc>
          <w:tcPr>
            <w:tcW w:w="1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(414,604 )</w:t>
            </w:r>
          </w:p>
        </w:tc>
      </w:tr>
      <w:tr>
        <w:trPr>
          <w:trHeight w:val="203"/>
        </w:trPr>
        <w:tc>
          <w:tcPr>
            <w:tcW w:w="71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Payment of debt issuance costs</w:t>
            </w:r>
          </w:p>
        </w:tc>
        <w:tc>
          <w:tcPr>
            <w:tcW w:w="22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185"/>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(5,060 )</w:t>
            </w:r>
          </w:p>
        </w:tc>
      </w:tr>
      <w:tr>
        <w:trPr>
          <w:trHeight w:val="203"/>
        </w:trPr>
        <w:tc>
          <w:tcPr>
            <w:tcW w:w="7100" w:type="dxa"/>
            <w:vAlign w:val="bottom"/>
          </w:tcPr>
          <w:p>
            <w:pPr>
              <w:ind w:left="280"/>
              <w:spacing w:after="0" w:line="202" w:lineRule="exact"/>
              <w:rPr>
                <w:sz w:val="20"/>
                <w:szCs w:val="20"/>
                <w:color w:val="auto"/>
              </w:rPr>
            </w:pPr>
            <w:r>
              <w:rPr>
                <w:rFonts w:ascii="Arial" w:cs="Arial" w:eastAsia="Arial" w:hAnsi="Arial"/>
                <w:sz w:val="18"/>
                <w:szCs w:val="18"/>
                <w:color w:val="auto"/>
              </w:rPr>
              <w:t>Proceeds from issuance of common stock under equity plans</w:t>
            </w:r>
          </w:p>
        </w:tc>
        <w:tc>
          <w:tcPr>
            <w:tcW w:w="22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20,549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19,101</w:t>
            </w:r>
          </w:p>
        </w:tc>
        <w:tc>
          <w:tcPr>
            <w:tcW w:w="80" w:type="dxa"/>
            <w:vAlign w:val="bottom"/>
          </w:tcPr>
          <w:p>
            <w:pPr>
              <w:spacing w:after="0"/>
              <w:rPr>
                <w:sz w:val="17"/>
                <w:szCs w:val="17"/>
                <w:color w:val="auto"/>
              </w:rPr>
            </w:pPr>
          </w:p>
        </w:tc>
      </w:tr>
      <w:tr>
        <w:trPr>
          <w:trHeight w:val="175"/>
        </w:trPr>
        <w:tc>
          <w:tcPr>
            <w:tcW w:w="7100" w:type="dxa"/>
            <w:vAlign w:val="bottom"/>
            <w:shd w:val="clear" w:color="auto" w:fill="CFF0FC"/>
          </w:tcPr>
          <w:p>
            <w:pPr>
              <w:ind w:left="280"/>
              <w:spacing w:after="0" w:line="175" w:lineRule="exact"/>
              <w:rPr>
                <w:sz w:val="20"/>
                <w:szCs w:val="20"/>
                <w:color w:val="auto"/>
              </w:rPr>
            </w:pPr>
            <w:r>
              <w:rPr>
                <w:rFonts w:ascii="Arial" w:cs="Arial" w:eastAsia="Arial" w:hAnsi="Arial"/>
                <w:sz w:val="18"/>
                <w:szCs w:val="18"/>
                <w:color w:val="auto"/>
              </w:rPr>
              <w:t>Purchase of common stock in treasury (immediately retired) related</w:t>
            </w:r>
          </w:p>
        </w:tc>
        <w:tc>
          <w:tcPr>
            <w:tcW w:w="220" w:type="dxa"/>
            <w:vAlign w:val="bottom"/>
            <w:shd w:val="clear" w:color="auto" w:fill="CFF0FC"/>
          </w:tcPr>
          <w:p>
            <w:pPr>
              <w:spacing w:after="0"/>
              <w:rPr>
                <w:sz w:val="15"/>
                <w:szCs w:val="15"/>
                <w:color w:val="auto"/>
              </w:rPr>
            </w:pPr>
          </w:p>
        </w:tc>
        <w:tc>
          <w:tcPr>
            <w:tcW w:w="17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7100" w:type="dxa"/>
            <w:vAlign w:val="bottom"/>
            <w:shd w:val="clear" w:color="auto" w:fill="CFF0FC"/>
          </w:tcPr>
          <w:p>
            <w:pPr>
              <w:ind w:left="420"/>
              <w:spacing w:after="0" w:line="203" w:lineRule="exact"/>
              <w:rPr>
                <w:sz w:val="20"/>
                <w:szCs w:val="20"/>
                <w:color w:val="auto"/>
              </w:rPr>
            </w:pPr>
            <w:r>
              <w:rPr>
                <w:rFonts w:ascii="Arial" w:cs="Arial" w:eastAsia="Arial" w:hAnsi="Arial"/>
                <w:sz w:val="18"/>
                <w:szCs w:val="18"/>
                <w:color w:val="auto"/>
              </w:rPr>
              <w:t>to tax withholdings for stock-based compensation</w:t>
            </w:r>
          </w:p>
        </w:tc>
        <w:tc>
          <w:tcPr>
            <w:tcW w:w="22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105"/>
              <w:spacing w:after="0" w:line="203" w:lineRule="exact"/>
              <w:rPr>
                <w:sz w:val="20"/>
                <w:szCs w:val="20"/>
                <w:color w:val="auto"/>
              </w:rPr>
            </w:pPr>
            <w:r>
              <w:rPr>
                <w:rFonts w:ascii="Arial" w:cs="Arial" w:eastAsia="Arial" w:hAnsi="Arial"/>
                <w:sz w:val="18"/>
                <w:szCs w:val="18"/>
                <w:color w:val="auto"/>
              </w:rPr>
              <w:t>(22,165 )</w:t>
            </w:r>
          </w:p>
        </w:tc>
        <w:tc>
          <w:tcPr>
            <w:tcW w:w="2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(13,013 )</w:t>
            </w:r>
          </w:p>
        </w:tc>
      </w:tr>
      <w:tr>
        <w:trPr>
          <w:trHeight w:val="175"/>
        </w:trPr>
        <w:tc>
          <w:tcPr>
            <w:tcW w:w="7100" w:type="dxa"/>
            <w:vAlign w:val="bottom"/>
          </w:tcPr>
          <w:p>
            <w:pPr>
              <w:ind w:left="280"/>
              <w:spacing w:after="0" w:line="175" w:lineRule="exact"/>
              <w:rPr>
                <w:sz w:val="20"/>
                <w:szCs w:val="20"/>
                <w:color w:val="auto"/>
              </w:rPr>
            </w:pPr>
            <w:r>
              <w:rPr>
                <w:rFonts w:ascii="Arial" w:cs="Arial" w:eastAsia="Arial" w:hAnsi="Arial"/>
                <w:sz w:val="18"/>
                <w:szCs w:val="18"/>
                <w:color w:val="auto"/>
              </w:rPr>
              <w:t>Proceeds from common stock issued in private placement, net</w:t>
            </w: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7100" w:type="dxa"/>
            <w:vAlign w:val="bottom"/>
          </w:tcPr>
          <w:p>
            <w:pPr>
              <w:ind w:left="420"/>
              <w:spacing w:after="0" w:line="203" w:lineRule="exact"/>
              <w:rPr>
                <w:sz w:val="20"/>
                <w:szCs w:val="20"/>
                <w:color w:val="auto"/>
              </w:rPr>
            </w:pPr>
            <w:r>
              <w:rPr>
                <w:rFonts w:ascii="Arial" w:cs="Arial" w:eastAsia="Arial" w:hAnsi="Arial"/>
                <w:sz w:val="18"/>
                <w:szCs w:val="18"/>
                <w:color w:val="auto"/>
              </w:rPr>
              <w:t>of issuance costs</w:t>
            </w:r>
          </w:p>
        </w:tc>
        <w:tc>
          <w:tcPr>
            <w:tcW w:w="220" w:type="dxa"/>
            <w:vAlign w:val="bottom"/>
          </w:tcPr>
          <w:p>
            <w:pPr>
              <w:spacing w:after="0"/>
              <w:rPr>
                <w:sz w:val="17"/>
                <w:szCs w:val="17"/>
                <w:color w:val="auto"/>
              </w:rPr>
            </w:pPr>
          </w:p>
        </w:tc>
        <w:tc>
          <w:tcPr>
            <w:tcW w:w="1940" w:type="dxa"/>
            <w:vAlign w:val="bottom"/>
            <w:gridSpan w:val="2"/>
          </w:tcPr>
          <w:p>
            <w:pPr>
              <w:jc w:val="right"/>
              <w:ind w:right="185"/>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80" w:type="dxa"/>
            <w:vAlign w:val="bottom"/>
          </w:tcPr>
          <w:p>
            <w:pPr>
              <w:jc w:val="right"/>
              <w:spacing w:after="0" w:line="203" w:lineRule="exact"/>
              <w:rPr>
                <w:sz w:val="20"/>
                <w:szCs w:val="20"/>
                <w:color w:val="auto"/>
              </w:rPr>
            </w:pPr>
            <w:r>
              <w:rPr>
                <w:rFonts w:ascii="Arial" w:cs="Arial" w:eastAsia="Arial" w:hAnsi="Arial"/>
                <w:sz w:val="18"/>
                <w:szCs w:val="18"/>
                <w:color w:val="auto"/>
              </w:rPr>
              <w:t>174,749</w:t>
            </w:r>
          </w:p>
        </w:tc>
        <w:tc>
          <w:tcPr>
            <w:tcW w:w="80" w:type="dxa"/>
            <w:vAlign w:val="bottom"/>
          </w:tcPr>
          <w:p>
            <w:pPr>
              <w:spacing w:after="0"/>
              <w:rPr>
                <w:sz w:val="17"/>
                <w:szCs w:val="17"/>
                <w:color w:val="auto"/>
              </w:rPr>
            </w:pPr>
          </w:p>
        </w:tc>
      </w:tr>
      <w:tr>
        <w:trPr>
          <w:trHeight w:val="203"/>
        </w:trPr>
        <w:tc>
          <w:tcPr>
            <w:tcW w:w="71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financing activities</w:t>
            </w:r>
          </w:p>
        </w:tc>
        <w:tc>
          <w:tcPr>
            <w:tcW w:w="22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105"/>
              <w:spacing w:after="0" w:line="202" w:lineRule="exact"/>
              <w:rPr>
                <w:sz w:val="20"/>
                <w:szCs w:val="20"/>
                <w:color w:val="auto"/>
              </w:rPr>
            </w:pPr>
            <w:r>
              <w:rPr>
                <w:rFonts w:ascii="Arial" w:cs="Arial" w:eastAsia="Arial" w:hAnsi="Arial"/>
                <w:sz w:val="18"/>
                <w:szCs w:val="18"/>
                <w:color w:val="auto"/>
              </w:rPr>
              <w:t>(2,340 )</w:t>
            </w:r>
          </w:p>
        </w:tc>
        <w:tc>
          <w:tcPr>
            <w:tcW w:w="2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(4,280 )</w:t>
            </w:r>
          </w:p>
        </w:tc>
      </w:tr>
      <w:tr>
        <w:trPr>
          <w:trHeight w:val="196"/>
        </w:trPr>
        <w:tc>
          <w:tcPr>
            <w:tcW w:w="7100" w:type="dxa"/>
            <w:vAlign w:val="bottom"/>
            <w:tcBorders>
              <w:top w:val="single" w:sz="8" w:color="CFF0FC"/>
            </w:tcBorders>
          </w:tcPr>
          <w:p>
            <w:pPr>
              <w:ind w:left="5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338,260</w:t>
            </w: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156,893</w:t>
            </w:r>
          </w:p>
        </w:tc>
        <w:tc>
          <w:tcPr>
            <w:tcW w:w="80" w:type="dxa"/>
            <w:vAlign w:val="bottom"/>
            <w:tcBorders>
              <w:top w:val="single" w:sz="8" w:color="CFF0FC"/>
            </w:tcBorders>
          </w:tcPr>
          <w:p>
            <w:pPr>
              <w:spacing w:after="0"/>
              <w:rPr>
                <w:sz w:val="17"/>
                <w:szCs w:val="17"/>
                <w:color w:val="auto"/>
              </w:rPr>
            </w:pPr>
          </w:p>
        </w:tc>
      </w:tr>
      <w:tr>
        <w:trPr>
          <w:trHeight w:val="203"/>
        </w:trPr>
        <w:tc>
          <w:tcPr>
            <w:tcW w:w="7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Effect of exchange rate changes on cash</w:t>
            </w:r>
          </w:p>
        </w:tc>
        <w:tc>
          <w:tcPr>
            <w:tcW w:w="22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105"/>
              <w:spacing w:after="0" w:line="202" w:lineRule="exact"/>
              <w:rPr>
                <w:sz w:val="20"/>
                <w:szCs w:val="20"/>
                <w:color w:val="auto"/>
              </w:rPr>
            </w:pPr>
            <w:r>
              <w:rPr>
                <w:rFonts w:ascii="Arial" w:cs="Arial" w:eastAsia="Arial" w:hAnsi="Arial"/>
                <w:sz w:val="18"/>
                <w:szCs w:val="18"/>
                <w:color w:val="auto"/>
              </w:rPr>
              <w:t>(3,639 )</w:t>
            </w:r>
          </w:p>
        </w:tc>
        <w:tc>
          <w:tcPr>
            <w:tcW w:w="2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1,604</w:t>
            </w:r>
          </w:p>
        </w:tc>
        <w:tc>
          <w:tcPr>
            <w:tcW w:w="80" w:type="dxa"/>
            <w:vAlign w:val="bottom"/>
            <w:shd w:val="clear" w:color="auto" w:fill="CFF0FC"/>
          </w:tcPr>
          <w:p>
            <w:pPr>
              <w:spacing w:after="0"/>
              <w:rPr>
                <w:sz w:val="17"/>
                <w:szCs w:val="17"/>
                <w:color w:val="auto"/>
              </w:rPr>
            </w:pPr>
          </w:p>
        </w:tc>
      </w:tr>
      <w:tr>
        <w:trPr>
          <w:trHeight w:val="20"/>
        </w:trPr>
        <w:tc>
          <w:tcPr>
            <w:tcW w:w="7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7100" w:type="dxa"/>
            <w:vAlign w:val="bottom"/>
          </w:tcPr>
          <w:p>
            <w:pPr>
              <w:ind w:left="20"/>
              <w:spacing w:after="0" w:line="196" w:lineRule="exact"/>
              <w:rPr>
                <w:sz w:val="20"/>
                <w:szCs w:val="20"/>
                <w:color w:val="auto"/>
              </w:rPr>
            </w:pPr>
            <w:r>
              <w:rPr>
                <w:rFonts w:ascii="Arial" w:cs="Arial" w:eastAsia="Arial" w:hAnsi="Arial"/>
                <w:sz w:val="18"/>
                <w:szCs w:val="18"/>
                <w:color w:val="auto"/>
              </w:rPr>
              <w:t>Net (decrease) increase in cash and cash equivalents</w:t>
            </w:r>
          </w:p>
        </w:tc>
        <w:tc>
          <w:tcPr>
            <w:tcW w:w="220" w:type="dxa"/>
            <w:vAlign w:val="bottom"/>
          </w:tcPr>
          <w:p>
            <w:pPr>
              <w:spacing w:after="0"/>
              <w:rPr>
                <w:sz w:val="17"/>
                <w:szCs w:val="17"/>
                <w:color w:val="auto"/>
              </w:rPr>
            </w:pPr>
          </w:p>
        </w:tc>
        <w:tc>
          <w:tcPr>
            <w:tcW w:w="1940" w:type="dxa"/>
            <w:vAlign w:val="bottom"/>
            <w:gridSpan w:val="2"/>
          </w:tcPr>
          <w:p>
            <w:pPr>
              <w:jc w:val="right"/>
              <w:ind w:right="105"/>
              <w:spacing w:after="0" w:line="196" w:lineRule="exact"/>
              <w:rPr>
                <w:sz w:val="20"/>
                <w:szCs w:val="20"/>
                <w:color w:val="auto"/>
              </w:rPr>
            </w:pPr>
            <w:r>
              <w:rPr>
                <w:rFonts w:ascii="Arial" w:cs="Arial" w:eastAsia="Arial" w:hAnsi="Arial"/>
                <w:sz w:val="18"/>
                <w:szCs w:val="18"/>
                <w:color w:val="auto"/>
              </w:rPr>
              <w:t>(129,917 )</w:t>
            </w:r>
          </w:p>
        </w:tc>
        <w:tc>
          <w:tcPr>
            <w:tcW w:w="220" w:type="dxa"/>
            <w:vAlign w:val="bottom"/>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13,035</w:t>
            </w:r>
          </w:p>
        </w:tc>
        <w:tc>
          <w:tcPr>
            <w:tcW w:w="80" w:type="dxa"/>
            <w:vAlign w:val="bottom"/>
          </w:tcPr>
          <w:p>
            <w:pPr>
              <w:spacing w:after="0"/>
              <w:rPr>
                <w:sz w:val="17"/>
                <w:szCs w:val="17"/>
                <w:color w:val="auto"/>
              </w:rPr>
            </w:pPr>
          </w:p>
        </w:tc>
      </w:tr>
      <w:tr>
        <w:trPr>
          <w:trHeight w:val="203"/>
        </w:trPr>
        <w:tc>
          <w:tcPr>
            <w:tcW w:w="71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295,949</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304,309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100" w:type="dxa"/>
            <w:vAlign w:val="bottom"/>
          </w:tcPr>
          <w:p>
            <w:pPr>
              <w:ind w:left="20"/>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166,032</w:t>
            </w:r>
          </w:p>
        </w:tc>
        <w:tc>
          <w:tcPr>
            <w:tcW w:w="240" w:type="dxa"/>
            <w:vAlign w:val="bottom"/>
          </w:tcPr>
          <w:p>
            <w:pPr>
              <w:spacing w:after="0"/>
              <w:rPr>
                <w:sz w:val="17"/>
                <w:szCs w:val="17"/>
                <w:color w:val="auto"/>
              </w:rPr>
            </w:pPr>
          </w:p>
        </w:tc>
        <w:tc>
          <w:tcPr>
            <w:tcW w:w="2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317,344</w:t>
            </w:r>
          </w:p>
        </w:tc>
        <w:tc>
          <w:tcPr>
            <w:tcW w:w="80" w:type="dxa"/>
            <w:vAlign w:val="bottom"/>
          </w:tcPr>
          <w:p>
            <w:pPr>
              <w:spacing w:after="0"/>
              <w:rPr>
                <w:sz w:val="17"/>
                <w:szCs w:val="17"/>
                <w:color w:val="auto"/>
              </w:rPr>
            </w:pPr>
          </w:p>
        </w:tc>
      </w:tr>
      <w:tr>
        <w:trPr>
          <w:trHeight w:val="20"/>
        </w:trPr>
        <w:tc>
          <w:tcPr>
            <w:tcW w:w="7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71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Non-cash investing and financing activities:</w:t>
            </w:r>
          </w:p>
        </w:tc>
        <w:tc>
          <w:tcPr>
            <w:tcW w:w="220" w:type="dxa"/>
            <w:vAlign w:val="bottom"/>
            <w:shd w:val="clear" w:color="auto" w:fill="CFF0FC"/>
          </w:tcPr>
          <w:p>
            <w:pPr>
              <w:spacing w:after="0"/>
              <w:rPr>
                <w:sz w:val="15"/>
                <w:szCs w:val="15"/>
                <w:color w:val="auto"/>
              </w:rPr>
            </w:pPr>
          </w:p>
        </w:tc>
        <w:tc>
          <w:tcPr>
            <w:tcW w:w="17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7100" w:type="dxa"/>
            <w:vAlign w:val="bottom"/>
          </w:tcPr>
          <w:p>
            <w:pPr>
              <w:ind w:left="280"/>
              <w:spacing w:after="0" w:line="202" w:lineRule="exact"/>
              <w:rPr>
                <w:sz w:val="20"/>
                <w:szCs w:val="20"/>
                <w:color w:val="auto"/>
              </w:rPr>
            </w:pPr>
            <w:r>
              <w:rPr>
                <w:rFonts w:ascii="Arial" w:cs="Arial" w:eastAsia="Arial" w:hAnsi="Arial"/>
                <w:sz w:val="18"/>
                <w:szCs w:val="18"/>
                <w:color w:val="auto"/>
              </w:rPr>
              <w:t>Capital expenditures not paid for</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73,705</w:t>
            </w:r>
          </w:p>
        </w:tc>
        <w:tc>
          <w:tcPr>
            <w:tcW w:w="240" w:type="dxa"/>
            <w:vAlign w:val="bottom"/>
          </w:tcPr>
          <w:p>
            <w:pPr>
              <w:spacing w:after="0"/>
              <w:rPr>
                <w:sz w:val="17"/>
                <w:szCs w:val="17"/>
                <w:color w:val="auto"/>
              </w:rPr>
            </w:pPr>
          </w:p>
        </w:tc>
        <w:tc>
          <w:tcPr>
            <w:tcW w:w="22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22,224</w:t>
            </w:r>
          </w:p>
        </w:tc>
        <w:tc>
          <w:tcPr>
            <w:tcW w:w="80" w:type="dxa"/>
            <w:vAlign w:val="bottom"/>
          </w:tcPr>
          <w:p>
            <w:pPr>
              <w:spacing w:after="0"/>
              <w:rPr>
                <w:sz w:val="17"/>
                <w:szCs w:val="17"/>
                <w:color w:val="auto"/>
              </w:rPr>
            </w:pPr>
          </w:p>
        </w:tc>
      </w:tr>
      <w:tr>
        <w:trPr>
          <w:trHeight w:val="203"/>
        </w:trPr>
        <w:tc>
          <w:tcPr>
            <w:tcW w:w="71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Right-of-use assets obtained in exchange for operating lease liabilities</w:t>
            </w: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36,422</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w:t>
            </w: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55,717</w:t>
            </w:r>
          </w:p>
        </w:tc>
        <w:tc>
          <w:tcPr>
            <w:tcW w:w="80" w:type="dxa"/>
            <w:vAlign w:val="bottom"/>
            <w:shd w:val="clear" w:color="auto" w:fill="CFF0FC"/>
          </w:tcPr>
          <w:p>
            <w:pPr>
              <w:spacing w:after="0"/>
              <w:rPr>
                <w:sz w:val="17"/>
                <w:szCs w:val="17"/>
                <w:color w:val="auto"/>
              </w:rPr>
            </w:pPr>
          </w:p>
        </w:tc>
      </w:tr>
      <w:tr>
        <w:trPr>
          <w:trHeight w:val="217"/>
        </w:trPr>
        <w:tc>
          <w:tcPr>
            <w:tcW w:w="7100" w:type="dxa"/>
            <w:vAlign w:val="bottom"/>
          </w:tcPr>
          <w:p>
            <w:pPr>
              <w:ind w:left="280"/>
              <w:spacing w:after="0"/>
              <w:rPr>
                <w:sz w:val="20"/>
                <w:szCs w:val="20"/>
                <w:color w:val="auto"/>
              </w:rPr>
            </w:pPr>
            <w:r>
              <w:rPr>
                <w:rFonts w:ascii="Arial" w:cs="Arial" w:eastAsia="Arial" w:hAnsi="Arial"/>
                <w:sz w:val="18"/>
                <w:szCs w:val="18"/>
                <w:color w:val="auto"/>
              </w:rPr>
              <w:t>Issuance of common stock in connection with acquisition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207,169</w:t>
            </w:r>
          </w:p>
        </w:tc>
        <w:tc>
          <w:tcPr>
            <w:tcW w:w="240" w:type="dxa"/>
            <w:vAlign w:val="bottom"/>
          </w:tcPr>
          <w:p>
            <w:pPr>
              <w:spacing w:after="0"/>
              <w:rPr>
                <w:sz w:val="18"/>
                <w:szCs w:val="18"/>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-3254375</wp:posOffset>
            </wp:positionV>
            <wp:extent cx="5143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-3254375</wp:posOffset>
            </wp:positionV>
            <wp:extent cx="5143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-1214120</wp:posOffset>
            </wp:positionV>
            <wp:extent cx="5143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-1214120</wp:posOffset>
            </wp:positionV>
            <wp:extent cx="5143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-948690</wp:posOffset>
            </wp:positionV>
            <wp:extent cx="5143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-948690</wp:posOffset>
            </wp:positionV>
            <wp:extent cx="5143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-682625</wp:posOffset>
            </wp:positionV>
            <wp:extent cx="5143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-682625</wp:posOffset>
            </wp:positionV>
            <wp:extent cx="5143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EQUITY</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8"/>
          </w:tcPr>
          <w:p>
            <w:pPr>
              <w:jc w:val="right"/>
              <w:ind w:right="697"/>
              <w:spacing w:after="0"/>
              <w:rPr>
                <w:sz w:val="20"/>
                <w:szCs w:val="20"/>
                <w:color w:val="auto"/>
              </w:rPr>
            </w:pPr>
            <w:r>
              <w:rPr>
                <w:rFonts w:ascii="Arial" w:cs="Arial" w:eastAsia="Arial" w:hAnsi="Arial"/>
                <w:sz w:val="13"/>
                <w:szCs w:val="13"/>
                <w:b w:val="1"/>
                <w:bCs w:val="1"/>
                <w:color w:val="auto"/>
              </w:rPr>
              <w:t>Viasat, Inc. Stockholders</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880" w:type="dxa"/>
            <w:vAlign w:val="bottom"/>
          </w:tcPr>
          <w:p>
            <w:pPr>
              <w:spacing w:after="0"/>
              <w:rPr>
                <w:sz w:val="12"/>
                <w:szCs w:val="12"/>
                <w:color w:val="auto"/>
              </w:rPr>
            </w:pPr>
          </w:p>
        </w:tc>
        <w:tc>
          <w:tcPr>
            <w:tcW w:w="1740" w:type="dxa"/>
            <w:vAlign w:val="bottom"/>
            <w:tcBorders>
              <w:bottom w:val="single" w:sz="8" w:color="auto"/>
            </w:tcBorders>
            <w:gridSpan w:val="3"/>
          </w:tcPr>
          <w:p>
            <w:pPr>
              <w:jc w:val="right"/>
              <w:ind w:right="257"/>
              <w:spacing w:after="0" w:line="143" w:lineRule="exact"/>
              <w:rPr>
                <w:sz w:val="20"/>
                <w:szCs w:val="20"/>
                <w:color w:val="auto"/>
              </w:rPr>
            </w:pPr>
            <w:r>
              <w:rPr>
                <w:rFonts w:ascii="Arial" w:cs="Arial" w:eastAsia="Arial" w:hAnsi="Arial"/>
                <w:sz w:val="13"/>
                <w:szCs w:val="13"/>
                <w:b w:val="1"/>
                <w:bCs w:val="1"/>
                <w:color w:val="auto"/>
              </w:rPr>
              <w:t>Common Stock</w:t>
            </w:r>
          </w:p>
        </w:tc>
        <w:tc>
          <w:tcPr>
            <w:tcW w:w="1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177"/>
              <w:spacing w:after="0"/>
              <w:rPr>
                <w:sz w:val="20"/>
                <w:szCs w:val="20"/>
                <w:color w:val="auto"/>
              </w:rPr>
            </w:pPr>
            <w:r>
              <w:rPr>
                <w:rFonts w:ascii="Arial" w:cs="Arial" w:eastAsia="Arial" w:hAnsi="Arial"/>
                <w:sz w:val="13"/>
                <w:szCs w:val="13"/>
                <w:b w:val="1"/>
                <w:bCs w:val="1"/>
                <w:color w:val="auto"/>
                <w:w w:val="97"/>
              </w:rPr>
              <w:t>Accumulated</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3880" w:type="dxa"/>
            <w:vAlign w:val="bottom"/>
          </w:tcPr>
          <w:p>
            <w:pPr>
              <w:spacing w:after="0"/>
              <w:rPr>
                <w:sz w:val="8"/>
                <w:szCs w:val="8"/>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Noncontrolling</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88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jc w:val="right"/>
              <w:ind w:right="317"/>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0"/>
                <w:szCs w:val="10"/>
                <w:color w:val="auto"/>
              </w:rPr>
            </w:pPr>
          </w:p>
        </w:tc>
        <w:tc>
          <w:tcPr>
            <w:tcW w:w="860" w:type="dxa"/>
            <w:vAlign w:val="bottom"/>
            <w:gridSpan w:val="2"/>
            <w:vMerge w:val="restart"/>
          </w:tcPr>
          <w:p>
            <w:pPr>
              <w:jc w:val="right"/>
              <w:ind w:right="237"/>
              <w:spacing w:after="0"/>
              <w:rPr>
                <w:sz w:val="20"/>
                <w:szCs w:val="20"/>
                <w:color w:val="auto"/>
              </w:rPr>
            </w:pPr>
            <w:r>
              <w:rPr>
                <w:rFonts w:ascii="Arial" w:cs="Arial" w:eastAsia="Arial" w:hAnsi="Arial"/>
                <w:sz w:val="13"/>
                <w:szCs w:val="13"/>
                <w:b w:val="1"/>
                <w:bCs w:val="1"/>
                <w:color w:val="auto"/>
                <w:w w:val="98"/>
              </w:rPr>
              <w:t>Retained</w:t>
            </w:r>
          </w:p>
        </w:tc>
        <w:tc>
          <w:tcPr>
            <w:tcW w:w="100" w:type="dxa"/>
            <w:vAlign w:val="bottom"/>
          </w:tcPr>
          <w:p>
            <w:pPr>
              <w:spacing w:after="0"/>
              <w:rPr>
                <w:sz w:val="10"/>
                <w:szCs w:val="10"/>
                <w:color w:val="auto"/>
              </w:rPr>
            </w:pPr>
          </w:p>
        </w:tc>
        <w:tc>
          <w:tcPr>
            <w:tcW w:w="1120" w:type="dxa"/>
            <w:vAlign w:val="bottom"/>
            <w:gridSpan w:val="2"/>
          </w:tcPr>
          <w:p>
            <w:pPr>
              <w:jc w:val="center"/>
              <w:ind w:right="177"/>
              <w:spacing w:after="0" w:line="122" w:lineRule="exact"/>
              <w:rPr>
                <w:sz w:val="20"/>
                <w:szCs w:val="20"/>
                <w:color w:val="auto"/>
              </w:rPr>
            </w:pPr>
            <w:r>
              <w:rPr>
                <w:rFonts w:ascii="Arial" w:cs="Arial" w:eastAsia="Arial" w:hAnsi="Arial"/>
                <w:sz w:val="13"/>
                <w:szCs w:val="13"/>
                <w:b w:val="1"/>
                <w:bCs w:val="1"/>
                <w:color w:val="auto"/>
                <w:w w:val="92"/>
              </w:rPr>
              <w:t>Other</w:t>
            </w:r>
          </w:p>
        </w:tc>
        <w:tc>
          <w:tcPr>
            <w:tcW w:w="10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80" w:type="dxa"/>
            <w:vAlign w:val="bottom"/>
          </w:tcPr>
          <w:p>
            <w:pPr>
              <w:spacing w:after="0"/>
              <w:rPr>
                <w:sz w:val="10"/>
                <w:szCs w:val="10"/>
                <w:color w:val="auto"/>
              </w:rPr>
            </w:pPr>
          </w:p>
        </w:tc>
        <w:tc>
          <w:tcPr>
            <w:tcW w:w="8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Shares</w:t>
            </w: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20" w:type="dxa"/>
            <w:vAlign w:val="bottom"/>
            <w:gridSpan w:val="3"/>
          </w:tcPr>
          <w:p>
            <w:pPr>
              <w:jc w:val="center"/>
              <w:ind w:right="77"/>
              <w:spacing w:after="0" w:line="122"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90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6"/>
              </w:rPr>
              <w:t>Interest in</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Issued</w:t>
            </w:r>
          </w:p>
        </w:tc>
        <w:tc>
          <w:tcPr>
            <w:tcW w:w="16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6"/>
              </w:rPr>
              <w:t>Earnings</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5"/>
              </w:rPr>
              <w:t>Income (Loss)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6"/>
              </w:rPr>
              <w:t>Subsidiary</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77"/>
              <w:spacing w:after="0" w:line="142" w:lineRule="exact"/>
              <w:rPr>
                <w:sz w:val="20"/>
                <w:szCs w:val="20"/>
                <w:color w:val="auto"/>
              </w:rPr>
            </w:pPr>
            <w:r>
              <w:rPr>
                <w:rFonts w:ascii="Arial" w:cs="Arial" w:eastAsia="Arial" w:hAnsi="Arial"/>
                <w:sz w:val="13"/>
                <w:szCs w:val="13"/>
                <w:b w:val="1"/>
                <w:bCs w:val="1"/>
                <w:color w:val="auto"/>
              </w:rPr>
              <w:t>(In</w:t>
            </w:r>
          </w:p>
        </w:tc>
        <w:tc>
          <w:tcPr>
            <w:tcW w:w="1000" w:type="dxa"/>
            <w:vAlign w:val="bottom"/>
            <w:gridSpan w:val="3"/>
          </w:tcPr>
          <w:p>
            <w:pPr>
              <w:jc w:val="right"/>
              <w:spacing w:after="0" w:line="142" w:lineRule="exact"/>
              <w:rPr>
                <w:sz w:val="20"/>
                <w:szCs w:val="20"/>
                <w:color w:val="auto"/>
              </w:rPr>
            </w:pPr>
            <w:r>
              <w:rPr>
                <w:rFonts w:ascii="Arial" w:cs="Arial" w:eastAsia="Arial" w:hAnsi="Arial"/>
                <w:sz w:val="13"/>
                <w:szCs w:val="13"/>
                <w:b w:val="1"/>
                <w:bCs w:val="1"/>
                <w:color w:val="auto"/>
                <w:w w:val="85"/>
              </w:rPr>
              <w:t>thousands, except</w:t>
            </w:r>
          </w:p>
        </w:tc>
        <w:tc>
          <w:tcPr>
            <w:tcW w:w="1220" w:type="dxa"/>
            <w:vAlign w:val="bottom"/>
            <w:gridSpan w:val="3"/>
          </w:tcPr>
          <w:p>
            <w:pPr>
              <w:jc w:val="right"/>
              <w:ind w:right="437"/>
              <w:spacing w:after="0" w:line="142" w:lineRule="exact"/>
              <w:rPr>
                <w:sz w:val="20"/>
                <w:szCs w:val="20"/>
                <w:color w:val="auto"/>
              </w:rPr>
            </w:pPr>
            <w:r>
              <w:rPr>
                <w:rFonts w:ascii="Arial" w:cs="Arial" w:eastAsia="Arial" w:hAnsi="Arial"/>
                <w:sz w:val="13"/>
                <w:szCs w:val="13"/>
                <w:b w:val="1"/>
                <w:bCs w:val="1"/>
                <w:color w:val="auto"/>
              </w:rPr>
              <w:t>share data)</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For the Three Months Ended December 31, 2021</w:t>
            </w:r>
          </w:p>
        </w:tc>
        <w:tc>
          <w:tcPr>
            <w:tcW w:w="8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ind w:left="20"/>
              <w:spacing w:after="0"/>
              <w:rPr>
                <w:sz w:val="20"/>
                <w:szCs w:val="20"/>
                <w:color w:val="auto"/>
              </w:rPr>
            </w:pPr>
            <w:r>
              <w:rPr>
                <w:rFonts w:ascii="Arial" w:cs="Arial" w:eastAsia="Arial" w:hAnsi="Arial"/>
                <w:sz w:val="13"/>
                <w:szCs w:val="13"/>
                <w:color w:val="auto"/>
              </w:rPr>
              <w:t>Balance at September 30, 2021</w:t>
            </w:r>
          </w:p>
        </w:tc>
        <w:tc>
          <w:tcPr>
            <w:tcW w:w="880" w:type="dxa"/>
            <w:vAlign w:val="bottom"/>
          </w:tcPr>
          <w:p>
            <w:pPr>
              <w:jc w:val="right"/>
              <w:spacing w:after="0"/>
              <w:rPr>
                <w:sz w:val="20"/>
                <w:szCs w:val="20"/>
                <w:color w:val="auto"/>
              </w:rPr>
            </w:pPr>
            <w:r>
              <w:rPr>
                <w:rFonts w:ascii="Arial" w:cs="Arial" w:eastAsia="Arial" w:hAnsi="Arial"/>
                <w:sz w:val="13"/>
                <w:szCs w:val="13"/>
                <w:color w:val="auto"/>
              </w:rPr>
              <w:t>73,398,078</w:t>
            </w:r>
          </w:p>
        </w:tc>
        <w:tc>
          <w:tcPr>
            <w:tcW w:w="860" w:type="dxa"/>
            <w:vAlign w:val="bottom"/>
            <w:gridSpan w:val="2"/>
          </w:tcPr>
          <w:p>
            <w:pPr>
              <w:jc w:val="right"/>
              <w:ind w:right="557"/>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7</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2,382,356</w:t>
            </w:r>
          </w:p>
        </w:tc>
        <w:tc>
          <w:tcPr>
            <w:tcW w:w="16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269,323</w:t>
            </w:r>
          </w:p>
        </w:tc>
        <w:tc>
          <w:tcPr>
            <w:tcW w:w="1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17"/>
              <w:spacing w:after="0"/>
              <w:rPr>
                <w:sz w:val="20"/>
                <w:szCs w:val="20"/>
                <w:color w:val="auto"/>
              </w:rPr>
            </w:pPr>
            <w:r>
              <w:rPr>
                <w:rFonts w:ascii="Arial" w:cs="Arial" w:eastAsia="Arial" w:hAnsi="Arial"/>
                <w:sz w:val="13"/>
                <w:szCs w:val="13"/>
                <w:color w:val="auto"/>
              </w:rPr>
              <w:t>(16,873 )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38,657</w:t>
            </w:r>
          </w:p>
        </w:tc>
        <w:tc>
          <w:tcPr>
            <w:tcW w:w="30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2,673,470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stock options</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24,850</w:t>
            </w: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1,456</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1,456</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880" w:type="dxa"/>
            <w:vAlign w:val="bottom"/>
          </w:tcPr>
          <w:p>
            <w:pPr>
              <w:ind w:left="20"/>
              <w:spacing w:after="0" w:line="116" w:lineRule="exact"/>
              <w:rPr>
                <w:sz w:val="20"/>
                <w:szCs w:val="20"/>
                <w:color w:val="auto"/>
              </w:rPr>
            </w:pPr>
            <w:r>
              <w:rPr>
                <w:rFonts w:ascii="Arial" w:cs="Arial" w:eastAsia="Arial" w:hAnsi="Arial"/>
                <w:sz w:val="13"/>
                <w:szCs w:val="13"/>
                <w:color w:val="auto"/>
              </w:rPr>
              <w:t>Issuance of stock under Employee Stock Purchase</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272,503</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10,317</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120" w:type="dxa"/>
            <w:vAlign w:val="bottom"/>
            <w:gridSpan w:val="2"/>
            <w:vMerge w:val="restart"/>
          </w:tcPr>
          <w:p>
            <w:pPr>
              <w:jc w:val="right"/>
              <w:ind w:right="9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10,317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880" w:type="dxa"/>
            <w:vAlign w:val="bottom"/>
          </w:tcPr>
          <w:p>
            <w:pPr>
              <w:ind w:left="120"/>
              <w:spacing w:after="0"/>
              <w:rPr>
                <w:sz w:val="20"/>
                <w:szCs w:val="20"/>
                <w:color w:val="auto"/>
              </w:rPr>
            </w:pPr>
            <w:r>
              <w:rPr>
                <w:rFonts w:ascii="Arial" w:cs="Arial" w:eastAsia="Arial" w:hAnsi="Arial"/>
                <w:sz w:val="13"/>
                <w:szCs w:val="13"/>
                <w:color w:val="auto"/>
              </w:rPr>
              <w:t>Plan</w:t>
            </w:r>
          </w:p>
        </w:tc>
        <w:tc>
          <w:tcPr>
            <w:tcW w:w="8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8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24,197</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24,197</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3880" w:type="dxa"/>
            <w:vAlign w:val="bottom"/>
          </w:tcPr>
          <w:p>
            <w:pPr>
              <w:ind w:left="20"/>
              <w:spacing w:after="0" w:line="116" w:lineRule="exact"/>
              <w:rPr>
                <w:sz w:val="20"/>
                <w:szCs w:val="20"/>
                <w:color w:val="auto"/>
              </w:rPr>
            </w:pPr>
            <w:r>
              <w:rPr>
                <w:rFonts w:ascii="Arial" w:cs="Arial" w:eastAsia="Arial" w:hAnsi="Arial"/>
                <w:sz w:val="13"/>
                <w:szCs w:val="13"/>
                <w:color w:val="auto"/>
              </w:rPr>
              <w:t>RSU awards vesting, net of shares withheld for taxes</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697,472</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jc w:val="right"/>
              <w:ind w:right="57"/>
              <w:spacing w:after="0"/>
              <w:rPr>
                <w:sz w:val="20"/>
                <w:szCs w:val="20"/>
                <w:color w:val="auto"/>
              </w:rPr>
            </w:pPr>
            <w:r>
              <w:rPr>
                <w:rFonts w:ascii="Arial" w:cs="Arial" w:eastAsia="Arial" w:hAnsi="Arial"/>
                <w:sz w:val="13"/>
                <w:szCs w:val="13"/>
                <w:color w:val="auto"/>
              </w:rPr>
              <w:t>(20,423 )</w:t>
            </w:r>
          </w:p>
        </w:tc>
        <w:tc>
          <w:tcPr>
            <w:tcW w:w="120" w:type="dxa"/>
            <w:vAlign w:val="bottom"/>
          </w:tcPr>
          <w:p>
            <w:pPr>
              <w:spacing w:after="0"/>
              <w:rPr>
                <w:sz w:val="10"/>
                <w:szCs w:val="10"/>
                <w:color w:val="auto"/>
              </w:rPr>
            </w:pPr>
          </w:p>
        </w:tc>
        <w:tc>
          <w:tcPr>
            <w:tcW w:w="860" w:type="dxa"/>
            <w:vAlign w:val="bottom"/>
            <w:gridSpan w:val="2"/>
            <w:vMerge w:val="restart"/>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120" w:type="dxa"/>
            <w:vAlign w:val="bottom"/>
            <w:gridSpan w:val="2"/>
            <w:vMerge w:val="restart"/>
          </w:tcPr>
          <w:p>
            <w:pPr>
              <w:jc w:val="right"/>
              <w:ind w:right="9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color w:val="auto"/>
              </w:rPr>
              <w:t>(20,423 )</w:t>
            </w:r>
          </w:p>
        </w:tc>
        <w:tc>
          <w:tcPr>
            <w:tcW w:w="0" w:type="dxa"/>
            <w:vAlign w:val="bottom"/>
          </w:tcPr>
          <w:p>
            <w:pPr>
              <w:spacing w:after="0"/>
              <w:rPr>
                <w:sz w:val="1"/>
                <w:szCs w:val="1"/>
                <w:color w:val="auto"/>
              </w:rPr>
            </w:pPr>
          </w:p>
        </w:tc>
      </w:tr>
      <w:tr>
        <w:trPr>
          <w:trHeight w:val="152"/>
        </w:trPr>
        <w:tc>
          <w:tcPr>
            <w:tcW w:w="3880" w:type="dxa"/>
            <w:vAlign w:val="bottom"/>
          </w:tcPr>
          <w:p>
            <w:pPr>
              <w:ind w:left="120"/>
              <w:spacing w:after="0"/>
              <w:rPr>
                <w:sz w:val="20"/>
                <w:szCs w:val="20"/>
                <w:color w:val="auto"/>
              </w:rPr>
            </w:pPr>
            <w:r>
              <w:rPr>
                <w:rFonts w:ascii="Arial" w:cs="Arial" w:eastAsia="Arial" w:hAnsi="Arial"/>
                <w:sz w:val="13"/>
                <w:szCs w:val="13"/>
                <w:color w:val="auto"/>
              </w:rPr>
              <w:t>which have been retired</w:t>
            </w:r>
          </w:p>
        </w:tc>
        <w:tc>
          <w:tcPr>
            <w:tcW w:w="8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 income</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(6,613 )</w:t>
            </w:r>
          </w:p>
        </w:tc>
        <w:tc>
          <w:tcPr>
            <w:tcW w:w="1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2,623</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(3,990 )</w:t>
            </w:r>
          </w:p>
        </w:tc>
        <w:tc>
          <w:tcPr>
            <w:tcW w:w="0" w:type="dxa"/>
            <w:vAlign w:val="bottom"/>
          </w:tcPr>
          <w:p>
            <w:pPr>
              <w:spacing w:after="0"/>
              <w:rPr>
                <w:sz w:val="1"/>
                <w:szCs w:val="1"/>
                <w:color w:val="auto"/>
              </w:rPr>
            </w:pPr>
          </w:p>
        </w:tc>
      </w:tr>
      <w:tr>
        <w:trPr>
          <w:trHeight w:val="148"/>
        </w:trPr>
        <w:tc>
          <w:tcPr>
            <w:tcW w:w="3880" w:type="dxa"/>
            <w:vAlign w:val="bottom"/>
          </w:tcPr>
          <w:p>
            <w:pPr>
              <w:ind w:left="20"/>
              <w:spacing w:after="0"/>
              <w:rPr>
                <w:sz w:val="20"/>
                <w:szCs w:val="20"/>
                <w:color w:val="auto"/>
              </w:rPr>
            </w:pPr>
            <w:r>
              <w:rPr>
                <w:rFonts w:ascii="Arial" w:cs="Arial" w:eastAsia="Arial" w:hAnsi="Arial"/>
                <w:sz w:val="13"/>
                <w:szCs w:val="13"/>
                <w:color w:val="auto"/>
              </w:rPr>
              <w:t>Other comprehensive loss, net of tax</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7"/>
              <w:spacing w:after="0"/>
              <w:rPr>
                <w:sz w:val="20"/>
                <w:szCs w:val="20"/>
                <w:color w:val="auto"/>
              </w:rPr>
            </w:pPr>
            <w:r>
              <w:rPr>
                <w:rFonts w:ascii="Arial" w:cs="Arial" w:eastAsia="Arial" w:hAnsi="Arial"/>
                <w:sz w:val="13"/>
                <w:szCs w:val="13"/>
                <w:color w:val="auto"/>
              </w:rPr>
              <w:t>(9,297 )</w:t>
            </w: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(9,297 )</w:t>
            </w:r>
          </w:p>
        </w:tc>
        <w:tc>
          <w:tcPr>
            <w:tcW w:w="0" w:type="dxa"/>
            <w:vAlign w:val="bottom"/>
          </w:tcPr>
          <w:p>
            <w:pPr>
              <w:spacing w:after="0"/>
              <w:rPr>
                <w:sz w:val="1"/>
                <w:szCs w:val="1"/>
                <w:color w:val="auto"/>
              </w:rPr>
            </w:pPr>
          </w:p>
        </w:tc>
      </w:tr>
      <w:tr>
        <w:trPr>
          <w:trHeight w:val="182"/>
        </w:trPr>
        <w:tc>
          <w:tcPr>
            <w:tcW w:w="3880" w:type="dxa"/>
            <w:vAlign w:val="bottom"/>
            <w:tcBorders>
              <w:bottom w:val="single" w:sz="8" w:color="CFF0FC"/>
            </w:tcBorders>
            <w:shd w:val="clear" w:color="auto" w:fill="CFF0FC"/>
          </w:tcPr>
          <w:p>
            <w:pPr>
              <w:ind w:left="20"/>
              <w:spacing w:after="0" w:line="142" w:lineRule="exact"/>
              <w:rPr>
                <w:sz w:val="20"/>
                <w:szCs w:val="20"/>
                <w:color w:val="auto"/>
              </w:rPr>
            </w:pPr>
            <w:r>
              <w:rPr>
                <w:rFonts w:ascii="Arial" w:cs="Arial" w:eastAsia="Arial" w:hAnsi="Arial"/>
                <w:sz w:val="13"/>
                <w:szCs w:val="13"/>
                <w:color w:val="auto"/>
              </w:rPr>
              <w:t>Balance at December 31, 2021</w:t>
            </w:r>
          </w:p>
        </w:tc>
        <w:tc>
          <w:tcPr>
            <w:tcW w:w="8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74,392,903</w:t>
            </w:r>
          </w:p>
        </w:tc>
        <w:tc>
          <w:tcPr>
            <w:tcW w:w="16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top w:val="single" w:sz="8" w:color="auto"/>
              <w:bottom w:val="single" w:sz="8" w:color="auto"/>
            </w:tcBorders>
            <w:shd w:val="clear" w:color="auto" w:fill="CFF0FC"/>
          </w:tcPr>
          <w:p>
            <w:pPr>
              <w:jc w:val="right"/>
              <w:ind w:right="557"/>
              <w:spacing w:after="0" w:line="142" w:lineRule="exact"/>
              <w:rPr>
                <w:sz w:val="20"/>
                <w:szCs w:val="20"/>
                <w:color w:val="auto"/>
              </w:rPr>
            </w:pPr>
            <w:r>
              <w:rPr>
                <w:rFonts w:ascii="Arial" w:cs="Arial" w:eastAsia="Arial" w:hAnsi="Arial"/>
                <w:sz w:val="13"/>
                <w:szCs w:val="13"/>
                <w:color w:val="auto"/>
                <w:w w:val="82"/>
              </w:rPr>
              <w:t>$</w:t>
            </w:r>
          </w:p>
        </w:tc>
        <w:tc>
          <w:tcPr>
            <w:tcW w:w="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w:t>
            </w:r>
          </w:p>
        </w:tc>
        <w:tc>
          <w:tcPr>
            <w:tcW w:w="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2,397,903</w:t>
            </w: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262,710</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(26,170</w:t>
            </w:r>
          </w:p>
        </w:tc>
        <w:tc>
          <w:tcPr>
            <w:tcW w:w="140" w:type="dxa"/>
            <w:vAlign w:val="bottom"/>
            <w:tcBorders>
              <w:bottom w:val="single" w:sz="8" w:color="CFF0FC"/>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91"/>
              </w:rPr>
              <w:t>)</w:t>
            </w: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41,280</w:t>
            </w: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2,675,730</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For the Three Months Ended December 31, 2020</w:t>
            </w:r>
          </w:p>
        </w:tc>
        <w:tc>
          <w:tcPr>
            <w:tcW w:w="8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ind w:left="20"/>
              <w:spacing w:after="0"/>
              <w:rPr>
                <w:sz w:val="20"/>
                <w:szCs w:val="20"/>
                <w:color w:val="auto"/>
              </w:rPr>
            </w:pPr>
            <w:r>
              <w:rPr>
                <w:rFonts w:ascii="Arial" w:cs="Arial" w:eastAsia="Arial" w:hAnsi="Arial"/>
                <w:sz w:val="13"/>
                <w:szCs w:val="13"/>
                <w:color w:val="auto"/>
              </w:rPr>
              <w:t>Balance at September 30, 2020</w:t>
            </w:r>
          </w:p>
        </w:tc>
        <w:tc>
          <w:tcPr>
            <w:tcW w:w="880" w:type="dxa"/>
            <w:vAlign w:val="bottom"/>
          </w:tcPr>
          <w:p>
            <w:pPr>
              <w:jc w:val="right"/>
              <w:spacing w:after="0"/>
              <w:rPr>
                <w:sz w:val="20"/>
                <w:szCs w:val="20"/>
                <w:color w:val="auto"/>
              </w:rPr>
            </w:pPr>
            <w:r>
              <w:rPr>
                <w:rFonts w:ascii="Arial" w:cs="Arial" w:eastAsia="Arial" w:hAnsi="Arial"/>
                <w:sz w:val="13"/>
                <w:szCs w:val="13"/>
                <w:color w:val="auto"/>
              </w:rPr>
              <w:t>67,532,869</w:t>
            </w:r>
          </w:p>
        </w:tc>
        <w:tc>
          <w:tcPr>
            <w:tcW w:w="860" w:type="dxa"/>
            <w:vAlign w:val="bottom"/>
            <w:gridSpan w:val="2"/>
          </w:tcPr>
          <w:p>
            <w:pPr>
              <w:jc w:val="right"/>
              <w:ind w:right="557"/>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7</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2,047,525</w:t>
            </w:r>
          </w:p>
        </w:tc>
        <w:tc>
          <w:tcPr>
            <w:tcW w:w="16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234,947</w:t>
            </w:r>
          </w:p>
        </w:tc>
        <w:tc>
          <w:tcPr>
            <w:tcW w:w="1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17"/>
              <w:spacing w:after="0"/>
              <w:rPr>
                <w:sz w:val="20"/>
                <w:szCs w:val="20"/>
                <w:color w:val="auto"/>
              </w:rPr>
            </w:pPr>
            <w:r>
              <w:rPr>
                <w:rFonts w:ascii="Arial" w:cs="Arial" w:eastAsia="Arial" w:hAnsi="Arial"/>
                <w:sz w:val="13"/>
                <w:szCs w:val="13"/>
                <w:color w:val="auto"/>
              </w:rPr>
              <w:t>(2,433 )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27,645</w:t>
            </w:r>
          </w:p>
        </w:tc>
        <w:tc>
          <w:tcPr>
            <w:tcW w:w="30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2,307,691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880" w:type="dxa"/>
            <w:vAlign w:val="bottom"/>
            <w:shd w:val="clear" w:color="auto" w:fill="CFF0FC"/>
          </w:tcPr>
          <w:p>
            <w:pPr>
              <w:ind w:left="20"/>
              <w:spacing w:after="0" w:line="116" w:lineRule="exact"/>
              <w:rPr>
                <w:sz w:val="20"/>
                <w:szCs w:val="20"/>
                <w:color w:val="auto"/>
              </w:rPr>
            </w:pPr>
            <w:r>
              <w:rPr>
                <w:rFonts w:ascii="Arial" w:cs="Arial" w:eastAsia="Arial" w:hAnsi="Arial"/>
                <w:sz w:val="13"/>
                <w:szCs w:val="13"/>
                <w:color w:val="auto"/>
              </w:rPr>
              <w:t>Issuance of stock under Employee Stock Purchase</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356,523</w:t>
            </w: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9,895</w:t>
            </w: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9,895</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8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Plan</w:t>
            </w:r>
          </w:p>
        </w:tc>
        <w:tc>
          <w:tcPr>
            <w:tcW w:w="88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gridSpan w:val="2"/>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8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25,199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25,199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880" w:type="dxa"/>
            <w:vAlign w:val="bottom"/>
            <w:shd w:val="clear" w:color="auto" w:fill="CFF0FC"/>
          </w:tcPr>
          <w:p>
            <w:pPr>
              <w:ind w:left="20"/>
              <w:spacing w:after="0" w:line="116" w:lineRule="exact"/>
              <w:rPr>
                <w:sz w:val="20"/>
                <w:szCs w:val="20"/>
                <w:color w:val="auto"/>
              </w:rPr>
            </w:pPr>
            <w:r>
              <w:rPr>
                <w:rFonts w:ascii="Arial" w:cs="Arial" w:eastAsia="Arial" w:hAnsi="Arial"/>
                <w:sz w:val="13"/>
                <w:szCs w:val="13"/>
                <w:color w:val="auto"/>
              </w:rPr>
              <w:t>RSU awards vesting, net of shares withheld for taxes</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614,936</w:t>
            </w: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(12,266 )</w:t>
            </w:r>
          </w:p>
        </w:tc>
        <w:tc>
          <w:tcPr>
            <w:tcW w:w="12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(12,266 )</w:t>
            </w:r>
          </w:p>
        </w:tc>
        <w:tc>
          <w:tcPr>
            <w:tcW w:w="0" w:type="dxa"/>
            <w:vAlign w:val="bottom"/>
          </w:tcPr>
          <w:p>
            <w:pPr>
              <w:spacing w:after="0"/>
              <w:rPr>
                <w:sz w:val="1"/>
                <w:szCs w:val="1"/>
                <w:color w:val="auto"/>
              </w:rPr>
            </w:pPr>
          </w:p>
        </w:tc>
      </w:tr>
      <w:tr>
        <w:trPr>
          <w:trHeight w:val="154"/>
        </w:trPr>
        <w:tc>
          <w:tcPr>
            <w:tcW w:w="38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which have been retired</w:t>
            </w:r>
          </w:p>
        </w:tc>
        <w:tc>
          <w:tcPr>
            <w:tcW w:w="88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gridSpan w:val="2"/>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6,760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1,000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7,760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Other comprehensive income, net of tax</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9,047</w:t>
            </w:r>
          </w:p>
        </w:tc>
        <w:tc>
          <w:tcPr>
            <w:tcW w:w="1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9,047</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80" w:type="dxa"/>
            <w:vAlign w:val="bottom"/>
          </w:tcPr>
          <w:p>
            <w:pPr>
              <w:ind w:left="20"/>
              <w:spacing w:after="0" w:line="142" w:lineRule="exact"/>
              <w:rPr>
                <w:sz w:val="20"/>
                <w:szCs w:val="20"/>
                <w:color w:val="auto"/>
              </w:rPr>
            </w:pPr>
            <w:r>
              <w:rPr>
                <w:rFonts w:ascii="Arial" w:cs="Arial" w:eastAsia="Arial" w:hAnsi="Arial"/>
                <w:sz w:val="13"/>
                <w:szCs w:val="13"/>
                <w:color w:val="auto"/>
              </w:rPr>
              <w:t>Balance at December 31, 2020</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68,504,328</w:t>
            </w:r>
          </w:p>
        </w:tc>
        <w:tc>
          <w:tcPr>
            <w:tcW w:w="860" w:type="dxa"/>
            <w:vAlign w:val="bottom"/>
            <w:gridSpan w:val="2"/>
          </w:tcPr>
          <w:p>
            <w:pPr>
              <w:jc w:val="right"/>
              <w:ind w:right="557"/>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jc w:val="right"/>
              <w:spacing w:after="0" w:line="142" w:lineRule="exact"/>
              <w:rPr>
                <w:sz w:val="20"/>
                <w:szCs w:val="20"/>
                <w:color w:val="auto"/>
              </w:rPr>
            </w:pPr>
            <w:r>
              <w:rPr>
                <w:rFonts w:ascii="Arial" w:cs="Arial" w:eastAsia="Arial" w:hAnsi="Arial"/>
                <w:sz w:val="13"/>
                <w:szCs w:val="13"/>
                <w:color w:val="auto"/>
              </w:rPr>
              <w:t>7</w:t>
            </w:r>
          </w:p>
        </w:tc>
        <w:tc>
          <w:tcPr>
            <w:tcW w:w="3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2,070,353</w:t>
            </w:r>
          </w:p>
        </w:tc>
        <w:tc>
          <w:tcPr>
            <w:tcW w:w="16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241,707</w:t>
            </w:r>
          </w:p>
        </w:tc>
        <w:tc>
          <w:tcPr>
            <w:tcW w:w="14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6,614</w:t>
            </w:r>
          </w:p>
        </w:tc>
        <w:tc>
          <w:tcPr>
            <w:tcW w:w="14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28,645</w:t>
            </w:r>
          </w:p>
        </w:tc>
        <w:tc>
          <w:tcPr>
            <w:tcW w:w="300" w:type="dxa"/>
            <w:vAlign w:val="bottom"/>
            <w:gridSpan w:val="2"/>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2,347,326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-1062355</wp:posOffset>
            </wp:positionV>
            <wp:extent cx="342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-1045210</wp:posOffset>
            </wp:positionV>
            <wp:extent cx="342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-1062355</wp:posOffset>
            </wp:positionV>
            <wp:extent cx="342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-1045210</wp:posOffset>
            </wp:positionV>
            <wp:extent cx="342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-1062355</wp:posOffset>
            </wp:positionV>
            <wp:extent cx="431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-1045210</wp:posOffset>
            </wp:positionV>
            <wp:extent cx="431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-1062355</wp:posOffset>
            </wp:positionV>
            <wp:extent cx="342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-1045210</wp:posOffset>
            </wp:positionV>
            <wp:extent cx="342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-1062355</wp:posOffset>
            </wp:positionV>
            <wp:extent cx="342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-1045210</wp:posOffset>
            </wp:positionV>
            <wp:extent cx="342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-1062355</wp:posOffset>
            </wp:positionV>
            <wp:extent cx="254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-1045210</wp:posOffset>
            </wp:positionV>
            <wp:extent cx="254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-1062355</wp:posOffset>
            </wp:positionV>
            <wp:extent cx="342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-1045210</wp:posOffset>
            </wp:positionV>
            <wp:extent cx="342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-125095</wp:posOffset>
            </wp:positionV>
            <wp:extent cx="3429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-125095</wp:posOffset>
            </wp:positionV>
            <wp:extent cx="3429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-125095</wp:posOffset>
            </wp:positionV>
            <wp:extent cx="4318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-125095</wp:posOffset>
            </wp:positionV>
            <wp:extent cx="3429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-125095</wp:posOffset>
            </wp:positionV>
            <wp:extent cx="3429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-125095</wp:posOffset>
            </wp:positionV>
            <wp:extent cx="2540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-125095</wp:posOffset>
            </wp:positionV>
            <wp:extent cx="3429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EQUITY</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right"/>
              <w:ind w:right="500"/>
              <w:spacing w:after="0"/>
              <w:rPr>
                <w:sz w:val="20"/>
                <w:szCs w:val="20"/>
                <w:color w:val="auto"/>
              </w:rPr>
            </w:pPr>
            <w:r>
              <w:rPr>
                <w:rFonts w:ascii="Arial" w:cs="Arial" w:eastAsia="Arial" w:hAnsi="Arial"/>
                <w:sz w:val="13"/>
                <w:szCs w:val="13"/>
                <w:b w:val="1"/>
                <w:bCs w:val="1"/>
                <w:color w:val="auto"/>
              </w:rPr>
              <w:t>Viasat, Inc. Stockholders</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120" w:type="dxa"/>
            <w:vAlign w:val="bottom"/>
          </w:tcPr>
          <w:p>
            <w:pPr>
              <w:spacing w:after="0"/>
              <w:rPr>
                <w:sz w:val="12"/>
                <w:szCs w:val="12"/>
                <w:color w:val="auto"/>
              </w:rPr>
            </w:pPr>
          </w:p>
        </w:tc>
        <w:tc>
          <w:tcPr>
            <w:tcW w:w="1780" w:type="dxa"/>
            <w:vAlign w:val="bottom"/>
            <w:tcBorders>
              <w:bottom w:val="single" w:sz="8" w:color="auto"/>
            </w:tcBorders>
            <w:gridSpan w:val="4"/>
          </w:tcPr>
          <w:p>
            <w:pPr>
              <w:jc w:val="right"/>
              <w:ind w:right="377"/>
              <w:spacing w:after="0" w:line="143" w:lineRule="exact"/>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4120" w:type="dxa"/>
            <w:vAlign w:val="bottom"/>
          </w:tcPr>
          <w:p>
            <w:pPr>
              <w:spacing w:after="0"/>
              <w:rPr>
                <w:sz w:val="8"/>
                <w:szCs w:val="8"/>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Noncontrolling</w:t>
            </w: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1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0"/>
                <w:szCs w:val="10"/>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w w:val="94"/>
              </w:rPr>
              <w:t>Retained</w:t>
            </w:r>
          </w:p>
        </w:tc>
        <w:tc>
          <w:tcPr>
            <w:tcW w:w="100" w:type="dxa"/>
            <w:vAlign w:val="bottom"/>
          </w:tcPr>
          <w:p>
            <w:pPr>
              <w:spacing w:after="0"/>
              <w:rPr>
                <w:sz w:val="10"/>
                <w:szCs w:val="10"/>
                <w:color w:val="auto"/>
              </w:rPr>
            </w:pPr>
          </w:p>
        </w:tc>
        <w:tc>
          <w:tcPr>
            <w:tcW w:w="12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12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Shares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00" w:type="dxa"/>
            <w:vAlign w:val="bottom"/>
          </w:tcPr>
          <w:p>
            <w:pPr>
              <w:spacing w:after="0"/>
              <w:rPr>
                <w:sz w:val="10"/>
                <w:szCs w:val="10"/>
                <w:color w:val="auto"/>
              </w:rPr>
            </w:pPr>
          </w:p>
        </w:tc>
        <w:tc>
          <w:tcPr>
            <w:tcW w:w="112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Interest in</w:t>
            </w:r>
          </w:p>
        </w:tc>
        <w:tc>
          <w:tcPr>
            <w:tcW w:w="200" w:type="dxa"/>
            <w:vAlign w:val="bottom"/>
          </w:tcPr>
          <w:p>
            <w:pPr>
              <w:spacing w:after="0"/>
              <w:rPr>
                <w:sz w:val="10"/>
                <w:szCs w:val="10"/>
                <w:color w:val="auto"/>
              </w:rPr>
            </w:pPr>
          </w:p>
        </w:tc>
        <w:tc>
          <w:tcPr>
            <w:tcW w:w="740" w:type="dxa"/>
            <w:vAlign w:val="bottom"/>
            <w:vMerge w:val="restart"/>
          </w:tcPr>
          <w:p>
            <w:pPr>
              <w:jc w:val="right"/>
              <w:ind w:right="2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Issued</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3"/>
              </w:rPr>
              <w:t>Earnings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7"/>
              </w:rPr>
              <w:t>Income (Loss)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6"/>
              </w:rPr>
              <w:t>Subsidiary</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37"/>
              <w:spacing w:after="0" w:line="142" w:lineRule="exact"/>
              <w:rPr>
                <w:sz w:val="20"/>
                <w:szCs w:val="20"/>
                <w:color w:val="auto"/>
              </w:rPr>
            </w:pPr>
            <w:r>
              <w:rPr>
                <w:rFonts w:ascii="Arial" w:cs="Arial" w:eastAsia="Arial" w:hAnsi="Arial"/>
                <w:sz w:val="13"/>
                <w:szCs w:val="13"/>
                <w:b w:val="1"/>
                <w:bCs w:val="1"/>
                <w:color w:val="auto"/>
              </w:rPr>
              <w:t>(In</w:t>
            </w:r>
          </w:p>
        </w:tc>
        <w:tc>
          <w:tcPr>
            <w:tcW w:w="80" w:type="dxa"/>
            <w:vAlign w:val="bottom"/>
          </w:tcPr>
          <w:p>
            <w:pPr>
              <w:spacing w:after="0"/>
              <w:rPr>
                <w:sz w:val="12"/>
                <w:szCs w:val="12"/>
                <w:color w:val="auto"/>
              </w:rPr>
            </w:pPr>
          </w:p>
        </w:tc>
        <w:tc>
          <w:tcPr>
            <w:tcW w:w="2100" w:type="dxa"/>
            <w:vAlign w:val="bottom"/>
            <w:gridSpan w:val="6"/>
          </w:tcPr>
          <w:p>
            <w:pPr>
              <w:spacing w:after="0" w:line="142" w:lineRule="exact"/>
              <w:rPr>
                <w:sz w:val="20"/>
                <w:szCs w:val="20"/>
                <w:color w:val="auto"/>
              </w:rPr>
            </w:pPr>
            <w:r>
              <w:rPr>
                <w:rFonts w:ascii="Arial" w:cs="Arial" w:eastAsia="Arial" w:hAnsi="Arial"/>
                <w:sz w:val="13"/>
                <w:szCs w:val="13"/>
                <w:b w:val="1"/>
                <w:bCs w:val="1"/>
                <w:color w:val="auto"/>
              </w:rPr>
              <w:t>thousands, except share data)</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For the Nine Months Ended December 31, 2021</w:t>
            </w: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ind w:left="20"/>
              <w:spacing w:after="0"/>
              <w:rPr>
                <w:sz w:val="20"/>
                <w:szCs w:val="20"/>
                <w:color w:val="auto"/>
              </w:rPr>
            </w:pPr>
            <w:r>
              <w:rPr>
                <w:rFonts w:ascii="Arial" w:cs="Arial" w:eastAsia="Arial" w:hAnsi="Arial"/>
                <w:sz w:val="13"/>
                <w:szCs w:val="13"/>
                <w:color w:val="auto"/>
              </w:rPr>
              <w:t>Balance at March 31, 2021</w:t>
            </w:r>
          </w:p>
        </w:tc>
        <w:tc>
          <w:tcPr>
            <w:tcW w:w="900" w:type="dxa"/>
            <w:vAlign w:val="bottom"/>
          </w:tcPr>
          <w:p>
            <w:pPr>
              <w:jc w:val="right"/>
              <w:spacing w:after="0"/>
              <w:rPr>
                <w:sz w:val="20"/>
                <w:szCs w:val="20"/>
                <w:color w:val="auto"/>
              </w:rPr>
            </w:pPr>
            <w:r>
              <w:rPr>
                <w:rFonts w:ascii="Arial" w:cs="Arial" w:eastAsia="Arial" w:hAnsi="Arial"/>
                <w:sz w:val="13"/>
                <w:szCs w:val="13"/>
                <w:color w:val="auto"/>
              </w:rPr>
              <w:t>68,529,133</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2,092,595</w:t>
            </w:r>
          </w:p>
        </w:tc>
        <w:tc>
          <w:tcPr>
            <w:tcW w:w="8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249,064</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9,803</w:t>
            </w:r>
          </w:p>
        </w:tc>
        <w:tc>
          <w:tcPr>
            <w:tcW w:w="1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35,765</w:t>
            </w:r>
          </w:p>
        </w:tc>
        <w:tc>
          <w:tcPr>
            <w:tcW w:w="120" w:type="dxa"/>
            <w:vAlign w:val="bottom"/>
          </w:tcPr>
          <w:p>
            <w:pPr>
              <w:spacing w:after="0"/>
              <w:rPr>
                <w:sz w:val="12"/>
                <w:szCs w:val="12"/>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2,387,234</w:t>
            </w: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stock options</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27,107</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1,526</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1,526</w:t>
            </w:r>
          </w:p>
        </w:tc>
        <w:tc>
          <w:tcPr>
            <w:tcW w:w="0" w:type="dxa"/>
            <w:vAlign w:val="bottom"/>
          </w:tcPr>
          <w:p>
            <w:pPr>
              <w:spacing w:after="0"/>
              <w:rPr>
                <w:sz w:val="1"/>
                <w:szCs w:val="1"/>
                <w:color w:val="auto"/>
              </w:rPr>
            </w:pPr>
          </w:p>
        </w:tc>
      </w:tr>
      <w:tr>
        <w:trPr>
          <w:trHeight w:val="116"/>
        </w:trPr>
        <w:tc>
          <w:tcPr>
            <w:tcW w:w="4120" w:type="dxa"/>
            <w:vAlign w:val="bottom"/>
          </w:tcPr>
          <w:p>
            <w:pPr>
              <w:ind w:left="20"/>
              <w:spacing w:after="0" w:line="116" w:lineRule="exact"/>
              <w:rPr>
                <w:sz w:val="20"/>
                <w:szCs w:val="20"/>
                <w:color w:val="auto"/>
              </w:rPr>
            </w:pPr>
            <w:r>
              <w:rPr>
                <w:rFonts w:ascii="Arial" w:cs="Arial" w:eastAsia="Arial" w:hAnsi="Arial"/>
                <w:sz w:val="13"/>
                <w:szCs w:val="13"/>
                <w:color w:val="auto"/>
              </w:rPr>
              <w:t>Issuance of stock under Employee Stock Purchase</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586,203</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19,023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color w:val="auto"/>
              </w:rPr>
              <w:t>19,023</w:t>
            </w:r>
          </w:p>
        </w:tc>
        <w:tc>
          <w:tcPr>
            <w:tcW w:w="0" w:type="dxa"/>
            <w:vAlign w:val="bottom"/>
          </w:tcPr>
          <w:p>
            <w:pPr>
              <w:spacing w:after="0"/>
              <w:rPr>
                <w:sz w:val="1"/>
                <w:szCs w:val="1"/>
                <w:color w:val="auto"/>
              </w:rPr>
            </w:pPr>
          </w:p>
        </w:tc>
      </w:tr>
      <w:tr>
        <w:trPr>
          <w:trHeight w:val="153"/>
        </w:trPr>
        <w:tc>
          <w:tcPr>
            <w:tcW w:w="4120" w:type="dxa"/>
            <w:vAlign w:val="bottom"/>
          </w:tcPr>
          <w:p>
            <w:pPr>
              <w:ind w:left="120"/>
              <w:spacing w:after="0"/>
              <w:rPr>
                <w:sz w:val="20"/>
                <w:szCs w:val="20"/>
                <w:color w:val="auto"/>
              </w:rPr>
            </w:pPr>
            <w:r>
              <w:rPr>
                <w:rFonts w:ascii="Arial" w:cs="Arial" w:eastAsia="Arial" w:hAnsi="Arial"/>
                <w:sz w:val="13"/>
                <w:szCs w:val="13"/>
                <w:color w:val="auto"/>
              </w:rPr>
              <w:t>Plan</w:t>
            </w:r>
          </w:p>
        </w:tc>
        <w:tc>
          <w:tcPr>
            <w:tcW w:w="9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75,267</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74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75,267</w:t>
            </w:r>
          </w:p>
        </w:tc>
        <w:tc>
          <w:tcPr>
            <w:tcW w:w="0" w:type="dxa"/>
            <w:vAlign w:val="bottom"/>
          </w:tcPr>
          <w:p>
            <w:pPr>
              <w:spacing w:after="0"/>
              <w:rPr>
                <w:sz w:val="1"/>
                <w:szCs w:val="1"/>
                <w:color w:val="auto"/>
              </w:rPr>
            </w:pPr>
          </w:p>
        </w:tc>
      </w:tr>
      <w:tr>
        <w:trPr>
          <w:trHeight w:val="116"/>
        </w:trPr>
        <w:tc>
          <w:tcPr>
            <w:tcW w:w="4120" w:type="dxa"/>
            <w:vAlign w:val="bottom"/>
          </w:tcPr>
          <w:p>
            <w:pPr>
              <w:ind w:left="20"/>
              <w:spacing w:after="0" w:line="116" w:lineRule="exact"/>
              <w:rPr>
                <w:sz w:val="20"/>
                <w:szCs w:val="20"/>
                <w:color w:val="auto"/>
              </w:rPr>
            </w:pPr>
            <w:r>
              <w:rPr>
                <w:rFonts w:ascii="Arial" w:cs="Arial" w:eastAsia="Arial" w:hAnsi="Arial"/>
                <w:sz w:val="13"/>
                <w:szCs w:val="13"/>
                <w:color w:val="auto"/>
              </w:rPr>
              <w:t>Shares issued in settlement of certain accrued</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457,130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24,488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color w:val="auto"/>
              </w:rPr>
              <w:t>24,488</w:t>
            </w:r>
          </w:p>
        </w:tc>
        <w:tc>
          <w:tcPr>
            <w:tcW w:w="0" w:type="dxa"/>
            <w:vAlign w:val="bottom"/>
          </w:tcPr>
          <w:p>
            <w:pPr>
              <w:spacing w:after="0"/>
              <w:rPr>
                <w:sz w:val="1"/>
                <w:szCs w:val="1"/>
                <w:color w:val="auto"/>
              </w:rPr>
            </w:pPr>
          </w:p>
        </w:tc>
      </w:tr>
      <w:tr>
        <w:trPr>
          <w:trHeight w:val="153"/>
        </w:trPr>
        <w:tc>
          <w:tcPr>
            <w:tcW w:w="4120" w:type="dxa"/>
            <w:vAlign w:val="bottom"/>
          </w:tcPr>
          <w:p>
            <w:pPr>
              <w:ind w:left="120"/>
              <w:spacing w:after="0"/>
              <w:rPr>
                <w:sz w:val="20"/>
                <w:szCs w:val="20"/>
                <w:color w:val="auto"/>
              </w:rPr>
            </w:pPr>
            <w:r>
              <w:rPr>
                <w:rFonts w:ascii="Arial" w:cs="Arial" w:eastAsia="Arial" w:hAnsi="Arial"/>
                <w:sz w:val="13"/>
                <w:szCs w:val="13"/>
                <w:color w:val="auto"/>
              </w:rPr>
              <w:t>employee compensation liabilities</w:t>
            </w:r>
          </w:p>
        </w:tc>
        <w:tc>
          <w:tcPr>
            <w:tcW w:w="9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120" w:type="dxa"/>
            <w:vAlign w:val="bottom"/>
            <w:shd w:val="clear" w:color="auto" w:fill="CFF0FC"/>
          </w:tcPr>
          <w:p>
            <w:pPr>
              <w:ind w:left="20"/>
              <w:spacing w:after="0" w:line="117" w:lineRule="exact"/>
              <w:rPr>
                <w:sz w:val="20"/>
                <w:szCs w:val="20"/>
                <w:color w:val="auto"/>
              </w:rPr>
            </w:pPr>
            <w:r>
              <w:rPr>
                <w:rFonts w:ascii="Arial" w:cs="Arial" w:eastAsia="Arial" w:hAnsi="Arial"/>
                <w:sz w:val="13"/>
                <w:szCs w:val="13"/>
                <w:color w:val="auto"/>
              </w:rPr>
              <w:t>RSU awards vesting, net of shares withheld for taxes</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793,141</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3"/>
                <w:szCs w:val="13"/>
                <w:color w:val="auto"/>
              </w:rPr>
              <w:t>(22,165 )</w:t>
            </w:r>
          </w:p>
        </w:tc>
        <w:tc>
          <w:tcPr>
            <w:tcW w:w="8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12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0"/>
                <w:szCs w:val="10"/>
                <w:color w:val="auto"/>
              </w:rPr>
            </w:pPr>
          </w:p>
        </w:tc>
        <w:tc>
          <w:tcPr>
            <w:tcW w:w="7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(22,165 )</w:t>
            </w:r>
          </w:p>
        </w:tc>
        <w:tc>
          <w:tcPr>
            <w:tcW w:w="0" w:type="dxa"/>
            <w:vAlign w:val="bottom"/>
          </w:tcPr>
          <w:p>
            <w:pPr>
              <w:spacing w:after="0"/>
              <w:rPr>
                <w:sz w:val="1"/>
                <w:szCs w:val="1"/>
                <w:color w:val="auto"/>
              </w:rPr>
            </w:pPr>
          </w:p>
        </w:tc>
      </w:tr>
      <w:tr>
        <w:trPr>
          <w:trHeight w:val="154"/>
        </w:trPr>
        <w:tc>
          <w:tcPr>
            <w:tcW w:w="41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which have been retired</w:t>
            </w:r>
          </w:p>
        </w:tc>
        <w:tc>
          <w:tcPr>
            <w:tcW w:w="900" w:type="dxa"/>
            <w:vAlign w:val="bottom"/>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gridSpan w:val="2"/>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tcBorders>
              <w:right w:val="single" w:sz="8" w:color="CFF0FC"/>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20" w:type="dxa"/>
            <w:vAlign w:val="bottom"/>
          </w:tcPr>
          <w:p>
            <w:pPr>
              <w:ind w:left="20"/>
              <w:spacing w:after="0"/>
              <w:rPr>
                <w:sz w:val="20"/>
                <w:szCs w:val="20"/>
                <w:color w:val="auto"/>
              </w:rPr>
            </w:pPr>
            <w:r>
              <w:rPr>
                <w:rFonts w:ascii="Arial" w:cs="Arial" w:eastAsia="Arial" w:hAnsi="Arial"/>
                <w:sz w:val="13"/>
                <w:szCs w:val="13"/>
                <w:color w:val="auto"/>
              </w:rPr>
              <w:t>Shares issued in connection with acquisition of business</w:t>
            </w:r>
          </w:p>
        </w:tc>
        <w:tc>
          <w:tcPr>
            <w:tcW w:w="900" w:type="dxa"/>
            <w:vAlign w:val="bottom"/>
          </w:tcPr>
          <w:p>
            <w:pPr>
              <w:jc w:val="right"/>
              <w:spacing w:after="0"/>
              <w:rPr>
                <w:sz w:val="20"/>
                <w:szCs w:val="20"/>
                <w:color w:val="auto"/>
              </w:rPr>
            </w:pPr>
            <w:r>
              <w:rPr>
                <w:rFonts w:ascii="Arial" w:cs="Arial" w:eastAsia="Arial" w:hAnsi="Arial"/>
                <w:sz w:val="13"/>
                <w:szCs w:val="13"/>
                <w:color w:val="auto"/>
              </w:rPr>
              <w:t>4,000,189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207,169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207,169</w:t>
            </w: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(11 )</w:t>
            </w:r>
          </w:p>
        </w:tc>
        <w:tc>
          <w:tcPr>
            <w:tcW w:w="20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(11 )</w:t>
            </w:r>
          </w:p>
        </w:tc>
        <w:tc>
          <w:tcPr>
            <w:tcW w:w="0" w:type="dxa"/>
            <w:vAlign w:val="bottom"/>
          </w:tcPr>
          <w:p>
            <w:pPr>
              <w:spacing w:after="0"/>
              <w:rPr>
                <w:sz w:val="1"/>
                <w:szCs w:val="1"/>
                <w:color w:val="auto"/>
              </w:rPr>
            </w:pPr>
          </w:p>
        </w:tc>
      </w:tr>
      <w:tr>
        <w:trPr>
          <w:trHeight w:val="149"/>
        </w:trPr>
        <w:tc>
          <w:tcPr>
            <w:tcW w:w="41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13,646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5,526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19,172</w:t>
            </w: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comprehensive loss, net of tax</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(35,973 )</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(35,973 )</w:t>
            </w:r>
          </w:p>
        </w:tc>
        <w:tc>
          <w:tcPr>
            <w:tcW w:w="0" w:type="dxa"/>
            <w:vAlign w:val="bottom"/>
          </w:tcPr>
          <w:p>
            <w:pPr>
              <w:spacing w:after="0"/>
              <w:rPr>
                <w:sz w:val="1"/>
                <w:szCs w:val="1"/>
                <w:color w:val="auto"/>
              </w:rPr>
            </w:pPr>
          </w:p>
        </w:tc>
      </w:tr>
      <w:tr>
        <w:trPr>
          <w:trHeight w:val="20"/>
        </w:trPr>
        <w:tc>
          <w:tcPr>
            <w:tcW w:w="41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20" w:type="dxa"/>
            <w:vAlign w:val="bottom"/>
          </w:tcPr>
          <w:p>
            <w:pPr>
              <w:ind w:left="20"/>
              <w:spacing w:after="0" w:line="142" w:lineRule="exact"/>
              <w:rPr>
                <w:sz w:val="20"/>
                <w:szCs w:val="20"/>
                <w:color w:val="auto"/>
              </w:rPr>
            </w:pPr>
            <w:r>
              <w:rPr>
                <w:rFonts w:ascii="Arial" w:cs="Arial" w:eastAsia="Arial" w:hAnsi="Arial"/>
                <w:sz w:val="13"/>
                <w:szCs w:val="13"/>
                <w:color w:val="auto"/>
              </w:rPr>
              <w:t>Balance at December 31, 2021</w:t>
            </w: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74,392,903</w:t>
            </w:r>
          </w:p>
        </w:tc>
        <w:tc>
          <w:tcPr>
            <w:tcW w:w="14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7</w:t>
            </w:r>
          </w:p>
        </w:tc>
        <w:tc>
          <w:tcPr>
            <w:tcW w:w="12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2,397,903</w:t>
            </w:r>
          </w:p>
        </w:tc>
        <w:tc>
          <w:tcPr>
            <w:tcW w:w="8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262,710</w:t>
            </w:r>
          </w:p>
        </w:tc>
        <w:tc>
          <w:tcPr>
            <w:tcW w:w="10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(26,170 )</w:t>
            </w:r>
          </w:p>
        </w:tc>
        <w:tc>
          <w:tcPr>
            <w:tcW w:w="10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line="142" w:lineRule="exact"/>
              <w:rPr>
                <w:sz w:val="20"/>
                <w:szCs w:val="20"/>
                <w:color w:val="auto"/>
              </w:rPr>
            </w:pPr>
            <w:r>
              <w:rPr>
                <w:rFonts w:ascii="Arial" w:cs="Arial" w:eastAsia="Arial" w:hAnsi="Arial"/>
                <w:sz w:val="13"/>
                <w:szCs w:val="13"/>
                <w:color w:val="auto"/>
              </w:rPr>
              <w:t>41,280</w:t>
            </w:r>
          </w:p>
        </w:tc>
        <w:tc>
          <w:tcPr>
            <w:tcW w:w="120" w:type="dxa"/>
            <w:vAlign w:val="bottom"/>
          </w:tcPr>
          <w:p>
            <w:pPr>
              <w:spacing w:after="0"/>
              <w:rPr>
                <w:sz w:val="12"/>
                <w:szCs w:val="12"/>
                <w:color w:val="auto"/>
              </w:rPr>
            </w:pPr>
          </w:p>
        </w:tc>
        <w:tc>
          <w:tcPr>
            <w:tcW w:w="2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line="142" w:lineRule="exact"/>
              <w:rPr>
                <w:sz w:val="20"/>
                <w:szCs w:val="20"/>
                <w:color w:val="auto"/>
              </w:rPr>
            </w:pPr>
            <w:r>
              <w:rPr>
                <w:rFonts w:ascii="Arial" w:cs="Arial" w:eastAsia="Arial" w:hAnsi="Arial"/>
                <w:sz w:val="13"/>
                <w:szCs w:val="13"/>
                <w:color w:val="auto"/>
              </w:rPr>
              <w:t>2,675,730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20" w:type="dxa"/>
            <w:vAlign w:val="bottom"/>
          </w:tcPr>
          <w:p>
            <w:pPr>
              <w:ind w:left="20"/>
              <w:spacing w:after="0"/>
              <w:rPr>
                <w:sz w:val="20"/>
                <w:szCs w:val="20"/>
                <w:color w:val="auto"/>
              </w:rPr>
            </w:pPr>
            <w:r>
              <w:rPr>
                <w:rFonts w:ascii="Arial" w:cs="Arial" w:eastAsia="Arial" w:hAnsi="Arial"/>
                <w:sz w:val="13"/>
                <w:szCs w:val="13"/>
                <w:b w:val="1"/>
                <w:bCs w:val="1"/>
                <w:color w:val="auto"/>
              </w:rPr>
              <w:t>For the Nine Months Ended December 31, 2020</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March 31, 2020</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62,147,140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1,788,456</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245,373</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(6,048 )</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22,355</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2,050,142</w:t>
            </w:r>
          </w:p>
        </w:tc>
        <w:tc>
          <w:tcPr>
            <w:tcW w:w="0" w:type="dxa"/>
            <w:vAlign w:val="bottom"/>
          </w:tcPr>
          <w:p>
            <w:pPr>
              <w:spacing w:after="0"/>
              <w:rPr>
                <w:sz w:val="1"/>
                <w:szCs w:val="1"/>
                <w:color w:val="auto"/>
              </w:rPr>
            </w:pPr>
          </w:p>
        </w:tc>
      </w:tr>
      <w:tr>
        <w:trPr>
          <w:trHeight w:val="116"/>
        </w:trPr>
        <w:tc>
          <w:tcPr>
            <w:tcW w:w="4120" w:type="dxa"/>
            <w:vAlign w:val="bottom"/>
          </w:tcPr>
          <w:p>
            <w:pPr>
              <w:ind w:left="20"/>
              <w:spacing w:after="0" w:line="116" w:lineRule="exact"/>
              <w:rPr>
                <w:sz w:val="20"/>
                <w:szCs w:val="20"/>
                <w:color w:val="auto"/>
              </w:rPr>
            </w:pPr>
            <w:r>
              <w:rPr>
                <w:rFonts w:ascii="Arial" w:cs="Arial" w:eastAsia="Arial" w:hAnsi="Arial"/>
                <w:sz w:val="13"/>
                <w:szCs w:val="13"/>
                <w:color w:val="auto"/>
              </w:rPr>
              <w:t>Issuance of stock under Employee Stock Purchase</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638,792</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19,101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color w:val="auto"/>
              </w:rPr>
              <w:t>19,101</w:t>
            </w:r>
          </w:p>
        </w:tc>
        <w:tc>
          <w:tcPr>
            <w:tcW w:w="0" w:type="dxa"/>
            <w:vAlign w:val="bottom"/>
          </w:tcPr>
          <w:p>
            <w:pPr>
              <w:spacing w:after="0"/>
              <w:rPr>
                <w:sz w:val="1"/>
                <w:szCs w:val="1"/>
                <w:color w:val="auto"/>
              </w:rPr>
            </w:pPr>
          </w:p>
        </w:tc>
      </w:tr>
      <w:tr>
        <w:trPr>
          <w:trHeight w:val="153"/>
        </w:trPr>
        <w:tc>
          <w:tcPr>
            <w:tcW w:w="4120" w:type="dxa"/>
            <w:vAlign w:val="bottom"/>
          </w:tcPr>
          <w:p>
            <w:pPr>
              <w:ind w:left="120"/>
              <w:spacing w:after="0"/>
              <w:rPr>
                <w:sz w:val="20"/>
                <w:szCs w:val="20"/>
                <w:color w:val="auto"/>
              </w:rPr>
            </w:pPr>
            <w:r>
              <w:rPr>
                <w:rFonts w:ascii="Arial" w:cs="Arial" w:eastAsia="Arial" w:hAnsi="Arial"/>
                <w:sz w:val="13"/>
                <w:szCs w:val="13"/>
                <w:color w:val="auto"/>
              </w:rPr>
              <w:t>Plan</w:t>
            </w:r>
          </w:p>
        </w:tc>
        <w:tc>
          <w:tcPr>
            <w:tcW w:w="9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120" w:type="dxa"/>
            <w:vAlign w:val="bottom"/>
            <w:shd w:val="clear" w:color="auto" w:fill="CFF0FC"/>
          </w:tcPr>
          <w:p>
            <w:pPr>
              <w:ind w:left="20"/>
              <w:spacing w:after="0" w:line="117" w:lineRule="exact"/>
              <w:rPr>
                <w:sz w:val="20"/>
                <w:szCs w:val="20"/>
                <w:color w:val="auto"/>
              </w:rPr>
            </w:pPr>
            <w:r>
              <w:rPr>
                <w:rFonts w:ascii="Arial" w:cs="Arial" w:eastAsia="Arial" w:hAnsi="Arial"/>
                <w:sz w:val="13"/>
                <w:szCs w:val="13"/>
                <w:color w:val="auto"/>
              </w:rPr>
              <w:t>Common stock issued in private placement, net of</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4,474,559</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174,748</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12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0"/>
                <w:szCs w:val="10"/>
                <w:color w:val="auto"/>
              </w:rPr>
            </w:pPr>
          </w:p>
        </w:tc>
        <w:tc>
          <w:tcPr>
            <w:tcW w:w="740" w:type="dxa"/>
            <w:vAlign w:val="bottom"/>
            <w:tcBorders>
              <w:right w:val="single" w:sz="8" w:color="CFF0FC"/>
            </w:tcBorders>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174,749</w:t>
            </w:r>
          </w:p>
        </w:tc>
        <w:tc>
          <w:tcPr>
            <w:tcW w:w="0" w:type="dxa"/>
            <w:vAlign w:val="bottom"/>
          </w:tcPr>
          <w:p>
            <w:pPr>
              <w:spacing w:after="0"/>
              <w:rPr>
                <w:sz w:val="1"/>
                <w:szCs w:val="1"/>
                <w:color w:val="auto"/>
              </w:rPr>
            </w:pPr>
          </w:p>
        </w:tc>
      </w:tr>
      <w:tr>
        <w:trPr>
          <w:trHeight w:val="154"/>
        </w:trPr>
        <w:tc>
          <w:tcPr>
            <w:tcW w:w="41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issuance costs</w:t>
            </w:r>
          </w:p>
        </w:tc>
        <w:tc>
          <w:tcPr>
            <w:tcW w:w="900" w:type="dxa"/>
            <w:vAlign w:val="bottom"/>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gridSpan w:val="2"/>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tcBorders>
              <w:right w:val="single" w:sz="8" w:color="CFF0FC"/>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2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75,655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75,655</w:t>
            </w:r>
          </w:p>
        </w:tc>
        <w:tc>
          <w:tcPr>
            <w:tcW w:w="0" w:type="dxa"/>
            <w:vAlign w:val="bottom"/>
          </w:tcPr>
          <w:p>
            <w:pPr>
              <w:spacing w:after="0"/>
              <w:rPr>
                <w:sz w:val="1"/>
                <w:szCs w:val="1"/>
                <w:color w:val="auto"/>
              </w:rPr>
            </w:pPr>
          </w:p>
        </w:tc>
      </w:tr>
      <w:tr>
        <w:trPr>
          <w:trHeight w:val="116"/>
        </w:trPr>
        <w:tc>
          <w:tcPr>
            <w:tcW w:w="4120" w:type="dxa"/>
            <w:vAlign w:val="bottom"/>
            <w:shd w:val="clear" w:color="auto" w:fill="CFF0FC"/>
          </w:tcPr>
          <w:p>
            <w:pPr>
              <w:ind w:left="20"/>
              <w:spacing w:after="0" w:line="116" w:lineRule="exact"/>
              <w:rPr>
                <w:sz w:val="20"/>
                <w:szCs w:val="20"/>
                <w:color w:val="auto"/>
              </w:rPr>
            </w:pPr>
            <w:r>
              <w:rPr>
                <w:rFonts w:ascii="Arial" w:cs="Arial" w:eastAsia="Arial" w:hAnsi="Arial"/>
                <w:sz w:val="13"/>
                <w:szCs w:val="13"/>
                <w:color w:val="auto"/>
              </w:rPr>
              <w:t>Shares issued in settlement of certain accrued</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580,846</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25,406</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12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0"/>
                <w:szCs w:val="10"/>
                <w:color w:val="auto"/>
              </w:rPr>
            </w:pPr>
          </w:p>
        </w:tc>
        <w:tc>
          <w:tcPr>
            <w:tcW w:w="740" w:type="dxa"/>
            <w:vAlign w:val="bottom"/>
            <w:tcBorders>
              <w:right w:val="single" w:sz="8" w:color="CFF0FC"/>
            </w:tcBorders>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25,406</w:t>
            </w:r>
          </w:p>
        </w:tc>
        <w:tc>
          <w:tcPr>
            <w:tcW w:w="0" w:type="dxa"/>
            <w:vAlign w:val="bottom"/>
          </w:tcPr>
          <w:p>
            <w:pPr>
              <w:spacing w:after="0"/>
              <w:rPr>
                <w:sz w:val="1"/>
                <w:szCs w:val="1"/>
                <w:color w:val="auto"/>
              </w:rPr>
            </w:pPr>
          </w:p>
        </w:tc>
      </w:tr>
      <w:tr>
        <w:trPr>
          <w:trHeight w:val="154"/>
        </w:trPr>
        <w:tc>
          <w:tcPr>
            <w:tcW w:w="41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employee compensation liabilities</w:t>
            </w:r>
          </w:p>
        </w:tc>
        <w:tc>
          <w:tcPr>
            <w:tcW w:w="900" w:type="dxa"/>
            <w:vAlign w:val="bottom"/>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gridSpan w:val="2"/>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tcBorders>
              <w:right w:val="single" w:sz="8" w:color="CFF0FC"/>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4120" w:type="dxa"/>
            <w:vAlign w:val="bottom"/>
          </w:tcPr>
          <w:p>
            <w:pPr>
              <w:ind w:left="20"/>
              <w:spacing w:after="0" w:line="116" w:lineRule="exact"/>
              <w:rPr>
                <w:sz w:val="20"/>
                <w:szCs w:val="20"/>
                <w:color w:val="auto"/>
              </w:rPr>
            </w:pPr>
            <w:r>
              <w:rPr>
                <w:rFonts w:ascii="Arial" w:cs="Arial" w:eastAsia="Arial" w:hAnsi="Arial"/>
                <w:sz w:val="13"/>
                <w:szCs w:val="13"/>
                <w:color w:val="auto"/>
              </w:rPr>
              <w:t>RSU awards vesting, net of shares withheld for taxes</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662,991</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(13,013 )</w:t>
            </w:r>
          </w:p>
        </w:tc>
        <w:tc>
          <w:tcPr>
            <w:tcW w:w="8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(13,013 )</w:t>
            </w:r>
          </w:p>
        </w:tc>
        <w:tc>
          <w:tcPr>
            <w:tcW w:w="0" w:type="dxa"/>
            <w:vAlign w:val="bottom"/>
          </w:tcPr>
          <w:p>
            <w:pPr>
              <w:spacing w:after="0"/>
              <w:rPr>
                <w:sz w:val="1"/>
                <w:szCs w:val="1"/>
                <w:color w:val="auto"/>
              </w:rPr>
            </w:pPr>
          </w:p>
        </w:tc>
      </w:tr>
      <w:tr>
        <w:trPr>
          <w:trHeight w:val="153"/>
        </w:trPr>
        <w:tc>
          <w:tcPr>
            <w:tcW w:w="4120" w:type="dxa"/>
            <w:vAlign w:val="bottom"/>
          </w:tcPr>
          <w:p>
            <w:pPr>
              <w:ind w:left="120"/>
              <w:spacing w:after="0"/>
              <w:rPr>
                <w:sz w:val="20"/>
                <w:szCs w:val="20"/>
                <w:color w:val="auto"/>
              </w:rPr>
            </w:pPr>
            <w:r>
              <w:rPr>
                <w:rFonts w:ascii="Arial" w:cs="Arial" w:eastAsia="Arial" w:hAnsi="Arial"/>
                <w:sz w:val="13"/>
                <w:szCs w:val="13"/>
                <w:color w:val="auto"/>
              </w:rPr>
              <w:t>which have been retired</w:t>
            </w:r>
          </w:p>
        </w:tc>
        <w:tc>
          <w:tcPr>
            <w:tcW w:w="9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 income</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(3,666 )</w:t>
            </w:r>
          </w:p>
        </w:tc>
        <w:tc>
          <w:tcPr>
            <w:tcW w:w="10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6,290</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2,624</w:t>
            </w:r>
          </w:p>
        </w:tc>
        <w:tc>
          <w:tcPr>
            <w:tcW w:w="0" w:type="dxa"/>
            <w:vAlign w:val="bottom"/>
          </w:tcPr>
          <w:p>
            <w:pPr>
              <w:spacing w:after="0"/>
              <w:rPr>
                <w:sz w:val="1"/>
                <w:szCs w:val="1"/>
                <w:color w:val="auto"/>
              </w:rPr>
            </w:pPr>
          </w:p>
        </w:tc>
      </w:tr>
      <w:tr>
        <w:trPr>
          <w:trHeight w:val="148"/>
        </w:trPr>
        <w:tc>
          <w:tcPr>
            <w:tcW w:w="4120" w:type="dxa"/>
            <w:vAlign w:val="bottom"/>
          </w:tcPr>
          <w:p>
            <w:pPr>
              <w:ind w:left="20"/>
              <w:spacing w:after="0"/>
              <w:rPr>
                <w:sz w:val="20"/>
                <w:szCs w:val="20"/>
                <w:color w:val="auto"/>
              </w:rPr>
            </w:pPr>
            <w:r>
              <w:rPr>
                <w:rFonts w:ascii="Arial" w:cs="Arial" w:eastAsia="Arial" w:hAnsi="Arial"/>
                <w:sz w:val="13"/>
                <w:szCs w:val="13"/>
                <w:color w:val="auto"/>
              </w:rPr>
              <w:t>Other comprehensive income, net of tax</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12,662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12,662</w:t>
            </w:r>
          </w:p>
        </w:tc>
        <w:tc>
          <w:tcPr>
            <w:tcW w:w="0" w:type="dxa"/>
            <w:vAlign w:val="bottom"/>
          </w:tcPr>
          <w:p>
            <w:pPr>
              <w:spacing w:after="0"/>
              <w:rPr>
                <w:sz w:val="1"/>
                <w:szCs w:val="1"/>
                <w:color w:val="auto"/>
              </w:rPr>
            </w:pPr>
          </w:p>
        </w:tc>
      </w:tr>
      <w:tr>
        <w:trPr>
          <w:trHeight w:val="182"/>
        </w:trPr>
        <w:tc>
          <w:tcPr>
            <w:tcW w:w="4120" w:type="dxa"/>
            <w:vAlign w:val="bottom"/>
            <w:tcBorders>
              <w:bottom w:val="single" w:sz="8" w:color="CFF0FC"/>
            </w:tcBorders>
            <w:shd w:val="clear" w:color="auto" w:fill="CFF0FC"/>
          </w:tcPr>
          <w:p>
            <w:pPr>
              <w:ind w:left="20"/>
              <w:spacing w:after="0" w:line="142" w:lineRule="exact"/>
              <w:rPr>
                <w:sz w:val="20"/>
                <w:szCs w:val="20"/>
                <w:color w:val="auto"/>
              </w:rPr>
            </w:pPr>
            <w:r>
              <w:rPr>
                <w:rFonts w:ascii="Arial" w:cs="Arial" w:eastAsia="Arial" w:hAnsi="Arial"/>
                <w:sz w:val="13"/>
                <w:szCs w:val="13"/>
                <w:color w:val="auto"/>
              </w:rPr>
              <w:t>Balance at December 31, 2020</w:t>
            </w: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68,504,328</w:t>
            </w: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2,070,353</w:t>
            </w:r>
          </w:p>
        </w:tc>
        <w:tc>
          <w:tcPr>
            <w:tcW w:w="8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241,707</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6,614</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28,645</w:t>
            </w: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right w:val="single" w:sz="8" w:color="CFF0FC"/>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rPr>
              <w:t>2,347,326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-1504950</wp:posOffset>
            </wp:positionV>
            <wp:extent cx="4318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-1504950</wp:posOffset>
            </wp:positionV>
            <wp:extent cx="4318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-1504950</wp:posOffset>
            </wp:positionV>
            <wp:extent cx="4318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-1504950</wp:posOffset>
            </wp:positionV>
            <wp:extent cx="4318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-1504950</wp:posOffset>
            </wp:positionV>
            <wp:extent cx="4318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-1504950</wp:posOffset>
            </wp:positionV>
            <wp:extent cx="4318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-1504950</wp:posOffset>
            </wp:positionV>
            <wp:extent cx="4318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-25400</wp:posOffset>
            </wp:positionV>
            <wp:extent cx="431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-7620</wp:posOffset>
            </wp:positionV>
            <wp:extent cx="431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-25400</wp:posOffset>
            </wp:positionV>
            <wp:extent cx="431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-7620</wp:posOffset>
            </wp:positionV>
            <wp:extent cx="431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-25400</wp:posOffset>
            </wp:positionV>
            <wp:extent cx="431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431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-25400</wp:posOffset>
            </wp:positionV>
            <wp:extent cx="431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431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-25400</wp:posOffset>
            </wp:positionV>
            <wp:extent cx="431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431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-25400</wp:posOffset>
            </wp:positionV>
            <wp:extent cx="431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-7620</wp:posOffset>
            </wp:positionV>
            <wp:extent cx="431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85"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The accompanying condensed consolidated balance sheet at December 31, 2021, the condensed consolidated statements of operations and comprehensive income (loss) for the three and nine months ended December 31, 2021 and 2020, the condensed consolidated statements of cash flows for the nine months ended December 31, 2021 and 2020 and the condensed consolidated statements of equity for the three and nine months ended December 31, 2021 and 2020 have been prepared by the management of Viasat, Inc. (also referred to hereafter as the Company or Viasat), and have not been audited. These financial statements have been prepared on the same basis as the audited consolidated financial statements for the fiscal year ended March 31, 2021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31, 2021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51" w:lineRule="exact"/>
        <w:rPr>
          <w:sz w:val="20"/>
          <w:szCs w:val="20"/>
          <w:color w:val="auto"/>
        </w:rPr>
      </w:pPr>
    </w:p>
    <w:p>
      <w:pPr>
        <w:ind w:right="200" w:firstLine="509"/>
        <w:spacing w:after="0" w:line="255" w:lineRule="auto"/>
        <w:rPr>
          <w:sz w:val="20"/>
          <w:szCs w:val="20"/>
          <w:color w:val="auto"/>
        </w:rPr>
      </w:pPr>
      <w:r>
        <w:rPr>
          <w:rFonts w:ascii="Arial" w:cs="Arial" w:eastAsia="Arial" w:hAnsi="Arial"/>
          <w:sz w:val="17"/>
          <w:szCs w:val="17"/>
          <w:color w:val="auto"/>
        </w:rPr>
        <w:t>The Company’s condensed consolidated financial statements include the assets, liabilities and results of operations of Viasat, its wholly owned subsidiaries and its majority-owned subsidiary, TrellisWare Technologies, Inc. (TrellisWare). During the first quarter of fiscal year 2022, the Company completed the acquisitions of the remaining 51% interest in Euro Broadband Infrastructure Sàrl (EBI) and RigNet, Inc. (RigNet) (see Note 12 – Acquisitions for more information). The acquisitions were accounted for as purchases and accordingly, the condensed consolidated financial statements include the operating results of EBI and RigNet from the dates of acquisition.</w:t>
      </w:r>
    </w:p>
    <w:p>
      <w:pPr>
        <w:spacing w:after="0" w:line="136" w:lineRule="exact"/>
        <w:rPr>
          <w:sz w:val="20"/>
          <w:szCs w:val="20"/>
          <w:color w:val="auto"/>
        </w:rPr>
      </w:pPr>
    </w:p>
    <w:p>
      <w:pPr>
        <w:jc w:val="both"/>
        <w:ind w:right="320" w:firstLine="509"/>
        <w:spacing w:after="0"/>
        <w:rPr>
          <w:sz w:val="20"/>
          <w:szCs w:val="20"/>
          <w:color w:val="auto"/>
        </w:rPr>
      </w:pPr>
      <w:r>
        <w:rPr>
          <w:rFonts w:ascii="Arial" w:cs="Arial" w:eastAsia="Arial" w:hAnsi="Arial"/>
          <w:sz w:val="18"/>
          <w:szCs w:val="18"/>
          <w:color w:val="auto"/>
        </w:rPr>
        <w:t>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w:t>
      </w:r>
    </w:p>
    <w:p>
      <w:pPr>
        <w:spacing w:after="0" w:line="14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On November 8, 2021, the Company entered into a Share Purchase Agreement to combine with Connect Topco Limited, a private company limited by shares and incorporated in Guernsey (Inmarsat), with the shareholders of Inmarsat and certain management and employees who hold options and shares of a subsidiary of Inmarsat whose options and shares will be exchanged for shares of Inmarsat prior to closing (collectively, the Sellers). Pursuant to the Share Purchase Agreement, the Company will purchase all of the issued and outstanding shares of Inmarsat from the Sellers upon the terms and subject to the conditions set forth therein (the Inmarsat Transaction) (see Note 12 – Acquisitions for more information).</w:t>
      </w:r>
    </w:p>
    <w:p>
      <w:pPr>
        <w:spacing w:after="0" w:line="151"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During the second quarter of fiscal year 2021, the Company issued and sold an aggregate of 4,474,559 shares of the Company’s common stock at a purchase price of $39.11 per share to certain accredited investors in a private placement transaction exempt from registration under the Securities Act of 1933, as amended, resulting in net proceeds of approximately $174.7 million after deducting offering expenses.</w:t>
      </w:r>
    </w:p>
    <w:p>
      <w:pPr>
        <w:spacing w:after="0" w:line="15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allowance for doubtful accounts, valuation of goodwill and other intangible assets, patents, orbital slots and other licenses, software development, property, equipment and satellites, long-lived assets, contingencies and income taxes including the valuation allowance on deferred tax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85"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Company applies the five-step model under Accounting Standards Codification (ASC) 606 to its contracts with its customers. Under this model the Company (1) identifies the contract with the customer, (2) identifies its performance obligations in the contract, (3) determines the transaction price for the contract, (4) allocates the transaction price to its performance obligations and (5) recognizes revenue when or as it satisfies its performance obligations. These performance obligations generally include the purchase of services (including broadband capacity and the leasing of</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broadband equipment), the purchase of products, and the development and delivery of complex equipment built to customer specifications under long-term contracts.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95" w:lineRule="exact"/>
        <w:rPr>
          <w:sz w:val="20"/>
          <w:szCs w:val="20"/>
          <w:color w:val="auto"/>
        </w:rPr>
      </w:pPr>
    </w:p>
    <w:p>
      <w:pPr>
        <w:ind w:right="20" w:firstLine="509"/>
        <w:spacing w:after="0" w:line="234" w:lineRule="auto"/>
        <w:rPr>
          <w:sz w:val="20"/>
          <w:szCs w:val="20"/>
          <w:color w:val="auto"/>
        </w:rPr>
      </w:pPr>
      <w:r>
        <w:rPr>
          <w:rFonts w:ascii="Arial" w:cs="Arial" w:eastAsia="Arial" w:hAnsi="Arial"/>
          <w:sz w:val="18"/>
          <w:szCs w:val="18"/>
          <w:color w:val="auto"/>
        </w:rPr>
        <w:t>The timing of satisfaction of performance obligations may require judgment. The Company derives a substantial portion of its revenues from contracts with customers for services, primarily consisting of connectivity services. These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The Company evaluates whether broadband equipment provided to its customers as part of the delivery of connectivity services represents a lease in accordance with ASC</w:t>
      </w:r>
    </w:p>
    <w:p>
      <w:pPr>
        <w:spacing w:after="0" w:line="4" w:lineRule="exact"/>
        <w:rPr>
          <w:sz w:val="20"/>
          <w:szCs w:val="20"/>
          <w:color w:val="auto"/>
        </w:rPr>
      </w:pPr>
    </w:p>
    <w:p>
      <w:pPr>
        <w:jc w:val="both"/>
        <w:ind w:right="60" w:firstLine="8"/>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discussed further below under “Leases - Lessor accounting”, for broadband equipment leased to consumer broadband customers in conjunction with the delivery of connectivity services, the Company accounts for the lease and non-lease components of connectivity service arrangements as a single performance obligation as the connectivity services represent the predominant component.</w:t>
      </w:r>
    </w:p>
    <w:p>
      <w:pPr>
        <w:spacing w:after="0" w:line="149"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The Company also derives a portion of its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the Company considers indicators that include, but are not limited to, whether (1) the Company has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49"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The vast majority of the Company’s revenues from long-term contracts to develop and deliver complex equipment built to customer specifications are derived from contracts with the U.S. Government (including foreign military sales contracted through the U.S. Government). The Company’s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the Company’s U.S. Government fixed-price contracts, the customer pays the Company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the Company’s U.S. Government fixed-price contracts generally result in revenue recognized in excess of billings which the Company presents as unbilled accounts receivable on the balance sheet. Amounts billed and due from the Company’s customers are classified as receivables on the balance sheet. The portion of the payments retained by the customer until final contract settlement is not considered a significant financing component because the intent is to protect the customer. For the Company’s U.S. Government cost-type contracts, the customer generally pays the Company for its actual costs incurred within a short period of time. For non-U.S. Government contracts, the Company typically receives interim payments as work progresses, although for some contracts, the Company may be entitled to receive an advance payment. The Company recognizes a liability for these advance payments in excess of revenue recognized and presents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the Company from the other party failing to adequately complete some or all of its obligations under the contract.</w:t>
      </w:r>
    </w:p>
    <w:p>
      <w:pPr>
        <w:spacing w:after="0" w:line="172" w:lineRule="exact"/>
        <w:rPr>
          <w:sz w:val="20"/>
          <w:szCs w:val="20"/>
          <w:color w:val="auto"/>
        </w:rPr>
      </w:pPr>
    </w:p>
    <w:p>
      <w:pPr>
        <w:ind w:right="140" w:firstLine="509"/>
        <w:spacing w:after="0" w:line="237"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w:t>
      </w:r>
    </w:p>
    <w:p>
      <w:pPr>
        <w:spacing w:after="0" w:line="164"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concluded for fiscal years 2020 or 2021. As of December 31, 2021, the DCAA had completed its incurred cost audit for fiscal years 2004, 2016 and 2019 and approved the Company’s incurred costs for those fiscal years, as well as approved the Company’s incurred costs for fiscal years 2005 through 2015, 2017 and 2018 without further audit based on the determination of low risk. Although the Company has recorded contract revenues subsequent to fiscal year 2019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December 31, 2021 and March 31, 2021, the Company had $12.1 million and $10.3 million, respectively, in contract-related reserves for its estimate of potential refunds to customers for potential cost adjustments on several multi-year U.S. Government cost reimbursable contracts (see Note 8 — Commitments and Contingencies for more information).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transaction price</w:t>
      </w:r>
    </w:p>
    <w:p>
      <w:pPr>
        <w:spacing w:after="0" w:line="95"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the Company’s performance obligations, the estimation of total revenue, and, where applicable, the cost at completion, is complex, subject to many variables and requires significant judgment. The Company’s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The Company estimates variable consideration at the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 In the event an agreement includes embedded financing components, the Company recognizes interest expense or interest income on the embedded financing components using the effective interest method. This methodology uses an implied interest rate which reflects the incremental borrowing rate which would be expected to be obtained in a separate financing transaction. The Company has elected the practical expedient not to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73" w:lineRule="exact"/>
        <w:rPr>
          <w:sz w:val="20"/>
          <w:szCs w:val="20"/>
          <w:color w:val="auto"/>
        </w:rPr>
      </w:pPr>
    </w:p>
    <w:p>
      <w:pPr>
        <w:ind w:right="280" w:firstLine="509"/>
        <w:spacing w:after="0" w:line="237"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the Company utilizes the observable price of a good or service when the Company sells that good or service separately in similar circumstances and to similar customers. If a standalone selling price is not directly observable, the Company estimates the standalone selling price by considering all information (including market conditions, specific factors, and information about the customer or class of customer) that is reasonably available.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95"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Company’s remaining performance obligations represent the transaction price of firm contracts and orders for which work has not been performed. The Company includes in its remaining performance obligations only those contracts and orders for which it has accepted purchase orders. Remaining performance obligations associated with the Company’s</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subscribers for fixed consumer and business broadband services in its satellite services segment exclude month-to-month service contracts in accordance with a practical expedient and are estimated using a portfolio approach in which the Company reviews all relevant promotional activities and calculates the remaining performance obligation using the average service component for the portfolio and the average time remaining under the contract. The Company’s future recurring in-flight connectivity service contracts in its satellite services segment do not have minimum service purchase requirements and therefore are not included in the Company’s remaining performance obligations. As of December 31, 2021, the aggregate amount of the transaction price allocated to remaining performance obligations was $2.1 billion, of which the Company expects to recognize a little over half over the next 12 months, with the balance recognized thereafter.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95"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The Company operates and manages its business in three reportable segments: satellite services, commercial networks and government systems. Revenue is disaggregated by products and services, customer type, contract type, and geographic area, respectively, as the Company believes this approach best depicts how the nature, amount, timing and uncertainty of its revenue and cash flows are affected by economic factors.</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sets forth disaggregated reported revenue by segment and product and services for the three and nine months ended</w:t>
      </w:r>
    </w:p>
    <w:p>
      <w:pPr>
        <w:spacing w:after="0"/>
        <w:rPr>
          <w:sz w:val="20"/>
          <w:szCs w:val="20"/>
          <w:color w:val="auto"/>
        </w:rPr>
      </w:pPr>
      <w:r>
        <w:rPr>
          <w:rFonts w:ascii="Arial" w:cs="Arial" w:eastAsia="Arial" w:hAnsi="Arial"/>
          <w:sz w:val="18"/>
          <w:szCs w:val="18"/>
          <w:color w:val="auto"/>
        </w:rPr>
        <w:t>December 31, 2021 and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center"/>
              <w:ind w:right="77"/>
              <w:spacing w:after="0"/>
              <w:rPr>
                <w:sz w:val="20"/>
                <w:szCs w:val="20"/>
                <w:color w:val="auto"/>
              </w:rPr>
            </w:pPr>
            <w:r>
              <w:rPr>
                <w:rFonts w:ascii="Arial" w:cs="Arial" w:eastAsia="Arial" w:hAnsi="Arial"/>
                <w:sz w:val="14"/>
                <w:szCs w:val="14"/>
                <w:b w:val="1"/>
                <w:bCs w:val="1"/>
                <w:color w:val="auto"/>
              </w:rPr>
              <w:t>Three Months Ended December 31, 2021</w:t>
            </w: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29"/>
        </w:trPr>
        <w:tc>
          <w:tcPr>
            <w:tcW w:w="4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ind w:left="160"/>
              <w:spacing w:after="0" w:line="129" w:lineRule="exact"/>
              <w:rPr>
                <w:sz w:val="20"/>
                <w:szCs w:val="20"/>
                <w:color w:val="auto"/>
              </w:rPr>
            </w:pPr>
            <w:r>
              <w:rPr>
                <w:rFonts w:ascii="Arial" w:cs="Arial" w:eastAsia="Arial" w:hAnsi="Arial"/>
                <w:sz w:val="14"/>
                <w:szCs w:val="14"/>
                <w:b w:val="1"/>
                <w:bCs w:val="1"/>
                <w:color w:val="auto"/>
              </w:rPr>
              <w:t>Satellite</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ind w:right="20"/>
              <w:spacing w:after="0" w:line="129" w:lineRule="exact"/>
              <w:rPr>
                <w:sz w:val="20"/>
                <w:szCs w:val="20"/>
                <w:color w:val="auto"/>
              </w:rPr>
            </w:pPr>
            <w:r>
              <w:rPr>
                <w:rFonts w:ascii="Arial" w:cs="Arial" w:eastAsia="Arial" w:hAnsi="Arial"/>
                <w:sz w:val="14"/>
                <w:szCs w:val="14"/>
                <w:b w:val="1"/>
                <w:bCs w:val="1"/>
                <w:color w:val="auto"/>
              </w:rPr>
              <w:t>Commercial</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jc w:val="center"/>
              <w:ind w:right="97"/>
              <w:spacing w:after="0" w:line="129" w:lineRule="exact"/>
              <w:rPr>
                <w:sz w:val="20"/>
                <w:szCs w:val="20"/>
                <w:color w:val="auto"/>
              </w:rPr>
            </w:pPr>
            <w:r>
              <w:rPr>
                <w:rFonts w:ascii="Arial" w:cs="Arial" w:eastAsia="Arial" w:hAnsi="Arial"/>
                <w:sz w:val="14"/>
                <w:szCs w:val="14"/>
                <w:b w:val="1"/>
                <w:bCs w:val="1"/>
                <w:color w:val="auto"/>
              </w:rPr>
              <w:t>Government</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jc w:val="center"/>
              <w:ind w:right="137"/>
              <w:spacing w:after="0" w:line="129"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r>
      <w:tr>
        <w:trPr>
          <w:trHeight w:val="189"/>
        </w:trPr>
        <w:tc>
          <w:tcPr>
            <w:tcW w:w="4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Services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Networks</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Systems</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r>
      <w:tr>
        <w:trPr>
          <w:trHeight w:val="196"/>
        </w:trPr>
        <w:tc>
          <w:tcPr>
            <w:tcW w:w="4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gridSpan w:val="4"/>
          </w:tcPr>
          <w:p>
            <w:pPr>
              <w:jc w:val="center"/>
              <w:ind w:right="57"/>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Product revenues</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123,059</w:t>
            </w:r>
          </w:p>
        </w:tc>
        <w:tc>
          <w:tcPr>
            <w:tcW w:w="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193,084</w:t>
            </w:r>
          </w:p>
        </w:tc>
        <w:tc>
          <w:tcPr>
            <w:tcW w:w="48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316,143</w:t>
            </w:r>
          </w:p>
        </w:tc>
        <w:tc>
          <w:tcPr>
            <w:tcW w:w="100" w:type="dxa"/>
            <w:vAlign w:val="bottom"/>
            <w:shd w:val="clear" w:color="auto" w:fill="CFF0FC"/>
          </w:tcPr>
          <w:p>
            <w:pPr>
              <w:spacing w:after="0"/>
              <w:rPr>
                <w:sz w:val="17"/>
                <w:szCs w:val="17"/>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Service revenues</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309,711</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16,618</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77,245</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403,574</w:t>
            </w:r>
          </w:p>
        </w:tc>
        <w:tc>
          <w:tcPr>
            <w:tcW w:w="100" w:type="dxa"/>
            <w:vAlign w:val="bottom"/>
          </w:tcPr>
          <w:p>
            <w:pPr>
              <w:spacing w:after="0"/>
              <w:rPr>
                <w:sz w:val="17"/>
                <w:szCs w:val="17"/>
                <w:color w:val="auto"/>
              </w:rPr>
            </w:pPr>
          </w:p>
        </w:tc>
      </w:tr>
      <w:tr>
        <w:trPr>
          <w:trHeight w:val="236"/>
        </w:trPr>
        <w:tc>
          <w:tcPr>
            <w:tcW w:w="48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309,711</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139,677</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270,329</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719,717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72"/>
        </w:trPr>
        <w:tc>
          <w:tcPr>
            <w:tcW w:w="48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center"/>
              <w:ind w:right="77"/>
              <w:spacing w:after="0"/>
              <w:rPr>
                <w:sz w:val="20"/>
                <w:szCs w:val="20"/>
                <w:color w:val="auto"/>
              </w:rPr>
            </w:pPr>
            <w:r>
              <w:rPr>
                <w:rFonts w:ascii="Arial" w:cs="Arial" w:eastAsia="Arial" w:hAnsi="Arial"/>
                <w:sz w:val="14"/>
                <w:szCs w:val="14"/>
                <w:b w:val="1"/>
                <w:bCs w:val="1"/>
                <w:color w:val="auto"/>
              </w:rPr>
              <w:t>Nine Months Ended December 31, 2021</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4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ind w:left="160"/>
              <w:spacing w:after="0" w:line="129" w:lineRule="exact"/>
              <w:rPr>
                <w:sz w:val="20"/>
                <w:szCs w:val="20"/>
                <w:color w:val="auto"/>
              </w:rPr>
            </w:pPr>
            <w:r>
              <w:rPr>
                <w:rFonts w:ascii="Arial" w:cs="Arial" w:eastAsia="Arial" w:hAnsi="Arial"/>
                <w:sz w:val="14"/>
                <w:szCs w:val="14"/>
                <w:b w:val="1"/>
                <w:bCs w:val="1"/>
                <w:color w:val="auto"/>
              </w:rPr>
              <w:t>Satellite</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ind w:right="20"/>
              <w:spacing w:after="0" w:line="129" w:lineRule="exact"/>
              <w:rPr>
                <w:sz w:val="20"/>
                <w:szCs w:val="20"/>
                <w:color w:val="auto"/>
              </w:rPr>
            </w:pPr>
            <w:r>
              <w:rPr>
                <w:rFonts w:ascii="Arial" w:cs="Arial" w:eastAsia="Arial" w:hAnsi="Arial"/>
                <w:sz w:val="14"/>
                <w:szCs w:val="14"/>
                <w:b w:val="1"/>
                <w:bCs w:val="1"/>
                <w:color w:val="auto"/>
              </w:rPr>
              <w:t>Commercial</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jc w:val="center"/>
              <w:ind w:right="97"/>
              <w:spacing w:after="0" w:line="129" w:lineRule="exact"/>
              <w:rPr>
                <w:sz w:val="20"/>
                <w:szCs w:val="20"/>
                <w:color w:val="auto"/>
              </w:rPr>
            </w:pPr>
            <w:r>
              <w:rPr>
                <w:rFonts w:ascii="Arial" w:cs="Arial" w:eastAsia="Arial" w:hAnsi="Arial"/>
                <w:sz w:val="14"/>
                <w:szCs w:val="14"/>
                <w:b w:val="1"/>
                <w:bCs w:val="1"/>
                <w:color w:val="auto"/>
              </w:rPr>
              <w:t>Government</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jc w:val="center"/>
              <w:ind w:right="137"/>
              <w:spacing w:after="0" w:line="129"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r>
      <w:tr>
        <w:trPr>
          <w:trHeight w:val="189"/>
        </w:trPr>
        <w:tc>
          <w:tcPr>
            <w:tcW w:w="4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Services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Networks</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Systems</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r>
      <w:tr>
        <w:trPr>
          <w:trHeight w:val="196"/>
        </w:trPr>
        <w:tc>
          <w:tcPr>
            <w:tcW w:w="4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gridSpan w:val="4"/>
          </w:tcPr>
          <w:p>
            <w:pPr>
              <w:jc w:val="center"/>
              <w:ind w:right="57"/>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Product revenues</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343,525</w:t>
            </w:r>
          </w:p>
        </w:tc>
        <w:tc>
          <w:tcPr>
            <w:tcW w:w="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574,548</w:t>
            </w:r>
          </w:p>
        </w:tc>
        <w:tc>
          <w:tcPr>
            <w:tcW w:w="48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918,073</w:t>
            </w:r>
          </w:p>
        </w:tc>
        <w:tc>
          <w:tcPr>
            <w:tcW w:w="100" w:type="dxa"/>
            <w:vAlign w:val="bottom"/>
            <w:shd w:val="clear" w:color="auto" w:fill="CFF0FC"/>
          </w:tcPr>
          <w:p>
            <w:pPr>
              <w:spacing w:after="0"/>
              <w:rPr>
                <w:sz w:val="17"/>
                <w:szCs w:val="17"/>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Service revenues</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883,938</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49,554</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234,366</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1,167,858</w:t>
            </w:r>
          </w:p>
        </w:tc>
        <w:tc>
          <w:tcPr>
            <w:tcW w:w="100" w:type="dxa"/>
            <w:vAlign w:val="bottom"/>
          </w:tcPr>
          <w:p>
            <w:pPr>
              <w:spacing w:after="0"/>
              <w:rPr>
                <w:sz w:val="17"/>
                <w:szCs w:val="17"/>
                <w:color w:val="auto"/>
              </w:rPr>
            </w:pPr>
          </w:p>
        </w:tc>
      </w:tr>
      <w:tr>
        <w:trPr>
          <w:trHeight w:val="236"/>
        </w:trPr>
        <w:tc>
          <w:tcPr>
            <w:tcW w:w="48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883,938</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393,079</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808,914</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2,085,931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72"/>
        </w:trPr>
        <w:tc>
          <w:tcPr>
            <w:tcW w:w="48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center"/>
              <w:ind w:right="77"/>
              <w:spacing w:after="0"/>
              <w:rPr>
                <w:sz w:val="20"/>
                <w:szCs w:val="20"/>
                <w:color w:val="auto"/>
              </w:rPr>
            </w:pPr>
            <w:r>
              <w:rPr>
                <w:rFonts w:ascii="Arial" w:cs="Arial" w:eastAsia="Arial" w:hAnsi="Arial"/>
                <w:sz w:val="14"/>
                <w:szCs w:val="14"/>
                <w:b w:val="1"/>
                <w:bCs w:val="1"/>
                <w:color w:val="auto"/>
              </w:rPr>
              <w:t>Three Months Ended December 31, 2020</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4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ind w:left="160"/>
              <w:spacing w:after="0" w:line="129" w:lineRule="exact"/>
              <w:rPr>
                <w:sz w:val="20"/>
                <w:szCs w:val="20"/>
                <w:color w:val="auto"/>
              </w:rPr>
            </w:pPr>
            <w:r>
              <w:rPr>
                <w:rFonts w:ascii="Arial" w:cs="Arial" w:eastAsia="Arial" w:hAnsi="Arial"/>
                <w:sz w:val="14"/>
                <w:szCs w:val="14"/>
                <w:b w:val="1"/>
                <w:bCs w:val="1"/>
                <w:color w:val="auto"/>
              </w:rPr>
              <w:t>Satellite</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ind w:right="20"/>
              <w:spacing w:after="0" w:line="129" w:lineRule="exact"/>
              <w:rPr>
                <w:sz w:val="20"/>
                <w:szCs w:val="20"/>
                <w:color w:val="auto"/>
              </w:rPr>
            </w:pPr>
            <w:r>
              <w:rPr>
                <w:rFonts w:ascii="Arial" w:cs="Arial" w:eastAsia="Arial" w:hAnsi="Arial"/>
                <w:sz w:val="14"/>
                <w:szCs w:val="14"/>
                <w:b w:val="1"/>
                <w:bCs w:val="1"/>
                <w:color w:val="auto"/>
              </w:rPr>
              <w:t>Commercial</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jc w:val="center"/>
              <w:ind w:right="97"/>
              <w:spacing w:after="0" w:line="129" w:lineRule="exact"/>
              <w:rPr>
                <w:sz w:val="20"/>
                <w:szCs w:val="20"/>
                <w:color w:val="auto"/>
              </w:rPr>
            </w:pPr>
            <w:r>
              <w:rPr>
                <w:rFonts w:ascii="Arial" w:cs="Arial" w:eastAsia="Arial" w:hAnsi="Arial"/>
                <w:sz w:val="14"/>
                <w:szCs w:val="14"/>
                <w:b w:val="1"/>
                <w:bCs w:val="1"/>
                <w:color w:val="auto"/>
              </w:rPr>
              <w:t>Government</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jc w:val="center"/>
              <w:ind w:right="137"/>
              <w:spacing w:after="0" w:line="129"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r>
      <w:tr>
        <w:trPr>
          <w:trHeight w:val="189"/>
        </w:trPr>
        <w:tc>
          <w:tcPr>
            <w:tcW w:w="4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Services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Networks</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Systems</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r>
      <w:tr>
        <w:trPr>
          <w:trHeight w:val="196"/>
        </w:trPr>
        <w:tc>
          <w:tcPr>
            <w:tcW w:w="4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gridSpan w:val="4"/>
          </w:tcPr>
          <w:p>
            <w:pPr>
              <w:jc w:val="center"/>
              <w:ind w:right="57"/>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Product revenues</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75,690</w:t>
            </w:r>
          </w:p>
        </w:tc>
        <w:tc>
          <w:tcPr>
            <w:tcW w:w="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190,824</w:t>
            </w:r>
          </w:p>
        </w:tc>
        <w:tc>
          <w:tcPr>
            <w:tcW w:w="48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266,514</w:t>
            </w:r>
          </w:p>
        </w:tc>
        <w:tc>
          <w:tcPr>
            <w:tcW w:w="100" w:type="dxa"/>
            <w:vAlign w:val="bottom"/>
            <w:shd w:val="clear" w:color="auto" w:fill="CFF0FC"/>
          </w:tcPr>
          <w:p>
            <w:pPr>
              <w:spacing w:after="0"/>
              <w:rPr>
                <w:sz w:val="17"/>
                <w:szCs w:val="17"/>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Service revenues</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220,789</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14,409</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73,847</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309,045</w:t>
            </w:r>
          </w:p>
        </w:tc>
        <w:tc>
          <w:tcPr>
            <w:tcW w:w="100" w:type="dxa"/>
            <w:vAlign w:val="bottom"/>
          </w:tcPr>
          <w:p>
            <w:pPr>
              <w:spacing w:after="0"/>
              <w:rPr>
                <w:sz w:val="17"/>
                <w:szCs w:val="17"/>
                <w:color w:val="auto"/>
              </w:rPr>
            </w:pPr>
          </w:p>
        </w:tc>
      </w:tr>
      <w:tr>
        <w:trPr>
          <w:trHeight w:val="236"/>
        </w:trPr>
        <w:tc>
          <w:tcPr>
            <w:tcW w:w="48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220,789</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90,099</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264,671</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575,559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72"/>
        </w:trPr>
        <w:tc>
          <w:tcPr>
            <w:tcW w:w="48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center"/>
              <w:ind w:right="77"/>
              <w:spacing w:after="0"/>
              <w:rPr>
                <w:sz w:val="20"/>
                <w:szCs w:val="20"/>
                <w:color w:val="auto"/>
              </w:rPr>
            </w:pPr>
            <w:r>
              <w:rPr>
                <w:rFonts w:ascii="Arial" w:cs="Arial" w:eastAsia="Arial" w:hAnsi="Arial"/>
                <w:sz w:val="14"/>
                <w:szCs w:val="14"/>
                <w:b w:val="1"/>
                <w:bCs w:val="1"/>
                <w:color w:val="auto"/>
              </w:rPr>
              <w:t>Nine Months Ended December 31, 2020</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4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ind w:left="160"/>
              <w:spacing w:after="0" w:line="129" w:lineRule="exact"/>
              <w:rPr>
                <w:sz w:val="20"/>
                <w:szCs w:val="20"/>
                <w:color w:val="auto"/>
              </w:rPr>
            </w:pPr>
            <w:r>
              <w:rPr>
                <w:rFonts w:ascii="Arial" w:cs="Arial" w:eastAsia="Arial" w:hAnsi="Arial"/>
                <w:sz w:val="14"/>
                <w:szCs w:val="14"/>
                <w:b w:val="1"/>
                <w:bCs w:val="1"/>
                <w:color w:val="auto"/>
              </w:rPr>
              <w:t>Satellite</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ind w:right="20"/>
              <w:spacing w:after="0" w:line="129" w:lineRule="exact"/>
              <w:rPr>
                <w:sz w:val="20"/>
                <w:szCs w:val="20"/>
                <w:color w:val="auto"/>
              </w:rPr>
            </w:pPr>
            <w:r>
              <w:rPr>
                <w:rFonts w:ascii="Arial" w:cs="Arial" w:eastAsia="Arial" w:hAnsi="Arial"/>
                <w:sz w:val="14"/>
                <w:szCs w:val="14"/>
                <w:b w:val="1"/>
                <w:bCs w:val="1"/>
                <w:color w:val="auto"/>
              </w:rPr>
              <w:t>Commercial</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jc w:val="center"/>
              <w:ind w:right="97"/>
              <w:spacing w:after="0" w:line="129" w:lineRule="exact"/>
              <w:rPr>
                <w:sz w:val="20"/>
                <w:szCs w:val="20"/>
                <w:color w:val="auto"/>
              </w:rPr>
            </w:pPr>
            <w:r>
              <w:rPr>
                <w:rFonts w:ascii="Arial" w:cs="Arial" w:eastAsia="Arial" w:hAnsi="Arial"/>
                <w:sz w:val="14"/>
                <w:szCs w:val="14"/>
                <w:b w:val="1"/>
                <w:bCs w:val="1"/>
                <w:color w:val="auto"/>
              </w:rPr>
              <w:t>Government</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jc w:val="center"/>
              <w:ind w:right="137"/>
              <w:spacing w:after="0" w:line="129"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r>
      <w:tr>
        <w:trPr>
          <w:trHeight w:val="189"/>
        </w:trPr>
        <w:tc>
          <w:tcPr>
            <w:tcW w:w="4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Services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Networks</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Systems</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r>
      <w:tr>
        <w:trPr>
          <w:trHeight w:val="196"/>
        </w:trPr>
        <w:tc>
          <w:tcPr>
            <w:tcW w:w="4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gridSpan w:val="4"/>
          </w:tcPr>
          <w:p>
            <w:pPr>
              <w:jc w:val="center"/>
              <w:ind w:right="57"/>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Product revenues</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197,560</w:t>
            </w:r>
          </w:p>
        </w:tc>
        <w:tc>
          <w:tcPr>
            <w:tcW w:w="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575,568</w:t>
            </w:r>
          </w:p>
        </w:tc>
        <w:tc>
          <w:tcPr>
            <w:tcW w:w="48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773,128</w:t>
            </w:r>
          </w:p>
        </w:tc>
        <w:tc>
          <w:tcPr>
            <w:tcW w:w="100" w:type="dxa"/>
            <w:vAlign w:val="bottom"/>
            <w:shd w:val="clear" w:color="auto" w:fill="CFF0FC"/>
          </w:tcPr>
          <w:p>
            <w:pPr>
              <w:spacing w:after="0"/>
              <w:rPr>
                <w:sz w:val="17"/>
                <w:szCs w:val="17"/>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Service revenues</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638,660</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38,561</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209,976</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887,197</w:t>
            </w:r>
          </w:p>
        </w:tc>
        <w:tc>
          <w:tcPr>
            <w:tcW w:w="100" w:type="dxa"/>
            <w:vAlign w:val="bottom"/>
          </w:tcPr>
          <w:p>
            <w:pPr>
              <w:spacing w:after="0"/>
              <w:rPr>
                <w:sz w:val="17"/>
                <w:szCs w:val="17"/>
                <w:color w:val="auto"/>
              </w:rPr>
            </w:pPr>
          </w:p>
        </w:tc>
      </w:tr>
      <w:tr>
        <w:trPr>
          <w:trHeight w:val="236"/>
        </w:trPr>
        <w:tc>
          <w:tcPr>
            <w:tcW w:w="48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638,660</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236,121</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785,544</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1,660,325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-3085465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-3068320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-3085465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-3068320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-3085465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-3068320</wp:posOffset>
            </wp:positionV>
            <wp:extent cx="603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-3085465</wp:posOffset>
            </wp:positionV>
            <wp:extent cx="596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-3068320</wp:posOffset>
            </wp:positionV>
            <wp:extent cx="596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-2065020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-2047875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-2065020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-2047875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-2065020</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-2047875</wp:posOffset>
            </wp:positionV>
            <wp:extent cx="60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-2065020</wp:posOffset>
            </wp:positionV>
            <wp:extent cx="596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-2047875</wp:posOffset>
            </wp:positionV>
            <wp:extent cx="596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-1045210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-1028065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-1045210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-1028065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-1045210</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-1028065</wp:posOffset>
            </wp:positionV>
            <wp:extent cx="603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-1045210</wp:posOffset>
            </wp:positionV>
            <wp:extent cx="596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-1028065</wp:posOffset>
            </wp:positionV>
            <wp:extent cx="596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55"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Revenues from the U.S. Government as an individual customer comprised approximately 24% and 26% of total revenues for the three and nine months ended December 31, 2021, respectively, and approximately 28% and 30% of total revenues for the three and nine months ended December 31, 2020, respectively, mainly reported within the government systems segment. Revenues from the Company’s other customers, mainly reported within the commercial networks and satellite services segments, comprised approximately 76% and 74% of total revenues for the three and nine months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ended December 31, 2021, respectively, and approximately 72% and 70% of total revenues for the three and nine months ended December 31, 2020, respectively.</w:t>
      </w:r>
    </w:p>
    <w:p>
      <w:pPr>
        <w:spacing w:after="0" w:line="156" w:lineRule="exact"/>
        <w:rPr>
          <w:sz w:val="20"/>
          <w:szCs w:val="20"/>
          <w:color w:val="auto"/>
        </w:rPr>
      </w:pPr>
    </w:p>
    <w:p>
      <w:pPr>
        <w:ind w:right="500" w:firstLine="509"/>
        <w:spacing w:after="0" w:line="246" w:lineRule="auto"/>
        <w:rPr>
          <w:sz w:val="20"/>
          <w:szCs w:val="20"/>
          <w:color w:val="auto"/>
        </w:rPr>
      </w:pPr>
      <w:r>
        <w:rPr>
          <w:rFonts w:ascii="Arial" w:cs="Arial" w:eastAsia="Arial" w:hAnsi="Arial"/>
          <w:sz w:val="18"/>
          <w:szCs w:val="18"/>
          <w:color w:val="auto"/>
        </w:rPr>
        <w:t>The Company’s satellite services segment revenues are primarily derived from the Company’s fixed broadband services, in-flight services and advanced software and communication infrastructure services (acquired through the RigNet acquisition).</w:t>
      </w:r>
    </w:p>
    <w:p>
      <w:pPr>
        <w:spacing w:after="0" w:line="156"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Revenues in the Company’s commercial networks and government systems segments are primarily derived from three types of contracts: fixed-price, cost-reimbursement and time-and-materials contracts. Fixed-price contracts (which require the Company to provide products and services under a contract at a specified price) comprised approximately 91% and 90% of the Company’s total revenues for these segments for the three and nine months ended December 31, 2021, respectively, and approximately 91% and 88% of the Company’s total revenues for these segments for the three and nine months ended December 31, 2020, respectively. The remainder of the Company’s revenues in these segments for such periods was derived primarily from cost-reimbursement contracts (under which the Company is reimbursed for all actual costs incurred in performing the contract to the extent such costs are within the contract ceiling and allowable under the terms of the contract, plus a fee or profit) and from time-and-materials contracts (under which the Company is reimbursed for the number of labor hours expended at an established hourly rate negotiated in the contract, plus the cost of materials utilized in providing such products or services).</w:t>
      </w:r>
    </w:p>
    <w:p>
      <w:pPr>
        <w:spacing w:after="0" w:line="165" w:lineRule="exact"/>
        <w:rPr>
          <w:sz w:val="20"/>
          <w:szCs w:val="20"/>
          <w:color w:val="auto"/>
        </w:rPr>
      </w:pPr>
    </w:p>
    <w:p>
      <w:pPr>
        <w:ind w:right="140" w:firstLine="509"/>
        <w:spacing w:after="0" w:line="253" w:lineRule="auto"/>
        <w:rPr>
          <w:sz w:val="20"/>
          <w:szCs w:val="20"/>
          <w:color w:val="auto"/>
        </w:rPr>
      </w:pPr>
      <w:r>
        <w:rPr>
          <w:rFonts w:ascii="Arial" w:cs="Arial" w:eastAsia="Arial" w:hAnsi="Arial"/>
          <w:sz w:val="17"/>
          <w:szCs w:val="17"/>
          <w:color w:val="auto"/>
        </w:rPr>
        <w:t>Historically, a significant portion of the Company’s revenues in its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the Company’s funded development from its customer contracts were approximately 24% and 23% of its total revenues for the three and nine months ended December 31, 2021, respectively, and approximately 20% and 23% of its total revenues for the three and nine months ended December 31, 2020, respectively.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95"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Contract balances consist of contract assets and contract liabilities. A contract asset, or with respect to the Company, an unbilled accounts receivable, is recorded when revenue is recognized in advance of the Company’s right to bill and receive consideration, typically resulting from sales under long-term contracts. Unbilled accounts receivable are generally expected to be billed and collected within one year. The unbilled accounts receivable will decrease as provided services or delivered products are billed. The Company receives payments from customers based on a billing schedule established in the Company’s contracts.</w:t>
      </w:r>
    </w:p>
    <w:p>
      <w:pPr>
        <w:spacing w:after="0" w:line="16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When consideration is received in advance of the delivery of goods or services, a contract liability, or with respect to the Company, collections in excess of revenues or deferred revenues, is recorded. Reductions in the collections in excess of revenues or deferred revenues will be recorded as the Company satisfies the performance obligations.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contract assets and liabilities as of December 31, 2021 and March 31, 2021: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jc w:val="right"/>
              <w:ind w:right="779"/>
              <w:spacing w:after="0"/>
              <w:rPr>
                <w:sz w:val="20"/>
                <w:szCs w:val="20"/>
                <w:color w:val="auto"/>
              </w:rPr>
            </w:pPr>
            <w:r>
              <w:rPr>
                <w:rFonts w:ascii="Arial" w:cs="Arial" w:eastAsia="Arial" w:hAnsi="Arial"/>
                <w:sz w:val="14"/>
                <w:szCs w:val="14"/>
                <w:b w:val="1"/>
                <w:bCs w:val="1"/>
                <w:color w:val="auto"/>
              </w:rPr>
              <w:t>As of</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jc w:val="right"/>
              <w:ind w:right="757"/>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r>
      <w:tr>
        <w:trPr>
          <w:trHeight w:val="189"/>
        </w:trPr>
        <w:tc>
          <w:tcPr>
            <w:tcW w:w="6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6"/>
                <w:szCs w:val="16"/>
                <w:color w:val="auto"/>
              </w:rPr>
            </w:pPr>
          </w:p>
        </w:tc>
      </w:tr>
      <w:tr>
        <w:trPr>
          <w:trHeight w:val="196"/>
        </w:trPr>
        <w:tc>
          <w:tcPr>
            <w:tcW w:w="6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Unbilled accounts receivable</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102,110</w:t>
            </w:r>
          </w:p>
        </w:tc>
        <w:tc>
          <w:tcPr>
            <w:tcW w:w="68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70,785</w:t>
            </w: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auto"/>
              </w:rPr>
              <w:t>Collections in excess of revenues and deferred revenues</w:t>
            </w:r>
          </w:p>
        </w:tc>
        <w:tc>
          <w:tcPr>
            <w:tcW w:w="26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180,854</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216,594</w:t>
            </w:r>
          </w:p>
        </w:tc>
        <w:tc>
          <w:tcPr>
            <w:tcW w:w="100" w:type="dxa"/>
            <w:vAlign w:val="bottom"/>
          </w:tcPr>
          <w:p>
            <w:pPr>
              <w:spacing w:after="0"/>
              <w:rPr>
                <w:sz w:val="17"/>
                <w:szCs w:val="17"/>
                <w:color w:val="auto"/>
              </w:rPr>
            </w:pPr>
          </w:p>
        </w:tc>
      </w:tr>
      <w:tr>
        <w:trPr>
          <w:trHeight w:val="203"/>
        </w:trPr>
        <w:tc>
          <w:tcPr>
            <w:tcW w:w="6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revenues, long-term portion</w:t>
            </w:r>
          </w:p>
        </w:tc>
        <w:tc>
          <w:tcPr>
            <w:tcW w:w="26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89,083</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84,654</w:t>
            </w:r>
          </w:p>
        </w:tc>
        <w:tc>
          <w:tcPr>
            <w:tcW w:w="100" w:type="dxa"/>
            <w:vAlign w:val="bottom"/>
            <w:shd w:val="clear" w:color="auto" w:fill="CFF0FC"/>
          </w:tcPr>
          <w:p>
            <w:pPr>
              <w:spacing w:after="0"/>
              <w:rPr>
                <w:sz w:val="17"/>
                <w:szCs w:val="17"/>
                <w:color w:val="auto"/>
              </w:rPr>
            </w:pPr>
          </w:p>
        </w:tc>
      </w:tr>
    </w:tbl>
    <w:p>
      <w:pPr>
        <w:spacing w:after="0" w:line="175" w:lineRule="exact"/>
        <w:rPr>
          <w:sz w:val="20"/>
          <w:szCs w:val="20"/>
          <w:color w:val="auto"/>
        </w:rPr>
      </w:pPr>
    </w:p>
    <w:p>
      <w:pPr>
        <w:ind w:right="220" w:firstLine="509"/>
        <w:spacing w:after="0"/>
        <w:rPr>
          <w:sz w:val="20"/>
          <w:szCs w:val="20"/>
          <w:color w:val="auto"/>
        </w:rPr>
      </w:pPr>
      <w:r>
        <w:rPr>
          <w:rFonts w:ascii="Arial" w:cs="Arial" w:eastAsia="Arial" w:hAnsi="Arial"/>
          <w:sz w:val="18"/>
          <w:szCs w:val="18"/>
          <w:color w:val="auto"/>
        </w:rPr>
        <w:t>Unbilled accounts receivable increased $31.3 million during the nine months ended December 31, 2021, primarily driven by revenue recognized in the Company’s commercial networks segment in excess of billings. The acquisition of RigNet contributed $17.5 million of unbilled accounts receivable.</w:t>
      </w:r>
    </w:p>
    <w:p>
      <w:pPr>
        <w:spacing w:after="0" w:line="149"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Collections in excess of revenues and deferred revenues decreased $35.7 million during the nine months ended December 31, 2021, primarily driven by revenue recognized in excess of advances on goods or services received in the Company’s commercial networks segment.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3" w:lineRule="exact"/>
        <w:rPr>
          <w:sz w:val="20"/>
          <w:szCs w:val="20"/>
          <w:color w:val="auto"/>
        </w:rPr>
      </w:pPr>
    </w:p>
    <w:p>
      <w:pPr>
        <w:ind w:right="260" w:firstLine="509"/>
        <w:spacing w:after="0" w:line="238" w:lineRule="auto"/>
        <w:rPr>
          <w:sz w:val="20"/>
          <w:szCs w:val="20"/>
          <w:color w:val="auto"/>
        </w:rPr>
      </w:pPr>
      <w:r>
        <w:rPr>
          <w:rFonts w:ascii="Arial" w:cs="Arial" w:eastAsia="Arial" w:hAnsi="Arial"/>
          <w:sz w:val="18"/>
          <w:szCs w:val="18"/>
          <w:color w:val="auto"/>
        </w:rPr>
        <w:t>During the three and nine months ended December 31, 2021, the Company recognized revenue of $47.7 million and $169.7 million, respectively, that was previously included in the Company’s collections in excess of revenues and deferred revenues at March 31, 2021. During the three and nine months ended December 31, 2020, the Company recognized revenue of $7.6 million and $82.2 million, respectively, that was previously included in the Company’s collections in excess of revenues and deferred revenues at March 31, 2020.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85"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Satellites and other property and equipment, including internally developed software,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periodically reviews the remaining estimated useful life of its satellites to determine if revisions to estimated useful lives are necessary.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 to 38 years. Leasehold improvements are capitalized and amortized using the straight-line method over the shorter of the lease term or the life of the improvement.</w:t>
      </w:r>
    </w:p>
    <w:p>
      <w:pPr>
        <w:spacing w:after="0" w:line="159"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Costs related to internally developed software for internal uses are capitalized after the preliminary project stage is complete and are amortized over the estimated useful lives of the assets, which are approximately three to seven years. Capitalized costs for internal-use software are included in property, equipment and satellites, net in the Company’s condensed consolidated balance sheets.</w:t>
      </w:r>
    </w:p>
    <w:p>
      <w:pPr>
        <w:spacing w:after="0" w:line="149"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Interest expense is capitalized on the carrying value of assets under construction, in accordance with the authoritative guidance for the capitalization of interest (ASC 835-20). With respect to the construction of satellites, gateway and networking equipment and other assets under construction, the Company capitalized $25.8 million and $74.2 million of interest expense for the three and nine months ended December 31, 2021, respectively, and $21.8 million and $57.7 million for the three and nine months ended December 31, 2020, respectively.</w:t>
      </w:r>
    </w:p>
    <w:p>
      <w:pPr>
        <w:spacing w:after="0" w:line="151"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The Company owns three satellites in service over North America (ViaSat-2, ViaSat-1 and WildBlue-1) and, after acquiring the remaining interest in EBI during the first quarter of fiscal year 2022, the Company also owns the KA-SAT satellite over Europe, Middle East, and Africa (EMEA). In addition, the Company has lifetime leases of Ka-band capacity on two satellites. The Company also has a global constellation of three third-generation ViaSat-3 class satellites under construction. In addition, the Company owns related earth stations and networking equipment for all of its satellites. The Company procures indoor and outdoor CPE units leased to subscribers under a retail leasing program as part of the Company’s satellite services segment, which are reflected in investing activities and property, equipment and satellites, net in the accompanying condensed consolidated financial statements. The Company depreciates the satellites, earth stations and networking equipment, CPE units and related installation costs over their estimated useful lives. The total cost and accumulated depreciation of CPE units included in property, equipment and satellites, net, as of December 31, 2021 were $397.4 million and $203.8 million, respectively. The total cost and accumulated depreciation of CPE units included in property, equipment and satellites, net, as of March 31, 2021 were $409.9 million and $193.7 million,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33"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Occasionally, the Company may enter into finance lease arrangements for various machinery, equipment, computer-related equipment, software, furniture, fixtures, or satellites. The Company records amortization of assets leased under finance lease arrangements within depreciation expense (see Note 1 — Basis of Presentation – Leases for more information). The Company’s finance leases consist primarily of satellite lifetime Ka-band capacity leases and have remaining terms from less than one year to five years. The Company reports assets obtained under finance leases in property, equipment and satellites, net and the current and non-current portions of its finance lease liabilities in current portion of long-term debt and other long-term debt,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81"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For contracts entered into on or after April 1, 2019, the Company assesses at contract inception whether the contract is, or contains, a lease. Generally, the Company determines that a lease exists when (1) the contract involves the use of a distinct identified asset, (2) the Company obtains the right to substantially all economic benefits from use of the asset, and (3) the Company has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p>
    <w:p>
      <w:pPr>
        <w:spacing w:after="0" w:line="154"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At the lease commencement date, the Company recognizes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the Company’s incremental borrowing rate for a collateralized loan with the same term as the underlying leases.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 included in the measurement of lease liabilities consist of (1) fixed lease payments for the noncancelable lease term,</w:t>
      </w:r>
    </w:p>
    <w:p>
      <w:pPr>
        <w:ind w:right="180" w:firstLine="8"/>
        <w:spacing w:after="0" w:line="238"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fixed lease payments for optional renewal periods where it is reasonably certain the renewal option will be exercised, and (3) variable lease payments that depend on an underlying index or rate, based on the index or rate in effect at lease commencement. Certain of the Company’s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48" w:lineRule="exact"/>
        <w:rPr>
          <w:sz w:val="20"/>
          <w:szCs w:val="20"/>
          <w:color w:val="auto"/>
        </w:rPr>
      </w:pPr>
    </w:p>
    <w:p>
      <w:pPr>
        <w:jc w:val="both"/>
        <w:ind w:right="80" w:firstLine="509"/>
        <w:spacing w:after="0" w:line="238"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151"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The Company’s operating leases consist primarily of leases for office space, data centers and satellite ground facilities and have remaining terms from less than one year to 11 years, some of which include renewal options, and some of which include options to terminate the leases within one year. Certain earth station leases have renewal terms that have been deemed to be reasonably certain to be exercised and as such have been recognized as part of the Company’s right-of-use assets and lease liabilities. The Company’s lease agreements do not contain any material residual value guarantees or material restrictive covenants. The Company recognized right-of-use assets and lease liabilities for such leases in connection with its adoption of ASC 842 as of April 1, 2019. The Company reports operating lease right-of-use assets in operating lease right-of-use assets and the current and non-current portions of its operating lease liabilities in accrued and other liabilities and non-current operating lease liabilities, respectively.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81"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For broadband equipment leased to fixed broadband customers in conjunction with the delivery of connectivity services, the Company has made an accounting policy election not to separate the broadband equipment from the related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connectivity services. The connectivity services are the predominant component of these arrangements. The connectivity services are accounted for in accordance with ASC 606. The Company is also a lessor for certain insignificant communications equipment. These leases meet the criteria for operating lease classification. Lease income associated with these leases is not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85"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of $3.5 million related to patents were included in other assets as of both December 31, 2021 and March 31, 2021. The Company capitalized costs of $64.1 million and $53.8 million related to acquiring and obtaining orbital slots and other licenses included in other assets as of December 31, 2021 and March 31, 2021, respectively. Accumulated amortization related to these assets was $5.0 million and $4.4 million as of December 31, 2021 and March 31, 2021, respectively. Amortization expense related to these assets was an insignificant amount for the three and nine months ended December 31, 2021 and 2020. If a patent, orbital slot or other license is rejected, abandoned or otherwise invalidated, the unamortized cost is expensed in that period. During the three and nine months ended December 31, 2021 and 2020, the Company did not write off any significant costs due to abandonment or impairment.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85"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Debt issuance costs are amortized and recognized as interest expense using the effective interest rate method, or, when the results are not materially different, on a straight-line basis over the expected term of the related debt. During the nine months ended December 31, 2021 and 2020, no debt issuance costs and $5.1 million of debt issuance costs were capitalized, respectively. Unamortized debt issuance costs related to extinguished debt are expensed at the time the debt is extinguished and recorded in loss on extinguishment of debt in the condensed consolidated statements of operations and comprehensive income (loss). Debt issuance costs related to the Company’s revolving credit facility (the Revolving Credit Facility) are recorded in prepaid expenses and other current assets and in other long-term assets in the condensed consolidated balance sheets in accordance with the authoritative guidance for imputation of interest (ASC 835-30). Debt issuance costs related to the Company’s 5.625% Senior Notes due 2025 (the 2025 Notes), the Company’s 5.625% Senior Secured Notes due 2027 (the 2027 Notes), the Company’s 6.500% Senior Notes due 2028 (the 2028 Notes and, together with the 2025 Notes and the 2027 Notes, the Notes) and the Ex-Im Credit Facility are recorded as a direct deduction from the carrying amount of the related debt, consistent with debt discounts, in accordance with the authoritative guidance for imputation of interest (ASC 835-30).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85"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Costs of developing software for sale are charged to independent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$223.1 million and $237.1 million related to software developed for resale were included in other assets as of December 31, 2021 and March 31, 2021, respectively. The Company capitalized $8.7 million and $29.6 million of costs related to software developed for resale for the three and nine months ended December 31, 2021, respectively. The Company capitalized $13.0 million and $41.5 million of costs related to software developed for resale for the three and nine months ended December 31, 2020, respectively. Amortization expense for capitalized software development costs was $14.5 million and $43.6 million for the three and nine months ended December 31, 2021, respectively, and $17.1 million and $45.1 million for the three and nine months ended December 31, 2020, respectively.</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85"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$6.9 million in accrued and other liabilities in the condensed consolidated balance sheets as of both December 31, 2021 and March 31, 2021.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and other liabilities in accordance with the estimated timing of the projected payments.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85"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December 31, 2021 and March 31, 2021, no such amounts were accrued related to the aforementioned provisions.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85"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 — equity method</w:t>
      </w:r>
    </w:p>
    <w:p>
      <w:pPr>
        <w:spacing w:after="0" w:line="85"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 The Company records its share of the results of such entities within equity in income (loss) of unconsolidated affiliate, net on the condensed consolidated statements of operations and comprehensive income (loss). The Company monitors such investments for other-than-temporary impairment by considering factors including the current economic and market conditions and the operating performance of the entities and records reductions in carrying values when necessary. The fair value of privately held investments is estimated using the best available information as of the valuation date, including current earnings trends, undiscounted cash flows, quoted stock prices of comparable public companies, and other company specific information, including recent financing rounds.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and March 31, 2021, the Company had no shares of common stock held in treasury.</w:t>
      </w:r>
    </w:p>
    <w:p>
      <w:pPr>
        <w:spacing w:after="0" w:line="158"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During the three months ended December 31, 2021 and 2020, the Company issued 1,091,363 and 963,565 shares of common stock, respectively, based on the vesting terms of certain restricted stock unit agreements. During the nine months ended December 31, 2021 and 2020, the Company issued 1,220,370 and 1,028,535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during the three months ended December 31, 2021 and 2020, the Company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33"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repurchased 393,891 and 348,629 shares of common stock, respectively, at cost and with a total value of $20.4 million and $12.3 million, respectively. During the nine months ended December 31, 2021 and 2020, the Company repurchased 427,229 and 365,544 shares of common stock, respectively, at cost and with a total value of $22.2 million and $13.0 million, respectively.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restricted stock units. These retired shares remain as authorized stock and are considered to be unissued. The retirement of treasury stock had no impact on the Company’s total consolidated stockholders’ equity.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85" w:lineRule="exact"/>
        <w:rPr>
          <w:sz w:val="20"/>
          <w:szCs w:val="20"/>
          <w:color w:val="auto"/>
        </w:rPr>
      </w:pPr>
    </w:p>
    <w:p>
      <w:pPr>
        <w:ind w:right="100" w:firstLine="509"/>
        <w:spacing w:after="0" w:line="236" w:lineRule="auto"/>
        <w:rPr>
          <w:sz w:val="20"/>
          <w:szCs w:val="20"/>
          <w:color w:val="auto"/>
        </w:rPr>
      </w:pPr>
      <w:r>
        <w:rPr>
          <w:rFonts w:ascii="Arial" w:cs="Arial" w:eastAsia="Arial" w:hAnsi="Arial"/>
          <w:sz w:val="18"/>
          <w:szCs w:val="18"/>
          <w:color w:val="auto"/>
        </w:rPr>
        <w:t>In accordance with the authoritative guidance for share-based payments (ASC 718), the Company measures stock-based compensation cost at the grant date, based on the estimated fair value of the award. Expense for restricted stock units and stock options is recognized on a straight-line basis over the employee’s requisite service period. Expense for total shareholder return (TSR) performance stock options that vest is recognized regardless of the actual TSR outcome achieved and is recognized on a graded-vesting basis. The Company accounts for forfeitures as they occur. The Company recognized $21.4 million and $64.7 million of stock-based compensation expense for the three and nine months ended December 31, 2021, respectively. The Company recognized $21.7 million and $65.0 million of stock-based compensation expense for the three and nine months ended December 31, 2020, respectively. The Company recognizes excess tax benefits or deficiencies on vesting or settlement of awards as discrete items within income tax benefit or provision within net income (loss) and the related cash flows are classified within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85" w:lineRule="exact"/>
        <w:rPr>
          <w:sz w:val="20"/>
          <w:szCs w:val="20"/>
          <w:color w:val="auto"/>
        </w:rPr>
      </w:pPr>
    </w:p>
    <w:p>
      <w:pPr>
        <w:ind w:right="100" w:firstLine="509"/>
        <w:spacing w:after="0" w:line="236"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54"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Ordinarily, the Company calculates its provision for income taxes at the end of each interim reporting period on the basis of an estimated annual effective tax rate adjusted for tax items that are discrete to each period. However, when a reliable estimate cannot be made, the Company computes its provision for income taxes using the actual effective tax rate (discrete method) for the year-to-date period. The Company’s effective tax rate is highly influenced by the amount of its research and development (R&amp;D) tax credits. A small change in estimated annual pretax income (loss) can produce a significant variance in the annual effective tax rate given the Company’s expected amount of R&amp;D tax credits. This variability provides an unreliable estimate of the annual effective tax rate. As a result, and in accordance with the authoritative guidance for accounting for income taxes in interim periods, the Company has computed its provision for income taxes for the three and nine months ended December 31, 2021 and 2020 by applying the actual effective tax rate to the pretax income (loss) for the three-month and nine-month periods.</w:t>
      </w:r>
    </w:p>
    <w:p>
      <w:pPr>
        <w:spacing w:after="0" w:line="153" w:lineRule="exact"/>
        <w:rPr>
          <w:sz w:val="20"/>
          <w:szCs w:val="20"/>
          <w:color w:val="auto"/>
        </w:rPr>
      </w:pPr>
    </w:p>
    <w:p>
      <w:pPr>
        <w:ind w:right="180" w:firstLine="509"/>
        <w:spacing w:after="0" w:line="238" w:lineRule="auto"/>
        <w:rPr>
          <w:sz w:val="20"/>
          <w:szCs w:val="20"/>
          <w:color w:val="auto"/>
        </w:rPr>
      </w:pPr>
      <w:r>
        <w:rPr>
          <w:rFonts w:ascii="Arial" w:cs="Arial" w:eastAsia="Arial" w:hAnsi="Arial"/>
          <w:sz w:val="18"/>
          <w:szCs w:val="18"/>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99"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In December 2019, the Financial Accounting Standards Board (FASB) issued Accounting Standards Update (ASU) 2019-12, Income Taxes (ASC 740): Simplifying the Accounting for Income Taxes, which is intended to simplify various areas related to accounting for income taxes. ASU 2019-12 removes certain exceptions to the general principles in ASC 740 and also clarifies and amends existing guidance to improve consistent application. The Company adopted the new guidance in the first quarter of fiscal year 2022 on a prospective basis and as a result upon purchase of the remaining 51% interest in EBI from Eutelsat (see Note 12 — Acquisitions for more information), and assertion to permanently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reinvest future earnings, the deferred tax liability recorded for EBI’s outside basis difference of $8.1 million was reversed and recorded in the first quarter of fiscal year 2022 as an income tax benefit in the condensed consolidated statements of operations and comprehensive income (loss).</w:t>
      </w:r>
    </w:p>
    <w:p>
      <w:pPr>
        <w:spacing w:after="0" w:line="149"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In January 2020, the FASB issued ASU 2020-01, Investments – Equity Securities (ASC 321), Investments – Equity Method and Joint Ventures (ASC 323) and Derivatives and Hedging (ASC 815). ASU 2020-01 clarifies the interaction of the accounting for equity securities under ASC 321 and investments accounted for under the equity method of accounting under ASC 323, and the accounting for certain forward contracts and purchased options accounted for under ASC 815. The Company adopted the new guidance in the first quarter of fiscal year 2022 on a prospective basis and the guidance did not have a material impact on the Company’s consolidated financial statements and disclosures.</w:t>
      </w:r>
    </w:p>
    <w:p>
      <w:pPr>
        <w:spacing w:after="0" w:line="164" w:lineRule="exact"/>
        <w:rPr>
          <w:sz w:val="20"/>
          <w:szCs w:val="20"/>
          <w:color w:val="auto"/>
        </w:rPr>
      </w:pPr>
    </w:p>
    <w:p>
      <w:pPr>
        <w:ind w:right="160" w:firstLine="509"/>
        <w:spacing w:after="0" w:line="236" w:lineRule="auto"/>
        <w:rPr>
          <w:sz w:val="20"/>
          <w:szCs w:val="20"/>
          <w:color w:val="auto"/>
        </w:rPr>
      </w:pPr>
      <w:r>
        <w:rPr>
          <w:rFonts w:ascii="Arial" w:cs="Arial" w:eastAsia="Arial" w:hAnsi="Arial"/>
          <w:sz w:val="18"/>
          <w:szCs w:val="18"/>
          <w:color w:val="auto"/>
        </w:rPr>
        <w:t>In August 2020, the FASB issued ASU 2020-06, Debt – Debt with Conversion and Other Options (ASC 470-20) and Derivatives and Hedging – Contracts in Entity’s Own Equity (Subtopic 815-40). ASU 2020-06 simplifies the accounting for convertible instruments by removing the beneficial conversion and cash conversion accounting models for convertible instruments and removes certain settlement conditions that are required for contracts to qualify for equity classification. This new standard also simplifies the diluted earnings per share calculations by requiring that an entity use the if-converted method for convertible instruments and requires that the effect of potential share settlement be included in diluted earnings per share calculations when an instrument may be settled in cash or shares. The new standard requires entities to provide expanded disclosures about the terms and features of convertible instruments, how the instruments have been reported in the entity’s financial statements, and information about events, conditions, and circumstances that can affect how to assess the amount or timing of an entity’s future cash flows related to those instruments. The new standard will become effective for the Company beginning in fiscal year 2023, with early adoption permitted. The Company is currently evaluating the impact of this standard on its consolidated financial statements and disclosures.</w:t>
      </w:r>
    </w:p>
    <w:p>
      <w:pPr>
        <w:spacing w:after="0" w:line="164" w:lineRule="exact"/>
        <w:rPr>
          <w:sz w:val="20"/>
          <w:szCs w:val="20"/>
          <w:color w:val="auto"/>
        </w:rPr>
      </w:pPr>
    </w:p>
    <w:p>
      <w:pPr>
        <w:ind w:right="180" w:firstLine="509"/>
        <w:spacing w:after="0" w:line="238" w:lineRule="auto"/>
        <w:rPr>
          <w:sz w:val="20"/>
          <w:szCs w:val="20"/>
          <w:color w:val="auto"/>
        </w:rPr>
      </w:pPr>
      <w:r>
        <w:rPr>
          <w:rFonts w:ascii="Arial" w:cs="Arial" w:eastAsia="Arial" w:hAnsi="Arial"/>
          <w:sz w:val="18"/>
          <w:szCs w:val="18"/>
          <w:color w:val="auto"/>
        </w:rPr>
        <w:t>In October 2020, the FASB issued ASU 2020-08, Codification Improvements to Subtopic 310-20, Receivables – Nonrefundable Fees and Other Costs. ASU 2020-08 clarifies that a company should reevaluate whether a callable debt security is within the scope of ASC paragraph 310-20-35-33 for each reporting period. The Company adopted the new guidance in the first quarter of fiscal year 2022 on a prospective basis and the guidance did not have a material impact on the Company’s consolidated financial statements and disclosures.</w:t>
      </w:r>
    </w:p>
    <w:p>
      <w:pPr>
        <w:spacing w:after="0" w:line="16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October 2021, the FASB issued ASU 2021-08, Business Combinations (ASC 805): Accounting for Contract Assets and Contract Liabilities from Contracts with Customers. ASU 2021-08 requires contract assets and contract liabilities acquired in a business combination to be recognized in accordance with ASC 606 as if the acquirer had originated the contracts. The new standard will become effective for the Company beginning in fiscal year 2024, with early adoption permitted. The Company is currently evaluating the impact of this standard on its consolidated financial statements and disclosures.</w:t>
      </w:r>
    </w:p>
    <w:p>
      <w:pPr>
        <w:spacing w:after="0" w:line="162"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In November 2021, the FASB issued ASU 2021-10, Government Assistance (ASC 832): Disclosures by Business Entities about Government Assistance. ASU 2021-10 requires annual disclosures when an entity accounts for a transaction with a government by applying a grant or contribution accounting model by analogy to other accounting guidance. The new standard will become effective for the Company beginning in fiscal year 2023, with early adoption permitted. The Company is currently evaluating the impact of this standard on its consolidated financial statements and disclosures.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80" w:type="dxa"/>
            <w:vAlign w:val="bottom"/>
            <w:gridSpan w:val="2"/>
          </w:tcPr>
          <w:p>
            <w:pPr>
              <w:jc w:val="right"/>
              <w:ind w:right="906"/>
              <w:spacing w:after="0"/>
              <w:rPr>
                <w:sz w:val="20"/>
                <w:szCs w:val="20"/>
                <w:color w:val="auto"/>
              </w:rPr>
            </w:pPr>
            <w:r>
              <w:rPr>
                <w:rFonts w:ascii="Arial" w:cs="Arial" w:eastAsia="Arial" w:hAnsi="Arial"/>
                <w:sz w:val="11"/>
                <w:szCs w:val="11"/>
                <w:b w:val="1"/>
                <w:bCs w:val="1"/>
                <w:color w:val="auto"/>
              </w:rPr>
              <w:t>As of</w:t>
            </w:r>
          </w:p>
        </w:tc>
        <w:tc>
          <w:tcPr>
            <w:tcW w:w="300" w:type="dxa"/>
            <w:vAlign w:val="bottom"/>
          </w:tcPr>
          <w:p>
            <w:pPr>
              <w:spacing w:after="0"/>
              <w:rPr>
                <w:sz w:val="10"/>
                <w:szCs w:val="10"/>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1"/>
                <w:szCs w:val="11"/>
                <w:b w:val="1"/>
                <w:bCs w:val="1"/>
                <w:color w:val="auto"/>
              </w:rPr>
              <w:t>As of</w:t>
            </w:r>
          </w:p>
        </w:tc>
      </w:tr>
      <w:tr>
        <w:trPr>
          <w:trHeight w:val="145"/>
        </w:trPr>
        <w:tc>
          <w:tcPr>
            <w:tcW w:w="77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22"/>
              <w:spacing w:after="0"/>
              <w:rPr>
                <w:sz w:val="20"/>
                <w:szCs w:val="20"/>
                <w:color w:val="auto"/>
              </w:rPr>
            </w:pPr>
            <w:r>
              <w:rPr>
                <w:rFonts w:ascii="Arial" w:cs="Arial" w:eastAsia="Arial" w:hAnsi="Arial"/>
                <w:sz w:val="11"/>
                <w:szCs w:val="11"/>
                <w:b w:val="1"/>
                <w:bCs w:val="1"/>
                <w:color w:val="auto"/>
              </w:rPr>
              <w:t>December 31, 2021</w:t>
            </w:r>
          </w:p>
        </w:tc>
        <w:tc>
          <w:tcPr>
            <w:tcW w:w="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322"/>
              <w:spacing w:after="0"/>
              <w:rPr>
                <w:sz w:val="20"/>
                <w:szCs w:val="20"/>
                <w:color w:val="auto"/>
              </w:rPr>
            </w:pPr>
            <w:r>
              <w:rPr>
                <w:rFonts w:ascii="Arial" w:cs="Arial" w:eastAsia="Arial" w:hAnsi="Arial"/>
                <w:sz w:val="11"/>
                <w:szCs w:val="11"/>
                <w:b w:val="1"/>
                <w:bCs w:val="1"/>
                <w:color w:val="auto"/>
              </w:rPr>
              <w:t>March 31, 2021</w:t>
            </w:r>
          </w:p>
        </w:tc>
        <w:tc>
          <w:tcPr>
            <w:tcW w:w="100" w:type="dxa"/>
            <w:vAlign w:val="bottom"/>
          </w:tcPr>
          <w:p>
            <w:pPr>
              <w:spacing w:after="0"/>
              <w:rPr>
                <w:sz w:val="12"/>
                <w:szCs w:val="12"/>
                <w:color w:val="auto"/>
              </w:rPr>
            </w:pPr>
          </w:p>
        </w:tc>
      </w:tr>
      <w:tr>
        <w:trPr>
          <w:trHeight w:val="132"/>
        </w:trPr>
        <w:tc>
          <w:tcPr>
            <w:tcW w:w="7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jc w:val="right"/>
              <w:ind w:right="42"/>
              <w:spacing w:after="0"/>
              <w:rPr>
                <w:sz w:val="20"/>
                <w:szCs w:val="20"/>
                <w:color w:val="auto"/>
              </w:rPr>
            </w:pPr>
            <w:r>
              <w:rPr>
                <w:rFonts w:ascii="Arial" w:cs="Arial" w:eastAsia="Arial" w:hAnsi="Arial"/>
                <w:sz w:val="11"/>
                <w:szCs w:val="11"/>
                <w:b w:val="1"/>
                <w:bCs w:val="1"/>
                <w:color w:val="auto"/>
              </w:rPr>
              <w:t>(In</w:t>
            </w:r>
          </w:p>
        </w:tc>
        <w:tc>
          <w:tcPr>
            <w:tcW w:w="600" w:type="dxa"/>
            <w:vAlign w:val="bottom"/>
            <w:gridSpan w:val="2"/>
          </w:tcPr>
          <w:p>
            <w:pPr>
              <w:jc w:val="right"/>
              <w:ind w:right="42"/>
              <w:spacing w:after="0"/>
              <w:rPr>
                <w:sz w:val="20"/>
                <w:szCs w:val="20"/>
                <w:color w:val="auto"/>
              </w:rPr>
            </w:pPr>
            <w:r>
              <w:rPr>
                <w:rFonts w:ascii="Arial" w:cs="Arial" w:eastAsia="Arial" w:hAnsi="Arial"/>
                <w:sz w:val="11"/>
                <w:szCs w:val="11"/>
                <w:b w:val="1"/>
                <w:bCs w:val="1"/>
                <w:color w:val="auto"/>
                <w:w w:val="80"/>
              </w:rPr>
              <w:t>thousands)</w:t>
            </w: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7700" w:type="dxa"/>
            <w:vAlign w:val="bottom"/>
            <w:shd w:val="clear" w:color="auto" w:fill="CFF0FC"/>
          </w:tcPr>
          <w:p>
            <w:pPr>
              <w:ind w:left="20"/>
              <w:spacing w:after="0"/>
              <w:rPr>
                <w:sz w:val="20"/>
                <w:szCs w:val="20"/>
                <w:color w:val="auto"/>
              </w:rPr>
            </w:pPr>
            <w:r>
              <w:rPr>
                <w:rFonts w:ascii="Arial" w:cs="Arial" w:eastAsia="Arial" w:hAnsi="Arial"/>
                <w:sz w:val="12"/>
                <w:szCs w:val="12"/>
                <w:color w:val="auto"/>
              </w:rPr>
              <w:t>Accounts receivable, net:</w:t>
            </w:r>
          </w:p>
        </w:tc>
        <w:tc>
          <w:tcPr>
            <w:tcW w:w="2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5"/>
        </w:trPr>
        <w:tc>
          <w:tcPr>
            <w:tcW w:w="7700" w:type="dxa"/>
            <w:vAlign w:val="bottom"/>
          </w:tcPr>
          <w:p>
            <w:pPr>
              <w:ind w:left="200"/>
              <w:spacing w:after="0"/>
              <w:rPr>
                <w:sz w:val="20"/>
                <w:szCs w:val="20"/>
                <w:color w:val="auto"/>
              </w:rPr>
            </w:pPr>
            <w:r>
              <w:rPr>
                <w:rFonts w:ascii="Arial" w:cs="Arial" w:eastAsia="Arial" w:hAnsi="Arial"/>
                <w:sz w:val="12"/>
                <w:szCs w:val="12"/>
                <w:color w:val="auto"/>
              </w:rPr>
              <w:t>Billed</w:t>
            </w:r>
          </w:p>
        </w:tc>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268,013</w:t>
            </w:r>
          </w:p>
        </w:tc>
        <w:tc>
          <w:tcPr>
            <w:tcW w:w="300" w:type="dxa"/>
            <w:vAlign w:val="bottom"/>
          </w:tcPr>
          <w:p>
            <w:pPr>
              <w:spacing w:after="0"/>
              <w:rPr>
                <w:sz w:val="12"/>
                <w:szCs w:val="12"/>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172,559</w:t>
            </w:r>
          </w:p>
        </w:tc>
        <w:tc>
          <w:tcPr>
            <w:tcW w:w="100" w:type="dxa"/>
            <w:vAlign w:val="bottom"/>
          </w:tcPr>
          <w:p>
            <w:pPr>
              <w:spacing w:after="0"/>
              <w:rPr>
                <w:sz w:val="12"/>
                <w:szCs w:val="12"/>
                <w:color w:val="auto"/>
              </w:rPr>
            </w:pPr>
          </w:p>
        </w:tc>
      </w:tr>
      <w:tr>
        <w:trPr>
          <w:trHeight w:val="152"/>
        </w:trPr>
        <w:tc>
          <w:tcPr>
            <w:tcW w:w="77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Unbilled</w:t>
            </w:r>
          </w:p>
        </w:tc>
        <w:tc>
          <w:tcPr>
            <w:tcW w:w="20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102,110</w:t>
            </w:r>
          </w:p>
        </w:tc>
        <w:tc>
          <w:tcPr>
            <w:tcW w:w="3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70,785</w:t>
            </w:r>
          </w:p>
        </w:tc>
        <w:tc>
          <w:tcPr>
            <w:tcW w:w="100" w:type="dxa"/>
            <w:vAlign w:val="bottom"/>
            <w:shd w:val="clear" w:color="auto" w:fill="CFF0FC"/>
          </w:tcPr>
          <w:p>
            <w:pPr>
              <w:spacing w:after="0"/>
              <w:rPr>
                <w:sz w:val="13"/>
                <w:szCs w:val="13"/>
                <w:color w:val="auto"/>
              </w:rPr>
            </w:pPr>
          </w:p>
        </w:tc>
      </w:tr>
      <w:tr>
        <w:trPr>
          <w:trHeight w:val="145"/>
        </w:trPr>
        <w:tc>
          <w:tcPr>
            <w:tcW w:w="7700" w:type="dxa"/>
            <w:vAlign w:val="bottom"/>
          </w:tcPr>
          <w:p>
            <w:pPr>
              <w:ind w:left="200"/>
              <w:spacing w:after="0"/>
              <w:rPr>
                <w:sz w:val="20"/>
                <w:szCs w:val="20"/>
                <w:color w:val="auto"/>
              </w:rPr>
            </w:pPr>
            <w:r>
              <w:rPr>
                <w:rFonts w:ascii="Arial" w:cs="Arial" w:eastAsia="Arial" w:hAnsi="Arial"/>
                <w:sz w:val="12"/>
                <w:szCs w:val="12"/>
                <w:color w:val="auto"/>
              </w:rPr>
              <w:t>Allowance for doubtful accounts</w:t>
            </w:r>
          </w:p>
        </w:tc>
        <w:tc>
          <w:tcPr>
            <w:tcW w:w="200" w:type="dxa"/>
            <w:vAlign w:val="bottom"/>
          </w:tcPr>
          <w:p>
            <w:pPr>
              <w:spacing w:after="0"/>
              <w:rPr>
                <w:sz w:val="12"/>
                <w:szCs w:val="12"/>
                <w:color w:val="auto"/>
              </w:rPr>
            </w:pPr>
          </w:p>
        </w:tc>
        <w:tc>
          <w:tcPr>
            <w:tcW w:w="1680" w:type="dxa"/>
            <w:vAlign w:val="bottom"/>
            <w:gridSpan w:val="2"/>
          </w:tcPr>
          <w:p>
            <w:pPr>
              <w:jc w:val="right"/>
              <w:ind w:right="186"/>
              <w:spacing w:after="0"/>
              <w:rPr>
                <w:sz w:val="20"/>
                <w:szCs w:val="20"/>
                <w:color w:val="auto"/>
              </w:rPr>
            </w:pPr>
            <w:r>
              <w:rPr>
                <w:rFonts w:ascii="Arial" w:cs="Arial" w:eastAsia="Arial" w:hAnsi="Arial"/>
                <w:sz w:val="12"/>
                <w:szCs w:val="12"/>
                <w:color w:val="auto"/>
              </w:rPr>
              <w:t>(7,110 )</w:t>
            </w:r>
          </w:p>
        </w:tc>
        <w:tc>
          <w:tcPr>
            <w:tcW w:w="300" w:type="dxa"/>
            <w:vAlign w:val="bottom"/>
          </w:tcPr>
          <w:p>
            <w:pPr>
              <w:spacing w:after="0"/>
              <w:rPr>
                <w:sz w:val="12"/>
                <w:szCs w:val="1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2"/>
                <w:szCs w:val="12"/>
                <w:color w:val="auto"/>
              </w:rPr>
              <w:t>(4,692 )</w:t>
            </w:r>
          </w:p>
        </w:tc>
      </w:tr>
      <w:tr>
        <w:trPr>
          <w:trHeight w:val="182"/>
        </w:trPr>
        <w:tc>
          <w:tcPr>
            <w:tcW w:w="77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62"/>
              <w:spacing w:after="0"/>
              <w:rPr>
                <w:sz w:val="20"/>
                <w:szCs w:val="20"/>
                <w:color w:val="auto"/>
              </w:rPr>
            </w:pPr>
            <w:r>
              <w:rPr>
                <w:rFonts w:ascii="Arial" w:cs="Arial" w:eastAsia="Arial" w:hAnsi="Arial"/>
                <w:sz w:val="12"/>
                <w:szCs w:val="12"/>
                <w:color w:val="auto"/>
                <w:w w:val="8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363,013</w:t>
            </w:r>
          </w:p>
        </w:tc>
        <w:tc>
          <w:tcPr>
            <w:tcW w:w="3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238,652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29"/>
        </w:trPr>
        <w:tc>
          <w:tcPr>
            <w:tcW w:w="7700" w:type="dxa"/>
            <w:vAlign w:val="bottom"/>
          </w:tcPr>
          <w:p>
            <w:pPr>
              <w:ind w:left="20"/>
              <w:spacing w:after="0" w:line="129" w:lineRule="exact"/>
              <w:rPr>
                <w:sz w:val="20"/>
                <w:szCs w:val="20"/>
                <w:color w:val="auto"/>
              </w:rPr>
            </w:pPr>
            <w:r>
              <w:rPr>
                <w:rFonts w:ascii="Arial" w:cs="Arial" w:eastAsia="Arial" w:hAnsi="Arial"/>
                <w:sz w:val="12"/>
                <w:szCs w:val="12"/>
                <w:color w:val="auto"/>
              </w:rPr>
              <w:t>Inventories:</w:t>
            </w: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2"/>
        </w:trPr>
        <w:tc>
          <w:tcPr>
            <w:tcW w:w="77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Raw materials</w:t>
            </w:r>
          </w:p>
        </w:tc>
        <w:tc>
          <w:tcPr>
            <w:tcW w:w="20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103,845</w:t>
            </w:r>
          </w:p>
        </w:tc>
        <w:tc>
          <w:tcPr>
            <w:tcW w:w="30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62"/>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98,338</w:t>
            </w:r>
          </w:p>
        </w:tc>
        <w:tc>
          <w:tcPr>
            <w:tcW w:w="100" w:type="dxa"/>
            <w:vAlign w:val="bottom"/>
            <w:shd w:val="clear" w:color="auto" w:fill="CFF0FC"/>
          </w:tcPr>
          <w:p>
            <w:pPr>
              <w:spacing w:after="0"/>
              <w:rPr>
                <w:sz w:val="13"/>
                <w:szCs w:val="13"/>
                <w:color w:val="auto"/>
              </w:rPr>
            </w:pPr>
          </w:p>
        </w:tc>
      </w:tr>
      <w:tr>
        <w:trPr>
          <w:trHeight w:val="145"/>
        </w:trPr>
        <w:tc>
          <w:tcPr>
            <w:tcW w:w="7700" w:type="dxa"/>
            <w:vAlign w:val="bottom"/>
          </w:tcPr>
          <w:p>
            <w:pPr>
              <w:ind w:left="200"/>
              <w:spacing w:after="0"/>
              <w:rPr>
                <w:sz w:val="20"/>
                <w:szCs w:val="20"/>
                <w:color w:val="auto"/>
              </w:rPr>
            </w:pPr>
            <w:r>
              <w:rPr>
                <w:rFonts w:ascii="Arial" w:cs="Arial" w:eastAsia="Arial" w:hAnsi="Arial"/>
                <w:sz w:val="12"/>
                <w:szCs w:val="12"/>
                <w:color w:val="auto"/>
              </w:rPr>
              <w:t>Work in process</w:t>
            </w:r>
          </w:p>
        </w:tc>
        <w:tc>
          <w:tcPr>
            <w:tcW w:w="2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76,184</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71,875</w:t>
            </w:r>
          </w:p>
        </w:tc>
        <w:tc>
          <w:tcPr>
            <w:tcW w:w="100" w:type="dxa"/>
            <w:vAlign w:val="bottom"/>
          </w:tcPr>
          <w:p>
            <w:pPr>
              <w:spacing w:after="0"/>
              <w:rPr>
                <w:sz w:val="12"/>
                <w:szCs w:val="12"/>
                <w:color w:val="auto"/>
              </w:rPr>
            </w:pPr>
          </w:p>
        </w:tc>
      </w:tr>
      <w:tr>
        <w:trPr>
          <w:trHeight w:val="148"/>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2"/>
                <w:szCs w:val="12"/>
                <w:color w:val="auto"/>
              </w:rPr>
              <w:t>Finished goods</w:t>
            </w:r>
          </w:p>
        </w:tc>
        <w:tc>
          <w:tcPr>
            <w:tcW w:w="20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173,964</w:t>
            </w:r>
          </w:p>
        </w:tc>
        <w:tc>
          <w:tcPr>
            <w:tcW w:w="30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166,459</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700" w:type="dxa"/>
            <w:vAlign w:val="bottom"/>
          </w:tcPr>
          <w:p>
            <w:pPr>
              <w:spacing w:after="0"/>
              <w:rPr>
                <w:sz w:val="12"/>
                <w:szCs w:val="12"/>
                <w:color w:val="auto"/>
              </w:rPr>
            </w:pPr>
          </w:p>
        </w:tc>
        <w:tc>
          <w:tcPr>
            <w:tcW w:w="2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353,993</w:t>
            </w:r>
          </w:p>
        </w:tc>
        <w:tc>
          <w:tcPr>
            <w:tcW w:w="300" w:type="dxa"/>
            <w:vAlign w:val="bottom"/>
          </w:tcPr>
          <w:p>
            <w:pPr>
              <w:spacing w:after="0"/>
              <w:rPr>
                <w:sz w:val="12"/>
                <w:szCs w:val="12"/>
                <w:color w:val="auto"/>
              </w:rPr>
            </w:pPr>
          </w:p>
        </w:tc>
        <w:tc>
          <w:tcPr>
            <w:tcW w:w="3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336,672</w:t>
            </w:r>
          </w:p>
        </w:tc>
        <w:tc>
          <w:tcPr>
            <w:tcW w:w="100" w:type="dxa"/>
            <w:vAlign w:val="bottom"/>
          </w:tcPr>
          <w:p>
            <w:pPr>
              <w:spacing w:after="0"/>
              <w:rPr>
                <w:sz w:val="12"/>
                <w:szCs w:val="12"/>
                <w:color w:val="auto"/>
              </w:rPr>
            </w:pPr>
          </w:p>
        </w:tc>
      </w:tr>
      <w:tr>
        <w:trPr>
          <w:trHeight w:val="20"/>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2"/>
        </w:trPr>
        <w:tc>
          <w:tcPr>
            <w:tcW w:w="7700" w:type="dxa"/>
            <w:vAlign w:val="bottom"/>
            <w:shd w:val="clear" w:color="auto" w:fill="CFF0FC"/>
          </w:tcPr>
          <w:p>
            <w:pPr>
              <w:ind w:left="20"/>
              <w:spacing w:after="0" w:line="133" w:lineRule="exact"/>
              <w:rPr>
                <w:sz w:val="20"/>
                <w:szCs w:val="20"/>
                <w:color w:val="auto"/>
              </w:rPr>
            </w:pPr>
            <w:r>
              <w:rPr>
                <w:rFonts w:ascii="Arial" w:cs="Arial" w:eastAsia="Arial" w:hAnsi="Arial"/>
                <w:sz w:val="12"/>
                <w:szCs w:val="12"/>
                <w:color w:val="auto"/>
              </w:rPr>
              <w:t>Prepaid expenses and other current assets:</w:t>
            </w:r>
          </w:p>
        </w:tc>
        <w:tc>
          <w:tcPr>
            <w:tcW w:w="20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5"/>
        </w:trPr>
        <w:tc>
          <w:tcPr>
            <w:tcW w:w="7700" w:type="dxa"/>
            <w:vAlign w:val="bottom"/>
          </w:tcPr>
          <w:p>
            <w:pPr>
              <w:ind w:left="200"/>
              <w:spacing w:after="0"/>
              <w:rPr>
                <w:sz w:val="20"/>
                <w:szCs w:val="20"/>
                <w:color w:val="auto"/>
              </w:rPr>
            </w:pPr>
            <w:r>
              <w:rPr>
                <w:rFonts w:ascii="Arial" w:cs="Arial" w:eastAsia="Arial" w:hAnsi="Arial"/>
                <w:sz w:val="12"/>
                <w:szCs w:val="12"/>
                <w:color w:val="auto"/>
              </w:rPr>
              <w:t>Prepaid expenses</w:t>
            </w:r>
          </w:p>
        </w:tc>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102,826</w:t>
            </w:r>
          </w:p>
        </w:tc>
        <w:tc>
          <w:tcPr>
            <w:tcW w:w="300" w:type="dxa"/>
            <w:vAlign w:val="bottom"/>
          </w:tcPr>
          <w:p>
            <w:pPr>
              <w:spacing w:after="0"/>
              <w:rPr>
                <w:sz w:val="12"/>
                <w:szCs w:val="12"/>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94,405</w:t>
            </w:r>
          </w:p>
        </w:tc>
        <w:tc>
          <w:tcPr>
            <w:tcW w:w="100" w:type="dxa"/>
            <w:vAlign w:val="bottom"/>
          </w:tcPr>
          <w:p>
            <w:pPr>
              <w:spacing w:after="0"/>
              <w:rPr>
                <w:sz w:val="12"/>
                <w:szCs w:val="12"/>
                <w:color w:val="auto"/>
              </w:rPr>
            </w:pPr>
          </w:p>
        </w:tc>
      </w:tr>
      <w:tr>
        <w:trPr>
          <w:trHeight w:val="149"/>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2"/>
                <w:szCs w:val="12"/>
                <w:color w:val="auto"/>
              </w:rPr>
              <w:t>Other</w:t>
            </w:r>
          </w:p>
        </w:tc>
        <w:tc>
          <w:tcPr>
            <w:tcW w:w="20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42,007</w:t>
            </w:r>
          </w:p>
        </w:tc>
        <w:tc>
          <w:tcPr>
            <w:tcW w:w="30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25,555</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700" w:type="dxa"/>
            <w:vAlign w:val="bottom"/>
          </w:tcPr>
          <w:p>
            <w:pPr>
              <w:spacing w:after="0"/>
              <w:rPr>
                <w:sz w:val="12"/>
                <w:szCs w:val="12"/>
                <w:color w:val="auto"/>
              </w:rPr>
            </w:pPr>
          </w:p>
        </w:tc>
        <w:tc>
          <w:tcPr>
            <w:tcW w:w="2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144,833</w:t>
            </w:r>
          </w:p>
        </w:tc>
        <w:tc>
          <w:tcPr>
            <w:tcW w:w="300" w:type="dxa"/>
            <w:vAlign w:val="bottom"/>
          </w:tcPr>
          <w:p>
            <w:pPr>
              <w:spacing w:after="0"/>
              <w:rPr>
                <w:sz w:val="12"/>
                <w:szCs w:val="12"/>
                <w:color w:val="auto"/>
              </w:rPr>
            </w:pPr>
          </w:p>
        </w:tc>
        <w:tc>
          <w:tcPr>
            <w:tcW w:w="3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119,960</w:t>
            </w:r>
          </w:p>
        </w:tc>
        <w:tc>
          <w:tcPr>
            <w:tcW w:w="100" w:type="dxa"/>
            <w:vAlign w:val="bottom"/>
          </w:tcPr>
          <w:p>
            <w:pPr>
              <w:spacing w:after="0"/>
              <w:rPr>
                <w:sz w:val="12"/>
                <w:szCs w:val="12"/>
                <w:color w:val="auto"/>
              </w:rPr>
            </w:pPr>
          </w:p>
        </w:tc>
      </w:tr>
      <w:tr>
        <w:trPr>
          <w:trHeight w:val="20"/>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2"/>
        </w:trPr>
        <w:tc>
          <w:tcPr>
            <w:tcW w:w="7700" w:type="dxa"/>
            <w:vAlign w:val="bottom"/>
            <w:shd w:val="clear" w:color="auto" w:fill="CFF0FC"/>
          </w:tcPr>
          <w:p>
            <w:pPr>
              <w:ind w:left="20"/>
              <w:spacing w:after="0" w:line="133" w:lineRule="exact"/>
              <w:rPr>
                <w:sz w:val="20"/>
                <w:szCs w:val="20"/>
                <w:color w:val="auto"/>
              </w:rPr>
            </w:pPr>
            <w:r>
              <w:rPr>
                <w:rFonts w:ascii="Arial" w:cs="Arial" w:eastAsia="Arial" w:hAnsi="Arial"/>
                <w:sz w:val="12"/>
                <w:szCs w:val="12"/>
                <w:color w:val="auto"/>
              </w:rPr>
              <w:t>Property, equipment and satellites, net:</w:t>
            </w:r>
          </w:p>
        </w:tc>
        <w:tc>
          <w:tcPr>
            <w:tcW w:w="20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5"/>
        </w:trPr>
        <w:tc>
          <w:tcPr>
            <w:tcW w:w="7700" w:type="dxa"/>
            <w:vAlign w:val="bottom"/>
          </w:tcPr>
          <w:p>
            <w:pPr>
              <w:ind w:left="200"/>
              <w:spacing w:after="0"/>
              <w:rPr>
                <w:sz w:val="20"/>
                <w:szCs w:val="20"/>
                <w:color w:val="auto"/>
              </w:rPr>
            </w:pPr>
            <w:r>
              <w:rPr>
                <w:rFonts w:ascii="Arial" w:cs="Arial" w:eastAsia="Arial" w:hAnsi="Arial"/>
                <w:sz w:val="12"/>
                <w:szCs w:val="12"/>
                <w:color w:val="auto"/>
              </w:rPr>
              <w:t>Equipment and software (estimated useful life of 3-7 years)</w:t>
            </w:r>
          </w:p>
        </w:tc>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1,671,024</w:t>
            </w:r>
          </w:p>
        </w:tc>
        <w:tc>
          <w:tcPr>
            <w:tcW w:w="300" w:type="dxa"/>
            <w:vAlign w:val="bottom"/>
          </w:tcPr>
          <w:p>
            <w:pPr>
              <w:spacing w:after="0"/>
              <w:rPr>
                <w:sz w:val="12"/>
                <w:szCs w:val="12"/>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1,505,697</w:t>
            </w:r>
          </w:p>
        </w:tc>
        <w:tc>
          <w:tcPr>
            <w:tcW w:w="100" w:type="dxa"/>
            <w:vAlign w:val="bottom"/>
          </w:tcPr>
          <w:p>
            <w:pPr>
              <w:spacing w:after="0"/>
              <w:rPr>
                <w:sz w:val="12"/>
                <w:szCs w:val="12"/>
                <w:color w:val="auto"/>
              </w:rPr>
            </w:pPr>
          </w:p>
        </w:tc>
      </w:tr>
      <w:tr>
        <w:trPr>
          <w:trHeight w:val="152"/>
        </w:trPr>
        <w:tc>
          <w:tcPr>
            <w:tcW w:w="77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CPE leased equipment (estimated useful life of 4-5 years)</w:t>
            </w:r>
          </w:p>
        </w:tc>
        <w:tc>
          <w:tcPr>
            <w:tcW w:w="20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397,416</w:t>
            </w:r>
          </w:p>
        </w:tc>
        <w:tc>
          <w:tcPr>
            <w:tcW w:w="3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409,942</w:t>
            </w:r>
          </w:p>
        </w:tc>
        <w:tc>
          <w:tcPr>
            <w:tcW w:w="100" w:type="dxa"/>
            <w:vAlign w:val="bottom"/>
            <w:shd w:val="clear" w:color="auto" w:fill="CFF0FC"/>
          </w:tcPr>
          <w:p>
            <w:pPr>
              <w:spacing w:after="0"/>
              <w:rPr>
                <w:sz w:val="13"/>
                <w:szCs w:val="13"/>
                <w:color w:val="auto"/>
              </w:rPr>
            </w:pPr>
          </w:p>
        </w:tc>
      </w:tr>
      <w:tr>
        <w:trPr>
          <w:trHeight w:val="145"/>
        </w:trPr>
        <w:tc>
          <w:tcPr>
            <w:tcW w:w="7700" w:type="dxa"/>
            <w:vAlign w:val="bottom"/>
          </w:tcPr>
          <w:p>
            <w:pPr>
              <w:ind w:left="200"/>
              <w:spacing w:after="0"/>
              <w:rPr>
                <w:sz w:val="20"/>
                <w:szCs w:val="20"/>
                <w:color w:val="auto"/>
              </w:rPr>
            </w:pPr>
            <w:r>
              <w:rPr>
                <w:rFonts w:ascii="Arial" w:cs="Arial" w:eastAsia="Arial" w:hAnsi="Arial"/>
                <w:sz w:val="12"/>
                <w:szCs w:val="12"/>
                <w:color w:val="auto"/>
              </w:rPr>
              <w:t>Furniture and fixtures (estimated useful life of 7 years)</w:t>
            </w:r>
          </w:p>
        </w:tc>
        <w:tc>
          <w:tcPr>
            <w:tcW w:w="2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60,076</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57,433</w:t>
            </w:r>
          </w:p>
        </w:tc>
        <w:tc>
          <w:tcPr>
            <w:tcW w:w="100" w:type="dxa"/>
            <w:vAlign w:val="bottom"/>
          </w:tcPr>
          <w:p>
            <w:pPr>
              <w:spacing w:after="0"/>
              <w:rPr>
                <w:sz w:val="12"/>
                <w:szCs w:val="12"/>
                <w:color w:val="auto"/>
              </w:rPr>
            </w:pPr>
          </w:p>
        </w:tc>
      </w:tr>
      <w:tr>
        <w:trPr>
          <w:trHeight w:val="152"/>
        </w:trPr>
        <w:tc>
          <w:tcPr>
            <w:tcW w:w="77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Leasehold improvements (estimated useful life of 2-17 years)</w:t>
            </w:r>
          </w:p>
        </w:tc>
        <w:tc>
          <w:tcPr>
            <w:tcW w:w="20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155,603</w:t>
            </w:r>
          </w:p>
        </w:tc>
        <w:tc>
          <w:tcPr>
            <w:tcW w:w="3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149,324</w:t>
            </w:r>
          </w:p>
        </w:tc>
        <w:tc>
          <w:tcPr>
            <w:tcW w:w="100" w:type="dxa"/>
            <w:vAlign w:val="bottom"/>
            <w:shd w:val="clear" w:color="auto" w:fill="CFF0FC"/>
          </w:tcPr>
          <w:p>
            <w:pPr>
              <w:spacing w:after="0"/>
              <w:rPr>
                <w:sz w:val="13"/>
                <w:szCs w:val="13"/>
                <w:color w:val="auto"/>
              </w:rPr>
            </w:pPr>
          </w:p>
        </w:tc>
      </w:tr>
      <w:tr>
        <w:trPr>
          <w:trHeight w:val="145"/>
        </w:trPr>
        <w:tc>
          <w:tcPr>
            <w:tcW w:w="7700" w:type="dxa"/>
            <w:vAlign w:val="bottom"/>
          </w:tcPr>
          <w:p>
            <w:pPr>
              <w:ind w:left="200"/>
              <w:spacing w:after="0"/>
              <w:rPr>
                <w:sz w:val="20"/>
                <w:szCs w:val="20"/>
                <w:color w:val="auto"/>
              </w:rPr>
            </w:pPr>
            <w:r>
              <w:rPr>
                <w:rFonts w:ascii="Arial" w:cs="Arial" w:eastAsia="Arial" w:hAnsi="Arial"/>
                <w:sz w:val="12"/>
                <w:szCs w:val="12"/>
                <w:color w:val="auto"/>
              </w:rPr>
              <w:t>Buildings (estimated useful life of 12-38 years)</w:t>
            </w:r>
          </w:p>
        </w:tc>
        <w:tc>
          <w:tcPr>
            <w:tcW w:w="2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12,405</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8,923</w:t>
            </w:r>
          </w:p>
        </w:tc>
        <w:tc>
          <w:tcPr>
            <w:tcW w:w="100" w:type="dxa"/>
            <w:vAlign w:val="bottom"/>
          </w:tcPr>
          <w:p>
            <w:pPr>
              <w:spacing w:after="0"/>
              <w:rPr>
                <w:sz w:val="12"/>
                <w:szCs w:val="12"/>
                <w:color w:val="auto"/>
              </w:rPr>
            </w:pPr>
          </w:p>
        </w:tc>
      </w:tr>
      <w:tr>
        <w:trPr>
          <w:trHeight w:val="152"/>
        </w:trPr>
        <w:tc>
          <w:tcPr>
            <w:tcW w:w="77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Land</w:t>
            </w:r>
          </w:p>
        </w:tc>
        <w:tc>
          <w:tcPr>
            <w:tcW w:w="20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3,978</w:t>
            </w:r>
          </w:p>
        </w:tc>
        <w:tc>
          <w:tcPr>
            <w:tcW w:w="3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2,291</w:t>
            </w:r>
          </w:p>
        </w:tc>
        <w:tc>
          <w:tcPr>
            <w:tcW w:w="100" w:type="dxa"/>
            <w:vAlign w:val="bottom"/>
            <w:shd w:val="clear" w:color="auto" w:fill="CFF0FC"/>
          </w:tcPr>
          <w:p>
            <w:pPr>
              <w:spacing w:after="0"/>
              <w:rPr>
                <w:sz w:val="13"/>
                <w:szCs w:val="13"/>
                <w:color w:val="auto"/>
              </w:rPr>
            </w:pPr>
          </w:p>
        </w:tc>
      </w:tr>
      <w:tr>
        <w:trPr>
          <w:trHeight w:val="145"/>
        </w:trPr>
        <w:tc>
          <w:tcPr>
            <w:tcW w:w="7700" w:type="dxa"/>
            <w:vAlign w:val="bottom"/>
          </w:tcPr>
          <w:p>
            <w:pPr>
              <w:ind w:left="200"/>
              <w:spacing w:after="0"/>
              <w:rPr>
                <w:sz w:val="20"/>
                <w:szCs w:val="20"/>
                <w:color w:val="auto"/>
              </w:rPr>
            </w:pPr>
            <w:r>
              <w:rPr>
                <w:rFonts w:ascii="Arial" w:cs="Arial" w:eastAsia="Arial" w:hAnsi="Arial"/>
                <w:sz w:val="12"/>
                <w:szCs w:val="12"/>
                <w:color w:val="auto"/>
              </w:rPr>
              <w:t>Construction in progress</w:t>
            </w:r>
          </w:p>
        </w:tc>
        <w:tc>
          <w:tcPr>
            <w:tcW w:w="2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335,174</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219,482</w:t>
            </w:r>
          </w:p>
        </w:tc>
        <w:tc>
          <w:tcPr>
            <w:tcW w:w="100" w:type="dxa"/>
            <w:vAlign w:val="bottom"/>
          </w:tcPr>
          <w:p>
            <w:pPr>
              <w:spacing w:after="0"/>
              <w:rPr>
                <w:sz w:val="12"/>
                <w:szCs w:val="12"/>
                <w:color w:val="auto"/>
              </w:rPr>
            </w:pPr>
          </w:p>
        </w:tc>
      </w:tr>
      <w:tr>
        <w:trPr>
          <w:trHeight w:val="152"/>
        </w:trPr>
        <w:tc>
          <w:tcPr>
            <w:tcW w:w="77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Satellites (estimated useful life of 7-17 years)</w:t>
            </w:r>
          </w:p>
        </w:tc>
        <w:tc>
          <w:tcPr>
            <w:tcW w:w="20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1,060,656</w:t>
            </w:r>
          </w:p>
        </w:tc>
        <w:tc>
          <w:tcPr>
            <w:tcW w:w="3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969,952</w:t>
            </w:r>
          </w:p>
        </w:tc>
        <w:tc>
          <w:tcPr>
            <w:tcW w:w="100" w:type="dxa"/>
            <w:vAlign w:val="bottom"/>
            <w:shd w:val="clear" w:color="auto" w:fill="CFF0FC"/>
          </w:tcPr>
          <w:p>
            <w:pPr>
              <w:spacing w:after="0"/>
              <w:rPr>
                <w:sz w:val="13"/>
                <w:szCs w:val="13"/>
                <w:color w:val="auto"/>
              </w:rPr>
            </w:pPr>
          </w:p>
        </w:tc>
      </w:tr>
      <w:tr>
        <w:trPr>
          <w:trHeight w:val="145"/>
        </w:trPr>
        <w:tc>
          <w:tcPr>
            <w:tcW w:w="7700" w:type="dxa"/>
            <w:vAlign w:val="bottom"/>
          </w:tcPr>
          <w:p>
            <w:pPr>
              <w:ind w:left="200"/>
              <w:spacing w:after="0"/>
              <w:rPr>
                <w:sz w:val="20"/>
                <w:szCs w:val="20"/>
                <w:color w:val="auto"/>
              </w:rPr>
            </w:pPr>
            <w:r>
              <w:rPr>
                <w:rFonts w:ascii="Arial" w:cs="Arial" w:eastAsia="Arial" w:hAnsi="Arial"/>
                <w:sz w:val="12"/>
                <w:szCs w:val="12"/>
                <w:color w:val="auto"/>
              </w:rPr>
              <w:t>Satellite Ka-band capacity obtained under finance leases (estimated useful life of 7-11 years)</w:t>
            </w:r>
          </w:p>
        </w:tc>
        <w:tc>
          <w:tcPr>
            <w:tcW w:w="2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173,480</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173,467</w:t>
            </w:r>
          </w:p>
        </w:tc>
        <w:tc>
          <w:tcPr>
            <w:tcW w:w="100" w:type="dxa"/>
            <w:vAlign w:val="bottom"/>
          </w:tcPr>
          <w:p>
            <w:pPr>
              <w:spacing w:after="0"/>
              <w:rPr>
                <w:sz w:val="12"/>
                <w:szCs w:val="12"/>
                <w:color w:val="auto"/>
              </w:rPr>
            </w:pPr>
          </w:p>
        </w:tc>
      </w:tr>
      <w:tr>
        <w:trPr>
          <w:trHeight w:val="148"/>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2"/>
                <w:szCs w:val="12"/>
                <w:color w:val="auto"/>
              </w:rPr>
              <w:t>Satellites under construction</w:t>
            </w:r>
          </w:p>
        </w:tc>
        <w:tc>
          <w:tcPr>
            <w:tcW w:w="20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1,708,565</w:t>
            </w:r>
          </w:p>
        </w:tc>
        <w:tc>
          <w:tcPr>
            <w:tcW w:w="30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1,338,408</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5,578,377</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4,834,919</w:t>
            </w:r>
          </w:p>
        </w:tc>
        <w:tc>
          <w:tcPr>
            <w:tcW w:w="100" w:type="dxa"/>
            <w:vAlign w:val="bottom"/>
          </w:tcPr>
          <w:p>
            <w:pPr>
              <w:spacing w:after="0"/>
              <w:rPr>
                <w:sz w:val="12"/>
                <w:szCs w:val="12"/>
                <w:color w:val="auto"/>
              </w:rPr>
            </w:pPr>
          </w:p>
        </w:tc>
      </w:tr>
      <w:tr>
        <w:trPr>
          <w:trHeight w:val="148"/>
        </w:trPr>
        <w:tc>
          <w:tcPr>
            <w:tcW w:w="77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Less: accumulated depreciation and amortization</w:t>
            </w:r>
          </w:p>
        </w:tc>
        <w:tc>
          <w:tcPr>
            <w:tcW w:w="200" w:type="dxa"/>
            <w:vAlign w:val="bottom"/>
            <w:shd w:val="clear" w:color="auto" w:fill="CFF0FC"/>
          </w:tcPr>
          <w:p>
            <w:pPr>
              <w:spacing w:after="0"/>
              <w:rPr>
                <w:sz w:val="12"/>
                <w:szCs w:val="12"/>
                <w:color w:val="auto"/>
              </w:rPr>
            </w:pPr>
          </w:p>
        </w:tc>
        <w:tc>
          <w:tcPr>
            <w:tcW w:w="1680" w:type="dxa"/>
            <w:vAlign w:val="bottom"/>
            <w:gridSpan w:val="2"/>
            <w:shd w:val="clear" w:color="auto" w:fill="CFF0FC"/>
          </w:tcPr>
          <w:p>
            <w:pPr>
              <w:jc w:val="right"/>
              <w:ind w:right="186"/>
              <w:spacing w:after="0"/>
              <w:rPr>
                <w:sz w:val="20"/>
                <w:szCs w:val="20"/>
                <w:color w:val="auto"/>
              </w:rPr>
            </w:pPr>
            <w:r>
              <w:rPr>
                <w:rFonts w:ascii="Arial" w:cs="Arial" w:eastAsia="Arial" w:hAnsi="Arial"/>
                <w:sz w:val="12"/>
                <w:szCs w:val="12"/>
                <w:color w:val="auto"/>
              </w:rPr>
              <w:t>(1,975,196 )</w:t>
            </w:r>
          </w:p>
        </w:tc>
        <w:tc>
          <w:tcPr>
            <w:tcW w:w="30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(1,784,436 )</w:t>
            </w:r>
          </w:p>
        </w:tc>
      </w:tr>
      <w:tr>
        <w:trPr>
          <w:trHeight w:val="142"/>
        </w:trPr>
        <w:tc>
          <w:tcPr>
            <w:tcW w:w="7700" w:type="dxa"/>
            <w:vAlign w:val="bottom"/>
            <w:tcBorders>
              <w:top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3,603,181</w:t>
            </w:r>
          </w:p>
        </w:tc>
        <w:tc>
          <w:tcPr>
            <w:tcW w:w="300" w:type="dxa"/>
            <w:vAlign w:val="bottom"/>
            <w:tcBorders>
              <w:top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3,050,483</w:t>
            </w:r>
          </w:p>
        </w:tc>
        <w:tc>
          <w:tcPr>
            <w:tcW w:w="100" w:type="dxa"/>
            <w:vAlign w:val="bottom"/>
            <w:tcBorders>
              <w:top w:val="single" w:sz="8" w:color="CFF0FC"/>
            </w:tcBorders>
          </w:tcPr>
          <w:p>
            <w:pPr>
              <w:spacing w:after="0"/>
              <w:rPr>
                <w:sz w:val="12"/>
                <w:szCs w:val="12"/>
                <w:color w:val="auto"/>
              </w:rPr>
            </w:pPr>
          </w:p>
        </w:tc>
      </w:tr>
      <w:tr>
        <w:trPr>
          <w:trHeight w:val="20"/>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2"/>
        </w:trPr>
        <w:tc>
          <w:tcPr>
            <w:tcW w:w="7700" w:type="dxa"/>
            <w:vAlign w:val="bottom"/>
            <w:shd w:val="clear" w:color="auto" w:fill="CFF0FC"/>
          </w:tcPr>
          <w:p>
            <w:pPr>
              <w:ind w:left="20"/>
              <w:spacing w:after="0" w:line="133" w:lineRule="exact"/>
              <w:rPr>
                <w:sz w:val="20"/>
                <w:szCs w:val="20"/>
                <w:color w:val="auto"/>
              </w:rPr>
            </w:pPr>
            <w:r>
              <w:rPr>
                <w:rFonts w:ascii="Arial" w:cs="Arial" w:eastAsia="Arial" w:hAnsi="Arial"/>
                <w:sz w:val="12"/>
                <w:szCs w:val="12"/>
                <w:color w:val="auto"/>
              </w:rPr>
              <w:t>Other acquired intangible assets, net:</w:t>
            </w:r>
          </w:p>
        </w:tc>
        <w:tc>
          <w:tcPr>
            <w:tcW w:w="20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5"/>
        </w:trPr>
        <w:tc>
          <w:tcPr>
            <w:tcW w:w="7700" w:type="dxa"/>
            <w:vAlign w:val="bottom"/>
          </w:tcPr>
          <w:p>
            <w:pPr>
              <w:ind w:left="200"/>
              <w:spacing w:after="0"/>
              <w:rPr>
                <w:sz w:val="20"/>
                <w:szCs w:val="20"/>
                <w:color w:val="auto"/>
              </w:rPr>
            </w:pPr>
            <w:r>
              <w:rPr>
                <w:rFonts w:ascii="Arial" w:cs="Arial" w:eastAsia="Arial" w:hAnsi="Arial"/>
                <w:sz w:val="12"/>
                <w:szCs w:val="12"/>
                <w:color w:val="auto"/>
              </w:rPr>
              <w:t>Technology (weighted average useful life of 7 years)</w:t>
            </w:r>
          </w:p>
        </w:tc>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150,559</w:t>
            </w:r>
          </w:p>
        </w:tc>
        <w:tc>
          <w:tcPr>
            <w:tcW w:w="300" w:type="dxa"/>
            <w:vAlign w:val="bottom"/>
          </w:tcPr>
          <w:p>
            <w:pPr>
              <w:spacing w:after="0"/>
              <w:rPr>
                <w:sz w:val="12"/>
                <w:szCs w:val="12"/>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78,185</w:t>
            </w:r>
          </w:p>
        </w:tc>
        <w:tc>
          <w:tcPr>
            <w:tcW w:w="100" w:type="dxa"/>
            <w:vAlign w:val="bottom"/>
          </w:tcPr>
          <w:p>
            <w:pPr>
              <w:spacing w:after="0"/>
              <w:rPr>
                <w:sz w:val="12"/>
                <w:szCs w:val="12"/>
                <w:color w:val="auto"/>
              </w:rPr>
            </w:pPr>
          </w:p>
        </w:tc>
      </w:tr>
      <w:tr>
        <w:trPr>
          <w:trHeight w:val="152"/>
        </w:trPr>
        <w:tc>
          <w:tcPr>
            <w:tcW w:w="77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Contracts and customer relationships (weighted average useful life of 10 years)</w:t>
            </w:r>
          </w:p>
        </w:tc>
        <w:tc>
          <w:tcPr>
            <w:tcW w:w="20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167,294</w:t>
            </w:r>
          </w:p>
        </w:tc>
        <w:tc>
          <w:tcPr>
            <w:tcW w:w="3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55,161</w:t>
            </w:r>
          </w:p>
        </w:tc>
        <w:tc>
          <w:tcPr>
            <w:tcW w:w="100" w:type="dxa"/>
            <w:vAlign w:val="bottom"/>
            <w:shd w:val="clear" w:color="auto" w:fill="CFF0FC"/>
          </w:tcPr>
          <w:p>
            <w:pPr>
              <w:spacing w:after="0"/>
              <w:rPr>
                <w:sz w:val="13"/>
                <w:szCs w:val="13"/>
                <w:color w:val="auto"/>
              </w:rPr>
            </w:pPr>
          </w:p>
        </w:tc>
      </w:tr>
      <w:tr>
        <w:trPr>
          <w:trHeight w:val="145"/>
        </w:trPr>
        <w:tc>
          <w:tcPr>
            <w:tcW w:w="7700" w:type="dxa"/>
            <w:vAlign w:val="bottom"/>
          </w:tcPr>
          <w:p>
            <w:pPr>
              <w:ind w:left="200"/>
              <w:spacing w:after="0"/>
              <w:rPr>
                <w:sz w:val="20"/>
                <w:szCs w:val="20"/>
                <w:color w:val="auto"/>
              </w:rPr>
            </w:pPr>
            <w:r>
              <w:rPr>
                <w:rFonts w:ascii="Arial" w:cs="Arial" w:eastAsia="Arial" w:hAnsi="Arial"/>
                <w:sz w:val="12"/>
                <w:szCs w:val="12"/>
                <w:color w:val="auto"/>
              </w:rPr>
              <w:t>Satellite co-location rights (weighted average useful life of 9 years)</w:t>
            </w:r>
          </w:p>
        </w:tc>
        <w:tc>
          <w:tcPr>
            <w:tcW w:w="2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8,600</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8,600</w:t>
            </w:r>
          </w:p>
        </w:tc>
        <w:tc>
          <w:tcPr>
            <w:tcW w:w="100" w:type="dxa"/>
            <w:vAlign w:val="bottom"/>
          </w:tcPr>
          <w:p>
            <w:pPr>
              <w:spacing w:after="0"/>
              <w:rPr>
                <w:sz w:val="12"/>
                <w:szCs w:val="12"/>
                <w:color w:val="auto"/>
              </w:rPr>
            </w:pPr>
          </w:p>
        </w:tc>
      </w:tr>
      <w:tr>
        <w:trPr>
          <w:trHeight w:val="152"/>
        </w:trPr>
        <w:tc>
          <w:tcPr>
            <w:tcW w:w="77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Trade name (weighted average useful life of 7 years)</w:t>
            </w:r>
          </w:p>
        </w:tc>
        <w:tc>
          <w:tcPr>
            <w:tcW w:w="20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32,042</w:t>
            </w:r>
          </w:p>
        </w:tc>
        <w:tc>
          <w:tcPr>
            <w:tcW w:w="3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5,940</w:t>
            </w:r>
          </w:p>
        </w:tc>
        <w:tc>
          <w:tcPr>
            <w:tcW w:w="100" w:type="dxa"/>
            <w:vAlign w:val="bottom"/>
            <w:shd w:val="clear" w:color="auto" w:fill="CFF0FC"/>
          </w:tcPr>
          <w:p>
            <w:pPr>
              <w:spacing w:after="0"/>
              <w:rPr>
                <w:sz w:val="13"/>
                <w:szCs w:val="13"/>
                <w:color w:val="auto"/>
              </w:rPr>
            </w:pPr>
          </w:p>
        </w:tc>
      </w:tr>
      <w:tr>
        <w:trPr>
          <w:trHeight w:val="145"/>
        </w:trPr>
        <w:tc>
          <w:tcPr>
            <w:tcW w:w="7700" w:type="dxa"/>
            <w:vAlign w:val="bottom"/>
          </w:tcPr>
          <w:p>
            <w:pPr>
              <w:ind w:left="200"/>
              <w:spacing w:after="0"/>
              <w:rPr>
                <w:sz w:val="20"/>
                <w:szCs w:val="20"/>
                <w:color w:val="auto"/>
              </w:rPr>
            </w:pPr>
            <w:r>
              <w:rPr>
                <w:rFonts w:ascii="Arial" w:cs="Arial" w:eastAsia="Arial" w:hAnsi="Arial"/>
                <w:sz w:val="12"/>
                <w:szCs w:val="12"/>
                <w:color w:val="auto"/>
              </w:rPr>
              <w:t>Other (weighted average useful life of 11 years)</w:t>
            </w: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22,388</w:t>
            </w:r>
          </w:p>
        </w:tc>
        <w:tc>
          <w:tcPr>
            <w:tcW w:w="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3,663</w:t>
            </w:r>
          </w:p>
        </w:tc>
        <w:tc>
          <w:tcPr>
            <w:tcW w:w="100" w:type="dxa"/>
            <w:vAlign w:val="bottom"/>
          </w:tcPr>
          <w:p>
            <w:pPr>
              <w:spacing w:after="0"/>
              <w:rPr>
                <w:sz w:val="12"/>
                <w:szCs w:val="12"/>
                <w:color w:val="auto"/>
              </w:rPr>
            </w:pPr>
          </w:p>
        </w:tc>
      </w:tr>
      <w:tr>
        <w:trPr>
          <w:trHeight w:val="145"/>
        </w:trPr>
        <w:tc>
          <w:tcPr>
            <w:tcW w:w="7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380,883</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151,549</w:t>
            </w:r>
          </w:p>
        </w:tc>
        <w:tc>
          <w:tcPr>
            <w:tcW w:w="100" w:type="dxa"/>
            <w:vAlign w:val="bottom"/>
            <w:shd w:val="clear" w:color="auto" w:fill="CFF0FC"/>
          </w:tcPr>
          <w:p>
            <w:pPr>
              <w:spacing w:after="0"/>
              <w:rPr>
                <w:sz w:val="12"/>
                <w:szCs w:val="12"/>
                <w:color w:val="auto"/>
              </w:rPr>
            </w:pPr>
          </w:p>
        </w:tc>
      </w:tr>
      <w:tr>
        <w:trPr>
          <w:trHeight w:val="145"/>
        </w:trPr>
        <w:tc>
          <w:tcPr>
            <w:tcW w:w="7700" w:type="dxa"/>
            <w:vAlign w:val="bottom"/>
          </w:tcPr>
          <w:p>
            <w:pPr>
              <w:ind w:left="200"/>
              <w:spacing w:after="0"/>
              <w:rPr>
                <w:sz w:val="20"/>
                <w:szCs w:val="20"/>
                <w:color w:val="auto"/>
              </w:rPr>
            </w:pPr>
            <w:r>
              <w:rPr>
                <w:rFonts w:ascii="Arial" w:cs="Arial" w:eastAsia="Arial" w:hAnsi="Arial"/>
                <w:sz w:val="12"/>
                <w:szCs w:val="12"/>
                <w:color w:val="auto"/>
              </w:rPr>
              <w:t>Less: accumulated amortization</w:t>
            </w:r>
          </w:p>
        </w:tc>
        <w:tc>
          <w:tcPr>
            <w:tcW w:w="200" w:type="dxa"/>
            <w:vAlign w:val="bottom"/>
          </w:tcPr>
          <w:p>
            <w:pPr>
              <w:spacing w:after="0"/>
              <w:rPr>
                <w:sz w:val="12"/>
                <w:szCs w:val="12"/>
                <w:color w:val="auto"/>
              </w:rPr>
            </w:pPr>
          </w:p>
        </w:tc>
        <w:tc>
          <w:tcPr>
            <w:tcW w:w="1680" w:type="dxa"/>
            <w:vAlign w:val="bottom"/>
            <w:gridSpan w:val="2"/>
          </w:tcPr>
          <w:p>
            <w:pPr>
              <w:jc w:val="right"/>
              <w:ind w:right="186"/>
              <w:spacing w:after="0"/>
              <w:rPr>
                <w:sz w:val="20"/>
                <w:szCs w:val="20"/>
                <w:color w:val="auto"/>
              </w:rPr>
            </w:pPr>
            <w:r>
              <w:rPr>
                <w:rFonts w:ascii="Arial" w:cs="Arial" w:eastAsia="Arial" w:hAnsi="Arial"/>
                <w:sz w:val="12"/>
                <w:szCs w:val="12"/>
                <w:color w:val="auto"/>
              </w:rPr>
              <w:t>(143,033 )</w:t>
            </w:r>
          </w:p>
        </w:tc>
        <w:tc>
          <w:tcPr>
            <w:tcW w:w="300" w:type="dxa"/>
            <w:vAlign w:val="bottom"/>
          </w:tcPr>
          <w:p>
            <w:pPr>
              <w:spacing w:after="0"/>
              <w:rPr>
                <w:sz w:val="12"/>
                <w:szCs w:val="1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2"/>
                <w:szCs w:val="12"/>
                <w:color w:val="auto"/>
              </w:rPr>
              <w:t>(141,981 )</w:t>
            </w:r>
          </w:p>
        </w:tc>
      </w:tr>
      <w:tr>
        <w:trPr>
          <w:trHeight w:val="182"/>
        </w:trPr>
        <w:tc>
          <w:tcPr>
            <w:tcW w:w="77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62"/>
              <w:spacing w:after="0"/>
              <w:rPr>
                <w:sz w:val="20"/>
                <w:szCs w:val="20"/>
                <w:color w:val="auto"/>
              </w:rPr>
            </w:pPr>
            <w:r>
              <w:rPr>
                <w:rFonts w:ascii="Arial" w:cs="Arial" w:eastAsia="Arial" w:hAnsi="Arial"/>
                <w:sz w:val="12"/>
                <w:szCs w:val="12"/>
                <w:color w:val="auto"/>
                <w:w w:val="8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237,850</w:t>
            </w:r>
          </w:p>
        </w:tc>
        <w:tc>
          <w:tcPr>
            <w:tcW w:w="3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9,568</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29"/>
        </w:trPr>
        <w:tc>
          <w:tcPr>
            <w:tcW w:w="7700" w:type="dxa"/>
            <w:vAlign w:val="bottom"/>
          </w:tcPr>
          <w:p>
            <w:pPr>
              <w:ind w:left="20"/>
              <w:spacing w:after="0" w:line="129" w:lineRule="exact"/>
              <w:rPr>
                <w:sz w:val="20"/>
                <w:szCs w:val="20"/>
                <w:color w:val="auto"/>
              </w:rPr>
            </w:pPr>
            <w:r>
              <w:rPr>
                <w:rFonts w:ascii="Arial" w:cs="Arial" w:eastAsia="Arial" w:hAnsi="Arial"/>
                <w:sz w:val="12"/>
                <w:szCs w:val="12"/>
                <w:color w:val="auto"/>
              </w:rPr>
              <w:t>Other assets:</w:t>
            </w: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2"/>
        </w:trPr>
        <w:tc>
          <w:tcPr>
            <w:tcW w:w="77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Investment in unconsolidated affiliate</w:t>
            </w:r>
          </w:p>
        </w:tc>
        <w:tc>
          <w:tcPr>
            <w:tcW w:w="20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w w:val="89"/>
              </w:rPr>
              <w:t>$</w:t>
            </w:r>
          </w:p>
        </w:tc>
        <w:tc>
          <w:tcPr>
            <w:tcW w:w="1680" w:type="dxa"/>
            <w:vAlign w:val="bottom"/>
            <w:gridSpan w:val="2"/>
            <w:shd w:val="clear" w:color="auto" w:fill="CFF0FC"/>
          </w:tcPr>
          <w:p>
            <w:pPr>
              <w:jc w:val="right"/>
              <w:ind w:right="266"/>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jc w:val="right"/>
              <w:ind w:right="162"/>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176,938</w:t>
            </w:r>
          </w:p>
        </w:tc>
        <w:tc>
          <w:tcPr>
            <w:tcW w:w="100" w:type="dxa"/>
            <w:vAlign w:val="bottom"/>
            <w:shd w:val="clear" w:color="auto" w:fill="CFF0FC"/>
          </w:tcPr>
          <w:p>
            <w:pPr>
              <w:spacing w:after="0"/>
              <w:rPr>
                <w:sz w:val="13"/>
                <w:szCs w:val="13"/>
                <w:color w:val="auto"/>
              </w:rPr>
            </w:pPr>
          </w:p>
        </w:tc>
      </w:tr>
      <w:tr>
        <w:trPr>
          <w:trHeight w:val="145"/>
        </w:trPr>
        <w:tc>
          <w:tcPr>
            <w:tcW w:w="7700" w:type="dxa"/>
            <w:vAlign w:val="bottom"/>
          </w:tcPr>
          <w:p>
            <w:pPr>
              <w:ind w:left="200"/>
              <w:spacing w:after="0"/>
              <w:rPr>
                <w:sz w:val="20"/>
                <w:szCs w:val="20"/>
                <w:color w:val="auto"/>
              </w:rPr>
            </w:pPr>
            <w:r>
              <w:rPr>
                <w:rFonts w:ascii="Arial" w:cs="Arial" w:eastAsia="Arial" w:hAnsi="Arial"/>
                <w:sz w:val="12"/>
                <w:szCs w:val="12"/>
                <w:color w:val="auto"/>
              </w:rPr>
              <w:t>Deferred income taxes</w:t>
            </w:r>
          </w:p>
        </w:tc>
        <w:tc>
          <w:tcPr>
            <w:tcW w:w="2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289,181</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273,288</w:t>
            </w:r>
          </w:p>
        </w:tc>
        <w:tc>
          <w:tcPr>
            <w:tcW w:w="100" w:type="dxa"/>
            <w:vAlign w:val="bottom"/>
          </w:tcPr>
          <w:p>
            <w:pPr>
              <w:spacing w:after="0"/>
              <w:rPr>
                <w:sz w:val="12"/>
                <w:szCs w:val="12"/>
                <w:color w:val="auto"/>
              </w:rPr>
            </w:pPr>
          </w:p>
        </w:tc>
      </w:tr>
      <w:tr>
        <w:trPr>
          <w:trHeight w:val="152"/>
        </w:trPr>
        <w:tc>
          <w:tcPr>
            <w:tcW w:w="77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Capitalized software costs, net</w:t>
            </w:r>
          </w:p>
        </w:tc>
        <w:tc>
          <w:tcPr>
            <w:tcW w:w="20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223,142</w:t>
            </w:r>
          </w:p>
        </w:tc>
        <w:tc>
          <w:tcPr>
            <w:tcW w:w="3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237,100</w:t>
            </w:r>
          </w:p>
        </w:tc>
        <w:tc>
          <w:tcPr>
            <w:tcW w:w="100" w:type="dxa"/>
            <w:vAlign w:val="bottom"/>
            <w:shd w:val="clear" w:color="auto" w:fill="CFF0FC"/>
          </w:tcPr>
          <w:p>
            <w:pPr>
              <w:spacing w:after="0"/>
              <w:rPr>
                <w:sz w:val="13"/>
                <w:szCs w:val="13"/>
                <w:color w:val="auto"/>
              </w:rPr>
            </w:pPr>
          </w:p>
        </w:tc>
      </w:tr>
      <w:tr>
        <w:trPr>
          <w:trHeight w:val="145"/>
        </w:trPr>
        <w:tc>
          <w:tcPr>
            <w:tcW w:w="7700" w:type="dxa"/>
            <w:vAlign w:val="bottom"/>
          </w:tcPr>
          <w:p>
            <w:pPr>
              <w:ind w:left="200"/>
              <w:spacing w:after="0"/>
              <w:rPr>
                <w:sz w:val="20"/>
                <w:szCs w:val="20"/>
                <w:color w:val="auto"/>
              </w:rPr>
            </w:pPr>
            <w:r>
              <w:rPr>
                <w:rFonts w:ascii="Arial" w:cs="Arial" w:eastAsia="Arial" w:hAnsi="Arial"/>
                <w:sz w:val="12"/>
                <w:szCs w:val="12"/>
                <w:color w:val="auto"/>
              </w:rPr>
              <w:t>Patents, orbital slots and other licenses, net</w:t>
            </w:r>
          </w:p>
        </w:tc>
        <w:tc>
          <w:tcPr>
            <w:tcW w:w="2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62,553</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52,889</w:t>
            </w:r>
          </w:p>
        </w:tc>
        <w:tc>
          <w:tcPr>
            <w:tcW w:w="100" w:type="dxa"/>
            <w:vAlign w:val="bottom"/>
          </w:tcPr>
          <w:p>
            <w:pPr>
              <w:spacing w:after="0"/>
              <w:rPr>
                <w:sz w:val="12"/>
                <w:szCs w:val="12"/>
                <w:color w:val="auto"/>
              </w:rPr>
            </w:pPr>
          </w:p>
        </w:tc>
      </w:tr>
      <w:tr>
        <w:trPr>
          <w:trHeight w:val="148"/>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2"/>
                <w:szCs w:val="12"/>
                <w:color w:val="auto"/>
              </w:rPr>
              <w:t>Other</w:t>
            </w:r>
          </w:p>
        </w:tc>
        <w:tc>
          <w:tcPr>
            <w:tcW w:w="20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107,610</w:t>
            </w:r>
          </w:p>
        </w:tc>
        <w:tc>
          <w:tcPr>
            <w:tcW w:w="30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95,212</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700" w:type="dxa"/>
            <w:vAlign w:val="bottom"/>
          </w:tcPr>
          <w:p>
            <w:pPr>
              <w:spacing w:after="0"/>
              <w:rPr>
                <w:sz w:val="12"/>
                <w:szCs w:val="12"/>
                <w:color w:val="auto"/>
              </w:rPr>
            </w:pPr>
          </w:p>
        </w:tc>
        <w:tc>
          <w:tcPr>
            <w:tcW w:w="2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682,486</w:t>
            </w:r>
          </w:p>
        </w:tc>
        <w:tc>
          <w:tcPr>
            <w:tcW w:w="300" w:type="dxa"/>
            <w:vAlign w:val="bottom"/>
          </w:tcPr>
          <w:p>
            <w:pPr>
              <w:spacing w:after="0"/>
              <w:rPr>
                <w:sz w:val="12"/>
                <w:szCs w:val="12"/>
                <w:color w:val="auto"/>
              </w:rPr>
            </w:pPr>
          </w:p>
        </w:tc>
        <w:tc>
          <w:tcPr>
            <w:tcW w:w="3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835,427</w:t>
            </w:r>
          </w:p>
        </w:tc>
        <w:tc>
          <w:tcPr>
            <w:tcW w:w="100" w:type="dxa"/>
            <w:vAlign w:val="bottom"/>
          </w:tcPr>
          <w:p>
            <w:pPr>
              <w:spacing w:after="0"/>
              <w:rPr>
                <w:sz w:val="12"/>
                <w:szCs w:val="12"/>
                <w:color w:val="auto"/>
              </w:rPr>
            </w:pPr>
          </w:p>
        </w:tc>
      </w:tr>
      <w:tr>
        <w:trPr>
          <w:trHeight w:val="20"/>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2"/>
        </w:trPr>
        <w:tc>
          <w:tcPr>
            <w:tcW w:w="7700" w:type="dxa"/>
            <w:vAlign w:val="bottom"/>
            <w:shd w:val="clear" w:color="auto" w:fill="CFF0FC"/>
          </w:tcPr>
          <w:p>
            <w:pPr>
              <w:ind w:left="20"/>
              <w:spacing w:after="0" w:line="133" w:lineRule="exact"/>
              <w:rPr>
                <w:sz w:val="20"/>
                <w:szCs w:val="20"/>
                <w:color w:val="auto"/>
              </w:rPr>
            </w:pPr>
            <w:r>
              <w:rPr>
                <w:rFonts w:ascii="Arial" w:cs="Arial" w:eastAsia="Arial" w:hAnsi="Arial"/>
                <w:sz w:val="12"/>
                <w:szCs w:val="12"/>
                <w:color w:val="auto"/>
              </w:rPr>
              <w:t>Accrued and other liabilities:</w:t>
            </w:r>
          </w:p>
        </w:tc>
        <w:tc>
          <w:tcPr>
            <w:tcW w:w="20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5"/>
        </w:trPr>
        <w:tc>
          <w:tcPr>
            <w:tcW w:w="7700" w:type="dxa"/>
            <w:vAlign w:val="bottom"/>
          </w:tcPr>
          <w:p>
            <w:pPr>
              <w:ind w:left="200"/>
              <w:spacing w:after="0"/>
              <w:rPr>
                <w:sz w:val="20"/>
                <w:szCs w:val="20"/>
                <w:color w:val="auto"/>
              </w:rPr>
            </w:pPr>
            <w:r>
              <w:rPr>
                <w:rFonts w:ascii="Arial" w:cs="Arial" w:eastAsia="Arial" w:hAnsi="Arial"/>
                <w:sz w:val="12"/>
                <w:szCs w:val="12"/>
                <w:color w:val="auto"/>
              </w:rPr>
              <w:t>Collections in excess of revenues and deferred revenues</w:t>
            </w:r>
          </w:p>
        </w:tc>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180,854</w:t>
            </w:r>
          </w:p>
        </w:tc>
        <w:tc>
          <w:tcPr>
            <w:tcW w:w="300" w:type="dxa"/>
            <w:vAlign w:val="bottom"/>
          </w:tcPr>
          <w:p>
            <w:pPr>
              <w:spacing w:after="0"/>
              <w:rPr>
                <w:sz w:val="12"/>
                <w:szCs w:val="12"/>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216,594</w:t>
            </w:r>
          </w:p>
        </w:tc>
        <w:tc>
          <w:tcPr>
            <w:tcW w:w="100" w:type="dxa"/>
            <w:vAlign w:val="bottom"/>
          </w:tcPr>
          <w:p>
            <w:pPr>
              <w:spacing w:after="0"/>
              <w:rPr>
                <w:sz w:val="12"/>
                <w:szCs w:val="12"/>
                <w:color w:val="auto"/>
              </w:rPr>
            </w:pPr>
          </w:p>
        </w:tc>
      </w:tr>
      <w:tr>
        <w:trPr>
          <w:trHeight w:val="152"/>
        </w:trPr>
        <w:tc>
          <w:tcPr>
            <w:tcW w:w="77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Accrued employee compensation</w:t>
            </w:r>
          </w:p>
        </w:tc>
        <w:tc>
          <w:tcPr>
            <w:tcW w:w="20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83,017</w:t>
            </w:r>
          </w:p>
        </w:tc>
        <w:tc>
          <w:tcPr>
            <w:tcW w:w="3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87,153</w:t>
            </w:r>
          </w:p>
        </w:tc>
        <w:tc>
          <w:tcPr>
            <w:tcW w:w="100" w:type="dxa"/>
            <w:vAlign w:val="bottom"/>
            <w:shd w:val="clear" w:color="auto" w:fill="CFF0FC"/>
          </w:tcPr>
          <w:p>
            <w:pPr>
              <w:spacing w:after="0"/>
              <w:rPr>
                <w:sz w:val="13"/>
                <w:szCs w:val="13"/>
                <w:color w:val="auto"/>
              </w:rPr>
            </w:pPr>
          </w:p>
        </w:tc>
      </w:tr>
      <w:tr>
        <w:trPr>
          <w:trHeight w:val="145"/>
        </w:trPr>
        <w:tc>
          <w:tcPr>
            <w:tcW w:w="7700" w:type="dxa"/>
            <w:vAlign w:val="bottom"/>
          </w:tcPr>
          <w:p>
            <w:pPr>
              <w:ind w:left="200"/>
              <w:spacing w:after="0"/>
              <w:rPr>
                <w:sz w:val="20"/>
                <w:szCs w:val="20"/>
                <w:color w:val="auto"/>
              </w:rPr>
            </w:pPr>
            <w:r>
              <w:rPr>
                <w:rFonts w:ascii="Arial" w:cs="Arial" w:eastAsia="Arial" w:hAnsi="Arial"/>
                <w:sz w:val="12"/>
                <w:szCs w:val="12"/>
                <w:color w:val="auto"/>
              </w:rPr>
              <w:t>Accrued vacation</w:t>
            </w:r>
          </w:p>
        </w:tc>
        <w:tc>
          <w:tcPr>
            <w:tcW w:w="2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49,134</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59,509</w:t>
            </w:r>
          </w:p>
        </w:tc>
        <w:tc>
          <w:tcPr>
            <w:tcW w:w="100" w:type="dxa"/>
            <w:vAlign w:val="bottom"/>
          </w:tcPr>
          <w:p>
            <w:pPr>
              <w:spacing w:after="0"/>
              <w:rPr>
                <w:sz w:val="12"/>
                <w:szCs w:val="12"/>
                <w:color w:val="auto"/>
              </w:rPr>
            </w:pPr>
          </w:p>
        </w:tc>
      </w:tr>
      <w:tr>
        <w:trPr>
          <w:trHeight w:val="152"/>
        </w:trPr>
        <w:tc>
          <w:tcPr>
            <w:tcW w:w="77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Warranty reserve, current portion</w:t>
            </w:r>
          </w:p>
        </w:tc>
        <w:tc>
          <w:tcPr>
            <w:tcW w:w="20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5,009</w:t>
            </w:r>
          </w:p>
        </w:tc>
        <w:tc>
          <w:tcPr>
            <w:tcW w:w="3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6,693</w:t>
            </w:r>
          </w:p>
        </w:tc>
        <w:tc>
          <w:tcPr>
            <w:tcW w:w="100" w:type="dxa"/>
            <w:vAlign w:val="bottom"/>
            <w:shd w:val="clear" w:color="auto" w:fill="CFF0FC"/>
          </w:tcPr>
          <w:p>
            <w:pPr>
              <w:spacing w:after="0"/>
              <w:rPr>
                <w:sz w:val="13"/>
                <w:szCs w:val="13"/>
                <w:color w:val="auto"/>
              </w:rPr>
            </w:pPr>
          </w:p>
        </w:tc>
      </w:tr>
      <w:tr>
        <w:trPr>
          <w:trHeight w:val="145"/>
        </w:trPr>
        <w:tc>
          <w:tcPr>
            <w:tcW w:w="7700" w:type="dxa"/>
            <w:vAlign w:val="bottom"/>
          </w:tcPr>
          <w:p>
            <w:pPr>
              <w:ind w:left="200"/>
              <w:spacing w:after="0"/>
              <w:rPr>
                <w:sz w:val="20"/>
                <w:szCs w:val="20"/>
                <w:color w:val="auto"/>
              </w:rPr>
            </w:pPr>
            <w:r>
              <w:rPr>
                <w:rFonts w:ascii="Arial" w:cs="Arial" w:eastAsia="Arial" w:hAnsi="Arial"/>
                <w:sz w:val="12"/>
                <w:szCs w:val="12"/>
                <w:color w:val="auto"/>
              </w:rPr>
              <w:t>Operating lease liabilities</w:t>
            </w:r>
          </w:p>
        </w:tc>
        <w:tc>
          <w:tcPr>
            <w:tcW w:w="2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50,049</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48,896</w:t>
            </w:r>
          </w:p>
        </w:tc>
        <w:tc>
          <w:tcPr>
            <w:tcW w:w="100" w:type="dxa"/>
            <w:vAlign w:val="bottom"/>
          </w:tcPr>
          <w:p>
            <w:pPr>
              <w:spacing w:after="0"/>
              <w:rPr>
                <w:sz w:val="12"/>
                <w:szCs w:val="12"/>
                <w:color w:val="auto"/>
              </w:rPr>
            </w:pPr>
          </w:p>
        </w:tc>
      </w:tr>
      <w:tr>
        <w:trPr>
          <w:trHeight w:val="149"/>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2"/>
                <w:szCs w:val="12"/>
                <w:color w:val="auto"/>
              </w:rPr>
              <w:t>Other</w:t>
            </w:r>
          </w:p>
        </w:tc>
        <w:tc>
          <w:tcPr>
            <w:tcW w:w="20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137,639</w:t>
            </w:r>
          </w:p>
        </w:tc>
        <w:tc>
          <w:tcPr>
            <w:tcW w:w="30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113,986</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700" w:type="dxa"/>
            <w:vAlign w:val="bottom"/>
          </w:tcPr>
          <w:p>
            <w:pPr>
              <w:spacing w:after="0"/>
              <w:rPr>
                <w:sz w:val="12"/>
                <w:szCs w:val="12"/>
                <w:color w:val="auto"/>
              </w:rPr>
            </w:pPr>
          </w:p>
        </w:tc>
        <w:tc>
          <w:tcPr>
            <w:tcW w:w="2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505,702</w:t>
            </w:r>
          </w:p>
        </w:tc>
        <w:tc>
          <w:tcPr>
            <w:tcW w:w="300" w:type="dxa"/>
            <w:vAlign w:val="bottom"/>
          </w:tcPr>
          <w:p>
            <w:pPr>
              <w:spacing w:after="0"/>
              <w:rPr>
                <w:sz w:val="12"/>
                <w:szCs w:val="12"/>
                <w:color w:val="auto"/>
              </w:rPr>
            </w:pPr>
          </w:p>
        </w:tc>
        <w:tc>
          <w:tcPr>
            <w:tcW w:w="3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532,831</w:t>
            </w:r>
          </w:p>
        </w:tc>
        <w:tc>
          <w:tcPr>
            <w:tcW w:w="100" w:type="dxa"/>
            <w:vAlign w:val="bottom"/>
          </w:tcPr>
          <w:p>
            <w:pPr>
              <w:spacing w:after="0"/>
              <w:rPr>
                <w:sz w:val="12"/>
                <w:szCs w:val="12"/>
                <w:color w:val="auto"/>
              </w:rPr>
            </w:pPr>
          </w:p>
        </w:tc>
      </w:tr>
      <w:tr>
        <w:trPr>
          <w:trHeight w:val="20"/>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2"/>
        </w:trPr>
        <w:tc>
          <w:tcPr>
            <w:tcW w:w="7700" w:type="dxa"/>
            <w:vAlign w:val="bottom"/>
            <w:shd w:val="clear" w:color="auto" w:fill="CFF0FC"/>
          </w:tcPr>
          <w:p>
            <w:pPr>
              <w:ind w:left="20"/>
              <w:spacing w:after="0" w:line="133" w:lineRule="exact"/>
              <w:rPr>
                <w:sz w:val="20"/>
                <w:szCs w:val="20"/>
                <w:color w:val="auto"/>
              </w:rPr>
            </w:pPr>
            <w:r>
              <w:rPr>
                <w:rFonts w:ascii="Arial" w:cs="Arial" w:eastAsia="Arial" w:hAnsi="Arial"/>
                <w:sz w:val="12"/>
                <w:szCs w:val="12"/>
                <w:color w:val="auto"/>
              </w:rPr>
              <w:t>Other liabilities:</w:t>
            </w:r>
          </w:p>
        </w:tc>
        <w:tc>
          <w:tcPr>
            <w:tcW w:w="20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5"/>
        </w:trPr>
        <w:tc>
          <w:tcPr>
            <w:tcW w:w="7700" w:type="dxa"/>
            <w:vAlign w:val="bottom"/>
          </w:tcPr>
          <w:p>
            <w:pPr>
              <w:ind w:left="200"/>
              <w:spacing w:after="0"/>
              <w:rPr>
                <w:sz w:val="20"/>
                <w:szCs w:val="20"/>
                <w:color w:val="auto"/>
              </w:rPr>
            </w:pPr>
            <w:r>
              <w:rPr>
                <w:rFonts w:ascii="Arial" w:cs="Arial" w:eastAsia="Arial" w:hAnsi="Arial"/>
                <w:sz w:val="12"/>
                <w:szCs w:val="12"/>
                <w:color w:val="auto"/>
              </w:rPr>
              <w:t>Deferred revenues, long-term portion</w:t>
            </w:r>
          </w:p>
        </w:tc>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89,083</w:t>
            </w:r>
          </w:p>
        </w:tc>
        <w:tc>
          <w:tcPr>
            <w:tcW w:w="300" w:type="dxa"/>
            <w:vAlign w:val="bottom"/>
          </w:tcPr>
          <w:p>
            <w:pPr>
              <w:spacing w:after="0"/>
              <w:rPr>
                <w:sz w:val="12"/>
                <w:szCs w:val="12"/>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84,654</w:t>
            </w:r>
          </w:p>
        </w:tc>
        <w:tc>
          <w:tcPr>
            <w:tcW w:w="100" w:type="dxa"/>
            <w:vAlign w:val="bottom"/>
          </w:tcPr>
          <w:p>
            <w:pPr>
              <w:spacing w:after="0"/>
              <w:rPr>
                <w:sz w:val="12"/>
                <w:szCs w:val="12"/>
                <w:color w:val="auto"/>
              </w:rPr>
            </w:pPr>
          </w:p>
        </w:tc>
      </w:tr>
      <w:tr>
        <w:trPr>
          <w:trHeight w:val="152"/>
        </w:trPr>
        <w:tc>
          <w:tcPr>
            <w:tcW w:w="77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Warranty reserve, long-term portion</w:t>
            </w:r>
          </w:p>
        </w:tc>
        <w:tc>
          <w:tcPr>
            <w:tcW w:w="20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5,699</w:t>
            </w:r>
          </w:p>
        </w:tc>
        <w:tc>
          <w:tcPr>
            <w:tcW w:w="3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5,193</w:t>
            </w:r>
          </w:p>
        </w:tc>
        <w:tc>
          <w:tcPr>
            <w:tcW w:w="100" w:type="dxa"/>
            <w:vAlign w:val="bottom"/>
            <w:shd w:val="clear" w:color="auto" w:fill="CFF0FC"/>
          </w:tcPr>
          <w:p>
            <w:pPr>
              <w:spacing w:after="0"/>
              <w:rPr>
                <w:sz w:val="13"/>
                <w:szCs w:val="13"/>
                <w:color w:val="auto"/>
              </w:rPr>
            </w:pPr>
          </w:p>
        </w:tc>
      </w:tr>
      <w:tr>
        <w:trPr>
          <w:trHeight w:val="145"/>
        </w:trPr>
        <w:tc>
          <w:tcPr>
            <w:tcW w:w="7700" w:type="dxa"/>
            <w:vAlign w:val="bottom"/>
          </w:tcPr>
          <w:p>
            <w:pPr>
              <w:ind w:left="200"/>
              <w:spacing w:after="0"/>
              <w:rPr>
                <w:sz w:val="20"/>
                <w:szCs w:val="20"/>
                <w:color w:val="auto"/>
              </w:rPr>
            </w:pPr>
            <w:r>
              <w:rPr>
                <w:rFonts w:ascii="Arial" w:cs="Arial" w:eastAsia="Arial" w:hAnsi="Arial"/>
                <w:sz w:val="12"/>
                <w:szCs w:val="12"/>
                <w:color w:val="auto"/>
              </w:rPr>
              <w:t>Satellite performance incentive obligations, long-term portion</w:t>
            </w:r>
          </w:p>
        </w:tc>
        <w:tc>
          <w:tcPr>
            <w:tcW w:w="2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19,568</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22,191</w:t>
            </w:r>
          </w:p>
        </w:tc>
        <w:tc>
          <w:tcPr>
            <w:tcW w:w="100" w:type="dxa"/>
            <w:vAlign w:val="bottom"/>
          </w:tcPr>
          <w:p>
            <w:pPr>
              <w:spacing w:after="0"/>
              <w:rPr>
                <w:sz w:val="12"/>
                <w:szCs w:val="12"/>
                <w:color w:val="auto"/>
              </w:rPr>
            </w:pPr>
          </w:p>
        </w:tc>
      </w:tr>
      <w:tr>
        <w:trPr>
          <w:trHeight w:val="152"/>
        </w:trPr>
        <w:tc>
          <w:tcPr>
            <w:tcW w:w="77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Deferred income taxes</w:t>
            </w:r>
          </w:p>
        </w:tc>
        <w:tc>
          <w:tcPr>
            <w:tcW w:w="20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15,160</w:t>
            </w:r>
          </w:p>
        </w:tc>
        <w:tc>
          <w:tcPr>
            <w:tcW w:w="3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5"/>
        </w:trPr>
        <w:tc>
          <w:tcPr>
            <w:tcW w:w="7700" w:type="dxa"/>
            <w:vAlign w:val="bottom"/>
          </w:tcPr>
          <w:p>
            <w:pPr>
              <w:ind w:left="200"/>
              <w:spacing w:after="0"/>
              <w:rPr>
                <w:sz w:val="20"/>
                <w:szCs w:val="20"/>
                <w:color w:val="auto"/>
              </w:rPr>
            </w:pPr>
            <w:r>
              <w:rPr>
                <w:rFonts w:ascii="Arial" w:cs="Arial" w:eastAsia="Arial" w:hAnsi="Arial"/>
                <w:sz w:val="12"/>
                <w:szCs w:val="12"/>
                <w:color w:val="auto"/>
              </w:rPr>
              <w:t>Other</w:t>
            </w: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27,594</w:t>
            </w:r>
          </w:p>
        </w:tc>
        <w:tc>
          <w:tcPr>
            <w:tcW w:w="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25,312</w:t>
            </w:r>
          </w:p>
        </w:tc>
        <w:tc>
          <w:tcPr>
            <w:tcW w:w="100" w:type="dxa"/>
            <w:vAlign w:val="bottom"/>
          </w:tcPr>
          <w:p>
            <w:pPr>
              <w:spacing w:after="0"/>
              <w:rPr>
                <w:sz w:val="12"/>
                <w:szCs w:val="12"/>
                <w:color w:val="auto"/>
              </w:rPr>
            </w:pPr>
          </w:p>
        </w:tc>
      </w:tr>
      <w:tr>
        <w:trPr>
          <w:trHeight w:val="182"/>
        </w:trPr>
        <w:tc>
          <w:tcPr>
            <w:tcW w:w="77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157,104</w:t>
            </w:r>
          </w:p>
        </w:tc>
        <w:tc>
          <w:tcPr>
            <w:tcW w:w="3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62"/>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137,350</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-5374005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-5356860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-5374005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-5356860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-4968240</wp:posOffset>
            </wp:positionV>
            <wp:extent cx="6858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-4968240</wp:posOffset>
            </wp:positionV>
            <wp:extent cx="6858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-4556760</wp:posOffset>
            </wp:positionV>
            <wp:extent cx="6858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-4556760</wp:posOffset>
            </wp:positionV>
            <wp:extent cx="6858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-3390900</wp:posOffset>
            </wp:positionV>
            <wp:extent cx="6858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-3390900</wp:posOffset>
            </wp:positionV>
            <wp:extent cx="6858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-3194050</wp:posOffset>
            </wp:positionV>
            <wp:extent cx="6858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-3194050</wp:posOffset>
            </wp:positionV>
            <wp:extent cx="6858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-2202180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-2185035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-2202180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-2185035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-1607820</wp:posOffset>
            </wp:positionV>
            <wp:extent cx="6858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-1607820</wp:posOffset>
            </wp:positionV>
            <wp:extent cx="6858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-819150</wp:posOffset>
            </wp:positionV>
            <wp:extent cx="6858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-819150</wp:posOffset>
            </wp:positionV>
            <wp:extent cx="6858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9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determines fair value based on the exchange price that would be received for an asset or paid to transfer a liability in an orderly transaction between market participants, and prioritizes the inputs used to measure fair value from market-based assumptions to entity specific assumptions:</w:t>
      </w:r>
    </w:p>
    <w:p>
      <w:pPr>
        <w:spacing w:after="0" w:line="97" w:lineRule="exact"/>
        <w:rPr>
          <w:sz w:val="20"/>
          <w:szCs w:val="20"/>
          <w:color w:val="auto"/>
        </w:rPr>
      </w:pPr>
    </w:p>
    <w:p>
      <w:pPr>
        <w:ind w:left="920" w:hanging="403"/>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103" w:lineRule="exact"/>
        <w:rPr>
          <w:rFonts w:ascii="Arial" w:cs="Arial" w:eastAsia="Arial" w:hAnsi="Arial"/>
          <w:sz w:val="18"/>
          <w:szCs w:val="18"/>
          <w:color w:val="auto"/>
        </w:rPr>
      </w:pPr>
    </w:p>
    <w:p>
      <w:pPr>
        <w:ind w:left="1120" w:right="160" w:hanging="603"/>
        <w:spacing w:after="0"/>
        <w:tabs>
          <w:tab w:leader="none" w:pos="921"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94" w:lineRule="exact"/>
        <w:rPr>
          <w:rFonts w:ascii="Arial" w:cs="Arial" w:eastAsia="Arial" w:hAnsi="Arial"/>
          <w:sz w:val="18"/>
          <w:szCs w:val="18"/>
          <w:color w:val="auto"/>
        </w:rPr>
      </w:pPr>
    </w:p>
    <w:p>
      <w:pPr>
        <w:ind w:left="1120" w:right="160" w:hanging="603"/>
        <w:spacing w:after="0" w:line="246" w:lineRule="auto"/>
        <w:tabs>
          <w:tab w:leader="none" w:pos="921"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43" w:lineRule="exact"/>
        <w:rPr>
          <w:sz w:val="20"/>
          <w:szCs w:val="20"/>
          <w:color w:val="auto"/>
        </w:rPr>
      </w:pPr>
    </w:p>
    <w:p>
      <w:pPr>
        <w:ind w:right="320" w:firstLine="509"/>
        <w:spacing w:after="0" w:line="246" w:lineRule="auto"/>
        <w:rPr>
          <w:sz w:val="20"/>
          <w:szCs w:val="20"/>
          <w:color w:val="auto"/>
        </w:rPr>
      </w:pPr>
      <w:r>
        <w:rPr>
          <w:rFonts w:ascii="Arial" w:cs="Arial" w:eastAsia="Arial" w:hAnsi="Arial"/>
          <w:sz w:val="18"/>
          <w:szCs w:val="18"/>
          <w:color w:val="auto"/>
        </w:rPr>
        <w:t>The Company had $5.0 million in cash equivalents (Level 1) and no liabilities measured at fair value on a recurring basis as of both December 31, 2021 and March 31, 2021.</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40" w:lineRule="exact"/>
        <w:rPr>
          <w:sz w:val="20"/>
          <w:szCs w:val="20"/>
          <w:color w:val="auto"/>
        </w:rPr>
      </w:pPr>
    </w:p>
    <w:p>
      <w:pPr>
        <w:ind w:right="220" w:firstLine="509"/>
        <w:spacing w:after="0" w:line="26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assets in an active market with sufficient volume and frequency of transactions (Level 1).</w:t>
      </w:r>
    </w:p>
    <w:p>
      <w:pPr>
        <w:spacing w:after="0" w:line="106"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 In connection with the acquisition of the remaining 51% interest in EBI on April 30, 2021 (see Note 12 — Acquisitions</w:t>
      </w:r>
      <w:r>
        <w:rPr>
          <w:rFonts w:ascii="Arial" w:cs="Arial" w:eastAsia="Arial" w:hAnsi="Arial"/>
          <w:sz w:val="18"/>
          <w:szCs w:val="18"/>
          <w:i w:val="1"/>
          <w:iCs w:val="1"/>
          <w:color w:val="auto"/>
        </w:rPr>
        <w:t xml:space="preserve"> </w:t>
      </w:r>
      <w:r>
        <w:rPr>
          <w:rFonts w:ascii="Arial" w:cs="Arial" w:eastAsia="Arial" w:hAnsi="Arial"/>
          <w:sz w:val="18"/>
          <w:szCs w:val="18"/>
          <w:color w:val="auto"/>
        </w:rPr>
        <w:t>for more information), part of the purchase price consideration will not be determined until two years after the closing date, when the Company may pay or receive up to €20.0 million, or approximately $22.6 million, in cash. The consideration to be paid in the future is contingent based on certain outcomes as defined in the acquisition agreement. Each reporting period, the Company estimates the fair value of the contingent consideration based on unobservable inputs and probability weightings using standard valuation techniques (Level 3). The fair value amount is currently recorded in other assets on the condensed consolidated balance sheets and any change to fair value is recorded in the Company’s condensed consolidated statements of operations each reporting period. As of and for the three-month and nine-month periods ended December 31, 2021, the Company’s fair value estimate, and change in fair value of the contingent consideration since the acquisition date, were immaterial.</w:t>
      </w:r>
    </w:p>
    <w:p>
      <w:pPr>
        <w:spacing w:after="0" w:line="137"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The Company’s long-term debt consists of borrowings under its Revolving Credit Facility and Ex-Im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the Credit Facilities), $700.0 million in aggregate principal amount of 2025 Notes, $600.0 million in aggregate principal amount of 2027 Notes, $400.0 million in aggregate principal amount of 2028 Notes and finance lease obligations reported at the present value of future minimum lease payments with current accrued interest. Long-term debt related to the Revolving Credit Facility is reported at the outstanding principal amount of borrowings, while long-term debt related to the Ex-Im Credit Facility, the 2025 Notes, the 2027 Notes and the 2028 Notes is reported at amortized cost. However, for disclosure purposes, the Company is required to measure the fair value of outstanding debt on a recurring basis. The fair value of the Company’s long-term debt related to the Revolving Credit Facility approximates its carrying amount due to its variable interest rate, which approximates a market interest rate. As of December 31, 2021 and March 31, 2021, the fair value of the Company’s long-term debt related to the Ex-Im Credit Facility was determined based on a discounted cash flow analysis using observable market interest rates for instruments with similar terms (Level 2) and was approximately $78.9 million and $100.1 million, respectively. As of December 31, 2021 and March 31, 2021, the estimated fair value of the Company’s outstanding long-term debt related to each series of Notes was determined based on actual or estimated bids and offers for such series of Notes in an over-the-counter market (Level 2) and was $703.5 million and $709.6 million, respectively, for the 2025 Notes, $616.2 million and $629.2 million, respectively, for the 2027 Notes, and $402.5 million and $420.5 million, respectively, for the 2028 Notes.</w:t>
      </w:r>
    </w:p>
    <w:p>
      <w:pPr>
        <w:spacing w:after="0" w:line="135" w:lineRule="exact"/>
        <w:rPr>
          <w:sz w:val="20"/>
          <w:szCs w:val="20"/>
          <w:color w:val="auto"/>
        </w:rPr>
      </w:pPr>
    </w:p>
    <w:p>
      <w:pPr>
        <w:ind w:right="100" w:firstLine="509"/>
        <w:spacing w:after="0" w:line="245" w:lineRule="auto"/>
        <w:rPr>
          <w:sz w:val="20"/>
          <w:szCs w:val="20"/>
          <w:color w:val="auto"/>
        </w:rPr>
      </w:pPr>
      <w:r>
        <w:rPr>
          <w:rFonts w:ascii="Arial" w:cs="Arial" w:eastAsia="Arial" w:hAnsi="Arial"/>
          <w:sz w:val="18"/>
          <w:szCs w:val="18"/>
          <w:i w:val="1"/>
          <w:iCs w:val="1"/>
          <w:color w:val="auto"/>
        </w:rPr>
        <w:t xml:space="preserve">Satellite performance incentive obligations </w:t>
      </w:r>
      <w:r>
        <w:rPr>
          <w:rFonts w:ascii="Arial" w:cs="Arial" w:eastAsia="Arial" w:hAnsi="Arial"/>
          <w:sz w:val="18"/>
          <w:szCs w:val="18"/>
          <w:color w:val="auto"/>
        </w:rPr>
        <w:t>— The Company’s contracts with the manufacturers of the ViaSat-1 and ViaSat-2 satellites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the Company to make monthly in-orbit satellite performance incentive payments, including interest, through fiscal year 2027 and fiscal year 2028, respectively, subject to the continued satisfactory performance of the applicable satellites. The Company records the net present value of these expected future payments as a liability and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33"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as a component of the cost of the satellites. However, for disclosure purposes, the Company is required to measure the fair value of outstanding satellite performance incentive obligations on a recurring basis. The fair value of the Company’s outstanding satellite performance incentive obligations is estimated to approximate their carrying value based on current rates (Level 2). As of December 31, 2021 and March 31, 2021, the Company’s estimated satellite performance incentive obligations relating to the ViaSat-1 and ViaSat-2 satellites, including accrued interest, were $24.8 million and $27.1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Shares Used In Computing Diluted Net Income (Loss) Per Share</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Weighted average:</w:t>
      </w:r>
    </w:p>
    <w:p>
      <w:pPr>
        <w:spacing w:after="0" w:line="18" w:lineRule="exact"/>
        <w:rPr>
          <w:sz w:val="20"/>
          <w:szCs w:val="20"/>
          <w:color w:val="auto"/>
        </w:rPr>
      </w:pPr>
    </w:p>
    <w:p>
      <w:pPr>
        <w:jc w:val="both"/>
        <w:ind w:left="740" w:right="60" w:hanging="149"/>
        <w:spacing w:after="0" w:line="211" w:lineRule="auto"/>
        <w:rPr>
          <w:sz w:val="20"/>
          <w:szCs w:val="20"/>
          <w:color w:val="auto"/>
        </w:rPr>
      </w:pPr>
      <w:r>
        <w:rPr>
          <w:rFonts w:ascii="Arial" w:cs="Arial" w:eastAsia="Arial" w:hAnsi="Arial"/>
          <w:sz w:val="18"/>
          <w:szCs w:val="18"/>
          <w:color w:val="auto"/>
        </w:rPr>
        <w:t>Common shares outstanding used in calculating basic net (loss) income per share attributable to Viasat, Inc. common stockholders</w:t>
      </w:r>
    </w:p>
    <w:p>
      <w:pPr>
        <w:spacing w:after="0" w:line="1" w:lineRule="exact"/>
        <w:rPr>
          <w:sz w:val="20"/>
          <w:szCs w:val="20"/>
          <w:color w:val="auto"/>
        </w:rPr>
      </w:pPr>
    </w:p>
    <w:p>
      <w:pPr>
        <w:ind w:left="740" w:hanging="149"/>
        <w:spacing w:after="0" w:line="213" w:lineRule="auto"/>
        <w:rPr>
          <w:sz w:val="20"/>
          <w:szCs w:val="20"/>
          <w:color w:val="auto"/>
        </w:rPr>
      </w:pPr>
      <w:r>
        <w:rPr>
          <w:rFonts w:ascii="Arial" w:cs="Arial" w:eastAsia="Arial" w:hAnsi="Arial"/>
          <w:sz w:val="18"/>
          <w:szCs w:val="18"/>
          <w:color w:val="auto"/>
        </w:rPr>
        <w:t>Options to purchase common stock as determined by application of the treasury stock method</w:t>
      </w:r>
    </w:p>
    <w:p>
      <w:pPr>
        <w:spacing w:after="0" w:line="2" w:lineRule="exact"/>
        <w:rPr>
          <w:sz w:val="20"/>
          <w:szCs w:val="20"/>
          <w:color w:val="auto"/>
        </w:rPr>
      </w:pPr>
    </w:p>
    <w:p>
      <w:pPr>
        <w:ind w:left="740" w:right="340" w:hanging="149"/>
        <w:spacing w:after="0" w:line="211" w:lineRule="auto"/>
        <w:rPr>
          <w:sz w:val="20"/>
          <w:szCs w:val="20"/>
          <w:color w:val="auto"/>
        </w:rPr>
      </w:pPr>
      <w:r>
        <w:rPr>
          <w:rFonts w:ascii="Arial" w:cs="Arial" w:eastAsia="Arial" w:hAnsi="Arial"/>
          <w:sz w:val="18"/>
          <w:szCs w:val="18"/>
          <w:color w:val="auto"/>
        </w:rPr>
        <w:t>TSR performance stock options to purchase common stock as determined by application of the treasury stock method</w:t>
      </w:r>
    </w:p>
    <w:p>
      <w:pPr>
        <w:spacing w:after="0" w:line="1" w:lineRule="exact"/>
        <w:rPr>
          <w:sz w:val="20"/>
          <w:szCs w:val="20"/>
          <w:color w:val="auto"/>
        </w:rPr>
      </w:pPr>
    </w:p>
    <w:p>
      <w:pPr>
        <w:ind w:left="740" w:right="320" w:hanging="149"/>
        <w:spacing w:after="0" w:line="211" w:lineRule="auto"/>
        <w:rPr>
          <w:sz w:val="20"/>
          <w:szCs w:val="20"/>
          <w:color w:val="auto"/>
        </w:rPr>
      </w:pPr>
      <w:r>
        <w:rPr>
          <w:rFonts w:ascii="Arial" w:cs="Arial" w:eastAsia="Arial" w:hAnsi="Arial"/>
          <w:sz w:val="18"/>
          <w:szCs w:val="18"/>
          <w:color w:val="auto"/>
        </w:rPr>
        <w:t>Restricted stock units to acquire common stock as determined by application of the treasury stock method</w:t>
      </w:r>
    </w:p>
    <w:p>
      <w:pPr>
        <w:spacing w:after="0" w:line="1" w:lineRule="exact"/>
        <w:rPr>
          <w:sz w:val="20"/>
          <w:szCs w:val="20"/>
          <w:color w:val="auto"/>
        </w:rPr>
      </w:pPr>
    </w:p>
    <w:p>
      <w:pPr>
        <w:ind w:left="740" w:right="180" w:hanging="149"/>
        <w:spacing w:after="0" w:line="209" w:lineRule="auto"/>
        <w:rPr>
          <w:sz w:val="20"/>
          <w:szCs w:val="20"/>
          <w:color w:val="auto"/>
        </w:rPr>
      </w:pPr>
      <w:r>
        <w:rPr>
          <w:rFonts w:ascii="Arial" w:cs="Arial" w:eastAsia="Arial" w:hAnsi="Arial"/>
          <w:sz w:val="18"/>
          <w:szCs w:val="18"/>
          <w:color w:val="auto"/>
        </w:rPr>
        <w:t>Potentially issuable shares in connection with certain terms of the Viasat 401(k) Profit Sharing Plan and Employee Stock Purchase Plan</w:t>
      </w:r>
    </w:p>
    <w:p>
      <w:pPr>
        <w:spacing w:after="0" w:line="3" w:lineRule="exact"/>
        <w:rPr>
          <w:sz w:val="20"/>
          <w:szCs w:val="20"/>
          <w:color w:val="auto"/>
        </w:rPr>
      </w:pPr>
    </w:p>
    <w:p>
      <w:pPr>
        <w:jc w:val="both"/>
        <w:ind w:left="740" w:right="20" w:hanging="149"/>
        <w:spacing w:after="0" w:line="232" w:lineRule="auto"/>
        <w:rPr>
          <w:sz w:val="20"/>
          <w:szCs w:val="20"/>
          <w:color w:val="auto"/>
        </w:rPr>
      </w:pPr>
      <w:r>
        <w:rPr>
          <w:rFonts w:ascii="Arial" w:cs="Arial" w:eastAsia="Arial" w:hAnsi="Arial"/>
          <w:sz w:val="17"/>
          <w:szCs w:val="17"/>
          <w:color w:val="auto"/>
        </w:rPr>
        <w:t>Shares used in computing diluted net (loss) income per share attributable to Viasat, Inc. common stockholders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3200" w:type="dxa"/>
            <w:vAlign w:val="bottom"/>
            <w:tcBorders>
              <w:bottom w:val="single" w:sz="8" w:color="auto"/>
            </w:tcBorders>
            <w:gridSpan w:val="3"/>
          </w:tcPr>
          <w:p>
            <w:pPr>
              <w:ind w:left="980"/>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14"/>
                <w:szCs w:val="14"/>
                <w:color w:val="auto"/>
              </w:rPr>
            </w:pPr>
          </w:p>
        </w:tc>
        <w:tc>
          <w:tcPr>
            <w:tcW w:w="3160" w:type="dxa"/>
            <w:vAlign w:val="bottom"/>
            <w:tcBorders>
              <w:bottom w:val="single" w:sz="8" w:color="auto"/>
            </w:tcBorders>
            <w:gridSpan w:val="3"/>
          </w:tcPr>
          <w:p>
            <w:pPr>
              <w:ind w:left="1000"/>
              <w:spacing w:after="0"/>
              <w:rPr>
                <w:sz w:val="20"/>
                <w:szCs w:val="20"/>
                <w:color w:val="auto"/>
              </w:rPr>
            </w:pPr>
            <w:r>
              <w:rPr>
                <w:rFonts w:ascii="Arial" w:cs="Arial" w:eastAsia="Arial" w:hAnsi="Arial"/>
                <w:sz w:val="13"/>
                <w:szCs w:val="13"/>
                <w:b w:val="1"/>
                <w:bCs w:val="1"/>
                <w:color w:val="auto"/>
              </w:rPr>
              <w:t>Nine Months Ended</w:t>
            </w:r>
          </w:p>
        </w:tc>
      </w:tr>
      <w:tr>
        <w:trPr>
          <w:trHeight w:val="144"/>
        </w:trPr>
        <w:tc>
          <w:tcPr>
            <w:tcW w:w="1580" w:type="dxa"/>
            <w:vAlign w:val="bottom"/>
            <w:tcBorders>
              <w:bottom w:val="single" w:sz="8" w:color="auto"/>
            </w:tcBorders>
          </w:tcPr>
          <w:p>
            <w:pPr>
              <w:ind w:left="220"/>
              <w:spacing w:after="0" w:line="144" w:lineRule="exact"/>
              <w:rPr>
                <w:sz w:val="20"/>
                <w:szCs w:val="20"/>
                <w:color w:val="auto"/>
              </w:rPr>
            </w:pPr>
            <w:r>
              <w:rPr>
                <w:rFonts w:ascii="Arial" w:cs="Arial" w:eastAsia="Arial" w:hAnsi="Arial"/>
                <w:sz w:val="13"/>
                <w:szCs w:val="13"/>
                <w:b w:val="1"/>
                <w:bCs w:val="1"/>
                <w:color w:val="auto"/>
              </w:rPr>
              <w:t>December 31, 2021</w:t>
            </w:r>
          </w:p>
        </w:tc>
        <w:tc>
          <w:tcPr>
            <w:tcW w:w="80" w:type="dxa"/>
            <w:vAlign w:val="bottom"/>
          </w:tcPr>
          <w:p>
            <w:pPr>
              <w:spacing w:after="0"/>
              <w:rPr>
                <w:sz w:val="12"/>
                <w:szCs w:val="12"/>
                <w:color w:val="auto"/>
              </w:rPr>
            </w:pPr>
          </w:p>
        </w:tc>
        <w:tc>
          <w:tcPr>
            <w:tcW w:w="1540" w:type="dxa"/>
            <w:vAlign w:val="bottom"/>
            <w:tcBorders>
              <w:bottom w:val="single" w:sz="8" w:color="auto"/>
            </w:tcBorders>
          </w:tcPr>
          <w:p>
            <w:pPr>
              <w:ind w:left="200"/>
              <w:spacing w:after="0" w:line="144" w:lineRule="exact"/>
              <w:rPr>
                <w:sz w:val="20"/>
                <w:szCs w:val="20"/>
                <w:color w:val="auto"/>
              </w:rPr>
            </w:pPr>
            <w:r>
              <w:rPr>
                <w:rFonts w:ascii="Arial" w:cs="Arial" w:eastAsia="Arial" w:hAnsi="Arial"/>
                <w:sz w:val="13"/>
                <w:szCs w:val="13"/>
                <w:b w:val="1"/>
                <w:bCs w:val="1"/>
                <w:color w:val="auto"/>
              </w:rPr>
              <w:t>December 31, 2020</w:t>
            </w:r>
          </w:p>
        </w:tc>
        <w:tc>
          <w:tcPr>
            <w:tcW w:w="80" w:type="dxa"/>
            <w:vAlign w:val="bottom"/>
          </w:tcPr>
          <w:p>
            <w:pPr>
              <w:spacing w:after="0"/>
              <w:rPr>
                <w:sz w:val="12"/>
                <w:szCs w:val="12"/>
                <w:color w:val="auto"/>
              </w:rPr>
            </w:pPr>
          </w:p>
        </w:tc>
        <w:tc>
          <w:tcPr>
            <w:tcW w:w="1540" w:type="dxa"/>
            <w:vAlign w:val="bottom"/>
            <w:tcBorders>
              <w:bottom w:val="single" w:sz="8" w:color="auto"/>
            </w:tcBorders>
          </w:tcPr>
          <w:p>
            <w:pPr>
              <w:ind w:left="200"/>
              <w:spacing w:after="0" w:line="144" w:lineRule="exact"/>
              <w:rPr>
                <w:sz w:val="20"/>
                <w:szCs w:val="20"/>
                <w:color w:val="auto"/>
              </w:rPr>
            </w:pPr>
            <w:r>
              <w:rPr>
                <w:rFonts w:ascii="Arial" w:cs="Arial" w:eastAsia="Arial" w:hAnsi="Arial"/>
                <w:sz w:val="13"/>
                <w:szCs w:val="13"/>
                <w:b w:val="1"/>
                <w:bCs w:val="1"/>
                <w:color w:val="auto"/>
              </w:rPr>
              <w:t>December 31, 2021</w:t>
            </w:r>
          </w:p>
        </w:tc>
        <w:tc>
          <w:tcPr>
            <w:tcW w:w="80" w:type="dxa"/>
            <w:vAlign w:val="bottom"/>
          </w:tcPr>
          <w:p>
            <w:pPr>
              <w:spacing w:after="0"/>
              <w:rPr>
                <w:sz w:val="12"/>
                <w:szCs w:val="12"/>
                <w:color w:val="auto"/>
              </w:rPr>
            </w:pPr>
          </w:p>
        </w:tc>
        <w:tc>
          <w:tcPr>
            <w:tcW w:w="1540" w:type="dxa"/>
            <w:vAlign w:val="bottom"/>
            <w:tcBorders>
              <w:bottom w:val="single" w:sz="8" w:color="auto"/>
            </w:tcBorders>
          </w:tcPr>
          <w:p>
            <w:pPr>
              <w:ind w:left="200"/>
              <w:spacing w:after="0" w:line="144" w:lineRule="exact"/>
              <w:rPr>
                <w:sz w:val="20"/>
                <w:szCs w:val="20"/>
                <w:color w:val="auto"/>
              </w:rPr>
            </w:pPr>
            <w:r>
              <w:rPr>
                <w:rFonts w:ascii="Arial" w:cs="Arial" w:eastAsia="Arial" w:hAnsi="Arial"/>
                <w:sz w:val="13"/>
                <w:szCs w:val="13"/>
                <w:b w:val="1"/>
                <w:bCs w:val="1"/>
                <w:color w:val="auto"/>
              </w:rPr>
              <w:t>December 31, 2020</w:t>
            </w:r>
          </w:p>
        </w:tc>
      </w:tr>
      <w:tr>
        <w:trPr>
          <w:trHeight w:val="161"/>
        </w:trPr>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gridSpan w:val="3"/>
          </w:tcPr>
          <w:p>
            <w:pPr>
              <w:ind w:left="1140"/>
              <w:spacing w:after="0"/>
              <w:rPr>
                <w:sz w:val="20"/>
                <w:szCs w:val="20"/>
                <w:color w:val="auto"/>
              </w:rPr>
            </w:pPr>
            <w:r>
              <w:rPr>
                <w:rFonts w:ascii="Arial" w:cs="Arial" w:eastAsia="Arial" w:hAnsi="Arial"/>
                <w:sz w:val="13"/>
                <w:szCs w:val="13"/>
                <w:b w:val="1"/>
                <w:bCs w:val="1"/>
                <w:color w:val="auto"/>
              </w:rPr>
              <w:t>(In thousands)</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-2275840</wp:posOffset>
            </wp:positionH>
            <wp:positionV relativeFrom="paragraph">
              <wp:posOffset>-11430</wp:posOffset>
            </wp:positionV>
            <wp:extent cx="6412230" cy="128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580" w:type="dxa"/>
            <w:vAlign w:val="bottom"/>
          </w:tcPr>
          <w:p>
            <w:pPr>
              <w:jc w:val="right"/>
              <w:spacing w:after="0"/>
              <w:rPr>
                <w:sz w:val="20"/>
                <w:szCs w:val="20"/>
                <w:color w:val="auto"/>
              </w:rPr>
            </w:pPr>
            <w:r>
              <w:rPr>
                <w:rFonts w:ascii="Arial" w:cs="Arial" w:eastAsia="Arial" w:hAnsi="Arial"/>
                <w:sz w:val="18"/>
                <w:szCs w:val="18"/>
                <w:color w:val="auto"/>
              </w:rPr>
              <w:t>73,917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67,995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73,004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65,704</w:t>
            </w:r>
          </w:p>
        </w:tc>
      </w:tr>
      <w:tr>
        <w:trPr>
          <w:trHeight w:val="553"/>
        </w:trPr>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729"/>
        </w:trPr>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729"/>
        </w:trPr>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869</w:t>
            </w:r>
          </w:p>
        </w:tc>
        <w:tc>
          <w:tcPr>
            <w:tcW w:w="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877"/>
        </w:trPr>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80" w:type="dxa"/>
            <w:vAlign w:val="bottom"/>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506"/>
        </w:trPr>
        <w:tc>
          <w:tcPr>
            <w:tcW w:w="1580" w:type="dxa"/>
            <w:vAlign w:val="bottom"/>
          </w:tcPr>
          <w:p>
            <w:pPr>
              <w:jc w:val="right"/>
              <w:spacing w:after="0"/>
              <w:rPr>
                <w:sz w:val="20"/>
                <w:szCs w:val="20"/>
                <w:color w:val="auto"/>
              </w:rPr>
            </w:pPr>
            <w:r>
              <w:rPr>
                <w:rFonts w:ascii="Arial" w:cs="Arial" w:eastAsia="Arial" w:hAnsi="Arial"/>
                <w:sz w:val="18"/>
                <w:szCs w:val="18"/>
                <w:color w:val="auto"/>
              </w:rPr>
              <w:t>73,917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68,668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74,348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65,704</w:t>
            </w:r>
          </w:p>
        </w:tc>
      </w:tr>
      <w:tr>
        <w:trPr>
          <w:trHeight w:val="20"/>
        </w:trPr>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-2275840</wp:posOffset>
            </wp:positionH>
            <wp:positionV relativeFrom="paragraph">
              <wp:posOffset>-2202180</wp:posOffset>
            </wp:positionV>
            <wp:extent cx="6412230" cy="3511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412230" cy="351155"/>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-1388110</wp:posOffset>
            </wp:positionV>
            <wp:extent cx="6412230" cy="4629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412230" cy="462915"/>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-350520</wp:posOffset>
            </wp:positionV>
            <wp:extent cx="6412230" cy="3511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412230" cy="351155"/>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3640" w:space="520"/>
            <w:col w:w="7060"/>
          </w:cols>
          <w:pgMar w:left="320" w:top="118" w:right="359" w:bottom="1440" w:gutter="0" w:footer="0" w:header="0"/>
          <w:type w:val="continuous"/>
        </w:sectPr>
      </w:pPr>
    </w:p>
    <w:p>
      <w:pPr>
        <w:ind w:right="360" w:firstLine="509"/>
        <w:spacing w:after="0" w:line="238" w:lineRule="auto"/>
        <w:rPr>
          <w:sz w:val="20"/>
          <w:szCs w:val="20"/>
          <w:color w:val="auto"/>
        </w:rPr>
      </w:pPr>
      <w:r>
        <w:rPr>
          <w:rFonts w:ascii="Arial" w:cs="Arial" w:eastAsia="Arial" w:hAnsi="Arial"/>
          <w:sz w:val="18"/>
          <w:szCs w:val="18"/>
          <w:color w:val="auto"/>
        </w:rPr>
        <w:t>Antidilutive shares excluded from the calculation for the three months ended December 31, 2020 consisted of 1,082,081 shares related to stock options (other than TSR performance stock options), no shares related to TSR performance stock options and 2,928,601 shares related to restricted stock units. Antidilutive shares excluded from the calculation for the nine months ended December 31, 2021 consisted of 918,054 shares related to stock options (other than TSR performance stock options), no shares related to TSR performance stock options and 1,084,275 shares related to restricted stock units.</w:t>
      </w:r>
    </w:p>
    <w:p>
      <w:pPr>
        <w:spacing w:after="0" w:line="162"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The weighted average number of shares used to calculate basic and diluted net loss per share attributable to Viasat, Inc. common stockholders is the same for the three months ended December 31, 2021 and for the nine months ended December 31, 2020, as the Company incurred a net loss attributable to Viasat, Inc. common stockholders for such periods and inclusion of potentially dilutive weighted average shares of common stock would be antidilutive. Potentially dilutive weighted average shares excluded from the calculation for the three months ended December 31, 2021 consisted of 820,948 shares related to stock options (other than TSR performance stock options), 83,961 shares related to TSR performance stock options, 1,842,847 shares related to restricted stock units and 463,354 shares related to certain terms of the Viasat 401(k) Profit Sharing Plan and Employee Stock Purchase Plan. Potentially dilutive weighted average shares excluded from the calculation for the nine months ended December 31, 2020 consisted of 1,176,106 shares related to stock options (other than TSR performance stock options), no shares related to TSR performance stock options, 2,514,857 shares related to restricted stock units and 496,869 shares related to certain terms of the Viasat 401(k) Profit Sharing Plan and Employee Stock Purchase Plan.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Acquired Intangible Assets</w:t>
      </w:r>
    </w:p>
    <w:p>
      <w:pPr>
        <w:spacing w:after="0" w:line="85"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During the nine months ended December 31, 2021, the increase in the Company’s goodwill primarily related to the acquisitions of the remaining 51% interest in EBI and of RigNet on April 30, 2021 (see Note 12 – Acquisitions for more information) and a foreign currency translation effect recorded within all three of the Company’s segments. During the nine months ended December 31, 2020, the increase in the Company’s goodwill related to the effects of foreign currency translation recorded within all three of the Company’s segments.</w:t>
      </w:r>
    </w:p>
    <w:p>
      <w:pPr>
        <w:spacing w:after="0" w:line="151"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Other acquired intangible assets are amortized using the straight-line method over their estimated useful lives of two to 20 years (which approximates the economic pattern of benefit). Amortization expense related to other acquired intangible assets was $7.5 million and $1.3 million for the three months ended December 31, 2021 and 2020, respectively, and $20.9 million and $4.2 million for the nine months ended December 31, 2021 and 2020, respectively.</w:t>
      </w:r>
    </w:p>
    <w:p>
      <w:pPr>
        <w:spacing w:after="0" w:line="151" w:lineRule="exact"/>
        <w:rPr>
          <w:sz w:val="20"/>
          <w:szCs w:val="20"/>
          <w:color w:val="auto"/>
        </w:rPr>
      </w:pPr>
    </w:p>
    <w:p>
      <w:pPr>
        <w:ind w:right="220" w:firstLine="509"/>
        <w:spacing w:after="0"/>
        <w:rPr>
          <w:sz w:val="20"/>
          <w:szCs w:val="20"/>
          <w:color w:val="auto"/>
        </w:rPr>
      </w:pPr>
      <w:r>
        <w:rPr>
          <w:rFonts w:ascii="Arial" w:cs="Arial" w:eastAsia="Arial" w:hAnsi="Arial"/>
          <w:sz w:val="18"/>
          <w:szCs w:val="18"/>
          <w:color w:val="auto"/>
        </w:rPr>
        <w:t>The expected amortization expense of amortizable acquired intangible assets may change due to the effects of foreign currency fluctuations as a result of international businesses acquired. The current and expected amortization expense for acquired intangible assets for each of the following periods is as follows: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For the nine months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-123190</wp:posOffset>
            </wp:positionV>
            <wp:extent cx="6412230"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Expected for the remainder of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289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580"/>
        <w:spacing w:after="0" w:line="234" w:lineRule="auto"/>
        <w:rPr>
          <w:sz w:val="20"/>
          <w:szCs w:val="20"/>
          <w:color w:val="auto"/>
        </w:rPr>
      </w:pPr>
      <w:r>
        <w:rPr>
          <w:rFonts w:ascii="Arial" w:cs="Arial" w:eastAsia="Arial" w:hAnsi="Arial"/>
          <w:sz w:val="18"/>
          <w:szCs w:val="18"/>
          <w:color w:val="auto"/>
        </w:rPr>
        <w:t>Expected for fiscal year 2023</w:t>
      </w:r>
    </w:p>
    <w:p>
      <w:pPr>
        <w:ind w:left="580"/>
        <w:spacing w:after="0" w:line="235" w:lineRule="auto"/>
        <w:rPr>
          <w:sz w:val="20"/>
          <w:szCs w:val="20"/>
          <w:color w:val="auto"/>
        </w:rPr>
      </w:pPr>
      <w:r>
        <w:rPr>
          <w:rFonts w:ascii="Arial" w:cs="Arial" w:eastAsia="Arial" w:hAnsi="Arial"/>
          <w:sz w:val="18"/>
          <w:szCs w:val="18"/>
          <w:color w:val="auto"/>
        </w:rPr>
        <w:t>Expected for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-127000</wp:posOffset>
            </wp:positionV>
            <wp:extent cx="6412230" cy="1289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580"/>
        <w:spacing w:after="0" w:line="235" w:lineRule="auto"/>
        <w:rPr>
          <w:sz w:val="20"/>
          <w:szCs w:val="20"/>
          <w:color w:val="auto"/>
        </w:rPr>
      </w:pPr>
      <w:r>
        <w:rPr>
          <w:rFonts w:ascii="Arial" w:cs="Arial" w:eastAsia="Arial" w:hAnsi="Arial"/>
          <w:sz w:val="18"/>
          <w:szCs w:val="18"/>
          <w:color w:val="auto"/>
        </w:rPr>
        <w:t>Expected for fiscal year 2025</w:t>
      </w:r>
    </w:p>
    <w:p>
      <w:pPr>
        <w:ind w:left="580"/>
        <w:spacing w:after="0" w:line="235" w:lineRule="auto"/>
        <w:rPr>
          <w:sz w:val="20"/>
          <w:szCs w:val="20"/>
          <w:color w:val="auto"/>
        </w:rPr>
      </w:pPr>
      <w:r>
        <w:rPr>
          <w:rFonts w:ascii="Arial" w:cs="Arial" w:eastAsia="Arial" w:hAnsi="Arial"/>
          <w:sz w:val="18"/>
          <w:szCs w:val="18"/>
          <w:color w:val="auto"/>
        </w:rPr>
        <w:t>Expected for fiscal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-127000</wp:posOffset>
            </wp:positionV>
            <wp:extent cx="6412230" cy="1289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6350</wp:posOffset>
            </wp:positionV>
            <wp:extent cx="6412230"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11569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9"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(In thousands)</w:t>
      </w:r>
    </w:p>
    <w:p>
      <w:pPr>
        <w:spacing w:after="0" w:line="26" w:lineRule="exact"/>
        <w:rPr>
          <w:sz w:val="20"/>
          <w:szCs w:val="20"/>
          <w:color w:val="auto"/>
        </w:rPr>
      </w:pPr>
    </w:p>
    <w:p>
      <w:pPr>
        <w:ind w:left="1240" w:hanging="1237"/>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20,859</w:t>
      </w:r>
    </w:p>
    <w:p>
      <w:pPr>
        <w:spacing w:after="0" w:line="194" w:lineRule="exact"/>
        <w:rPr>
          <w:sz w:val="20"/>
          <w:szCs w:val="20"/>
          <w:color w:val="auto"/>
        </w:rPr>
      </w:pPr>
    </w:p>
    <w:p>
      <w:pPr>
        <w:ind w:left="1340" w:hanging="1337"/>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7,532</w:t>
      </w:r>
    </w:p>
    <w:p>
      <w:pPr>
        <w:ind w:left="1240"/>
        <w:spacing w:after="0" w:line="234" w:lineRule="auto"/>
        <w:rPr>
          <w:rFonts w:ascii="Arial" w:cs="Arial" w:eastAsia="Arial" w:hAnsi="Arial"/>
          <w:sz w:val="18"/>
          <w:szCs w:val="18"/>
          <w:color w:val="auto"/>
        </w:rPr>
      </w:pPr>
      <w:r>
        <w:rPr>
          <w:rFonts w:ascii="Arial" w:cs="Arial" w:eastAsia="Arial" w:hAnsi="Arial"/>
          <w:sz w:val="18"/>
          <w:szCs w:val="18"/>
          <w:color w:val="auto"/>
        </w:rPr>
        <w:t>30,128</w:t>
      </w:r>
    </w:p>
    <w:p>
      <w:pPr>
        <w:ind w:left="1240"/>
        <w:spacing w:after="0" w:line="234" w:lineRule="auto"/>
        <w:rPr>
          <w:rFonts w:ascii="Arial" w:cs="Arial" w:eastAsia="Arial" w:hAnsi="Arial"/>
          <w:sz w:val="18"/>
          <w:szCs w:val="18"/>
          <w:color w:val="auto"/>
        </w:rPr>
      </w:pPr>
      <w:r>
        <w:rPr>
          <w:rFonts w:ascii="Arial" w:cs="Arial" w:eastAsia="Arial" w:hAnsi="Arial"/>
          <w:sz w:val="18"/>
          <w:szCs w:val="18"/>
          <w:color w:val="auto"/>
        </w:rPr>
        <w:t>28,678</w:t>
      </w:r>
    </w:p>
    <w:p>
      <w:pPr>
        <w:ind w:left="1240"/>
        <w:spacing w:after="0" w:line="234" w:lineRule="auto"/>
        <w:rPr>
          <w:rFonts w:ascii="Arial" w:cs="Arial" w:eastAsia="Arial" w:hAnsi="Arial"/>
          <w:sz w:val="18"/>
          <w:szCs w:val="18"/>
          <w:color w:val="auto"/>
        </w:rPr>
      </w:pPr>
      <w:r>
        <w:rPr>
          <w:rFonts w:ascii="Arial" w:cs="Arial" w:eastAsia="Arial" w:hAnsi="Arial"/>
          <w:sz w:val="18"/>
          <w:szCs w:val="18"/>
          <w:color w:val="auto"/>
        </w:rPr>
        <w:t>26,540</w:t>
      </w:r>
    </w:p>
    <w:p>
      <w:pPr>
        <w:ind w:left="1240"/>
        <w:spacing w:after="0" w:line="234" w:lineRule="auto"/>
        <w:rPr>
          <w:rFonts w:ascii="Arial" w:cs="Arial" w:eastAsia="Arial" w:hAnsi="Arial"/>
          <w:sz w:val="18"/>
          <w:szCs w:val="18"/>
          <w:color w:val="auto"/>
        </w:rPr>
      </w:pPr>
      <w:r>
        <w:rPr>
          <w:rFonts w:ascii="Arial" w:cs="Arial" w:eastAsia="Arial" w:hAnsi="Arial"/>
          <w:sz w:val="18"/>
          <w:szCs w:val="18"/>
          <w:color w:val="auto"/>
        </w:rPr>
        <w:t>26,388</w:t>
      </w:r>
    </w:p>
    <w:p>
      <w:pPr>
        <w:spacing w:after="0" w:line="1"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118,584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-1905</wp:posOffset>
            </wp:positionV>
            <wp:extent cx="11569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56970" cy="8890"/>
                    </a:xfrm>
                    <a:prstGeom prst="rect">
                      <a:avLst/>
                    </a:prstGeom>
                    <a:noFill/>
                  </pic:spPr>
                </pic:pic>
              </a:graphicData>
            </a:graphic>
          </wp:anchor>
        </w:drawing>
      </w:r>
    </w:p>
    <w:p>
      <w:pPr>
        <w:ind w:left="1140" w:hanging="1137"/>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237,850</w:t>
      </w:r>
    </w:p>
    <w:p>
      <w:pPr>
        <w:spacing w:after="0" w:line="200" w:lineRule="exact"/>
        <w:rPr>
          <w:sz w:val="20"/>
          <w:szCs w:val="20"/>
          <w:color w:val="auto"/>
        </w:rPr>
      </w:pPr>
    </w:p>
    <w:p>
      <w:pPr>
        <w:sectPr>
          <w:pgSz w:w="11900" w:h="16838" w:orient="portrait"/>
          <w:cols w:equalWidth="0" w:num="2">
            <w:col w:w="8060" w:space="720"/>
            <w:col w:w="2460"/>
          </w:cols>
          <w:pgMar w:left="320" w:top="118" w:right="339" w:bottom="1440" w:gutter="0" w:footer="0" w:header="0"/>
          <w:type w:val="continuous"/>
        </w:sectPr>
      </w:pPr>
    </w:p>
    <w:p>
      <w:pPr>
        <w:spacing w:after="0" w:line="12" w:lineRule="exact"/>
        <w:rPr>
          <w:sz w:val="20"/>
          <w:szCs w:val="20"/>
          <w:color w:val="auto"/>
        </w:rPr>
      </w:pPr>
    </w:p>
    <w:p>
      <w:pPr>
        <w:ind w:right="120" w:firstLine="509"/>
        <w:spacing w:after="0" w:line="246" w:lineRule="auto"/>
        <w:rPr>
          <w:sz w:val="20"/>
          <w:szCs w:val="20"/>
          <w:color w:val="auto"/>
        </w:rPr>
      </w:pPr>
      <w:r>
        <w:rPr>
          <w:rFonts w:ascii="Arial" w:cs="Arial" w:eastAsia="Arial" w:hAnsi="Arial"/>
          <w:sz w:val="18"/>
          <w:szCs w:val="18"/>
          <w:color w:val="auto"/>
        </w:rPr>
        <w:t>In the first quarter of fiscal year 2022, the gross amount and accumulated amortization for acquired identifiable intangible assets were reduced by the retirement of fully amortized assets that were no longer in use.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Senior Notes and Other Long-Term Debt</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long-term debt consisted of the following as of December 31, 2021 and March 31, 2021: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As of</w:t>
            </w:r>
          </w:p>
        </w:tc>
        <w:tc>
          <w:tcPr>
            <w:tcW w:w="400" w:type="dxa"/>
            <w:vAlign w:val="bottom"/>
          </w:tcPr>
          <w:p>
            <w:pPr>
              <w:spacing w:after="0"/>
              <w:rPr>
                <w:sz w:val="14"/>
                <w:szCs w:val="14"/>
                <w:color w:val="auto"/>
              </w:rPr>
            </w:pPr>
          </w:p>
        </w:tc>
        <w:tc>
          <w:tcPr>
            <w:tcW w:w="15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As of</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2028 Notes</w:t>
            </w:r>
          </w:p>
        </w:tc>
        <w:tc>
          <w:tcPr>
            <w:tcW w:w="11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400,000</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400,000</w:t>
            </w: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060" w:type="dxa"/>
            <w:vAlign w:val="bottom"/>
          </w:tcPr>
          <w:p>
            <w:pPr>
              <w:spacing w:after="0" w:line="202" w:lineRule="exact"/>
              <w:rPr>
                <w:sz w:val="20"/>
                <w:szCs w:val="20"/>
                <w:color w:val="auto"/>
              </w:rPr>
            </w:pPr>
            <w:r>
              <w:rPr>
                <w:rFonts w:ascii="Arial" w:cs="Arial" w:eastAsia="Arial" w:hAnsi="Arial"/>
                <w:sz w:val="18"/>
                <w:szCs w:val="18"/>
                <w:color w:val="auto"/>
              </w:rPr>
              <w:t>2027 Notes</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600,000</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600,000</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2025 Notes</w:t>
            </w: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700,000</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700,000</w:t>
            </w: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060" w:type="dxa"/>
            <w:vAlign w:val="bottom"/>
          </w:tcPr>
          <w:p>
            <w:pPr>
              <w:spacing w:after="0" w:line="202" w:lineRule="exact"/>
              <w:rPr>
                <w:sz w:val="20"/>
                <w:szCs w:val="20"/>
                <w:color w:val="auto"/>
              </w:rPr>
            </w:pPr>
            <w:r>
              <w:rPr>
                <w:rFonts w:ascii="Arial" w:cs="Arial" w:eastAsia="Arial" w:hAnsi="Arial"/>
                <w:sz w:val="18"/>
                <w:szCs w:val="18"/>
                <w:color w:val="auto"/>
              </w:rPr>
              <w:t>Revolving Credit Facility</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370,000</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Ex-Im Credit Facility</w:t>
            </w: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78,609</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98,261</w:t>
            </w: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060" w:type="dxa"/>
            <w:vAlign w:val="bottom"/>
          </w:tcPr>
          <w:p>
            <w:pPr>
              <w:spacing w:after="0" w:line="202" w:lineRule="exact"/>
              <w:rPr>
                <w:sz w:val="20"/>
                <w:szCs w:val="20"/>
                <w:color w:val="auto"/>
              </w:rPr>
            </w:pPr>
            <w:r>
              <w:rPr>
                <w:rFonts w:ascii="Arial" w:cs="Arial" w:eastAsia="Arial" w:hAnsi="Arial"/>
                <w:sz w:val="18"/>
                <w:szCs w:val="18"/>
                <w:color w:val="auto"/>
              </w:rPr>
              <w:t>Finance lease obligations (see Note 1)</w:t>
            </w:r>
          </w:p>
        </w:tc>
        <w:tc>
          <w:tcPr>
            <w:tcW w:w="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48,227</w:t>
            </w: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56,336</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debt</w:t>
            </w: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2,196,836</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1,854,597</w:t>
            </w: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060" w:type="dxa"/>
            <w:vAlign w:val="bottom"/>
          </w:tcPr>
          <w:p>
            <w:pPr>
              <w:spacing w:after="0" w:line="202" w:lineRule="exact"/>
              <w:rPr>
                <w:sz w:val="20"/>
                <w:szCs w:val="20"/>
                <w:color w:val="auto"/>
              </w:rPr>
            </w:pPr>
            <w:r>
              <w:rPr>
                <w:rFonts w:ascii="Arial" w:cs="Arial" w:eastAsia="Arial" w:hAnsi="Arial"/>
                <w:sz w:val="18"/>
                <w:szCs w:val="18"/>
                <w:color w:val="auto"/>
              </w:rPr>
              <w:t>Unamortized discount and debt issuance costs</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(17,854 )</w:t>
            </w:r>
          </w:p>
        </w:tc>
        <w:tc>
          <w:tcPr>
            <w:tcW w:w="400" w:type="dxa"/>
            <w:vAlign w:val="bottom"/>
          </w:tcPr>
          <w:p>
            <w:pPr>
              <w:spacing w:after="0"/>
              <w:rPr>
                <w:sz w:val="17"/>
                <w:szCs w:val="17"/>
                <w:color w:val="auto"/>
              </w:rPr>
            </w:pPr>
          </w:p>
        </w:tc>
        <w:tc>
          <w:tcPr>
            <w:tcW w:w="1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(21,441 )</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0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current portion of long-term debt</w:t>
            </w:r>
          </w:p>
        </w:tc>
        <w:tc>
          <w:tcPr>
            <w:tcW w:w="9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29,590</w:t>
            </w:r>
          </w:p>
        </w:tc>
        <w:tc>
          <w:tcPr>
            <w:tcW w:w="2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30,472</w:t>
            </w:r>
          </w:p>
        </w:tc>
        <w:tc>
          <w:tcPr>
            <w:tcW w:w="100" w:type="dxa"/>
            <w:vAlign w:val="bottom"/>
            <w:tcBorders>
              <w:bottom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60" w:type="dxa"/>
            <w:vAlign w:val="bottom"/>
          </w:tcPr>
          <w:p>
            <w:pPr>
              <w:spacing w:after="0" w:line="196" w:lineRule="exact"/>
              <w:rPr>
                <w:sz w:val="20"/>
                <w:szCs w:val="20"/>
                <w:color w:val="auto"/>
              </w:rPr>
            </w:pPr>
            <w:r>
              <w:rPr>
                <w:rFonts w:ascii="Arial" w:cs="Arial" w:eastAsia="Arial" w:hAnsi="Arial"/>
                <w:sz w:val="18"/>
                <w:szCs w:val="18"/>
                <w:color w:val="auto"/>
              </w:rPr>
              <w:t>Total long-term debt</w:t>
            </w:r>
          </w:p>
        </w:tc>
        <w:tc>
          <w:tcPr>
            <w:tcW w:w="11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660" w:type="dxa"/>
            <w:vAlign w:val="bottom"/>
          </w:tcPr>
          <w:p>
            <w:pPr>
              <w:jc w:val="right"/>
              <w:spacing w:after="0" w:line="196" w:lineRule="exact"/>
              <w:rPr>
                <w:sz w:val="20"/>
                <w:szCs w:val="20"/>
                <w:color w:val="auto"/>
              </w:rPr>
            </w:pPr>
            <w:r>
              <w:rPr>
                <w:rFonts w:ascii="Arial" w:cs="Arial" w:eastAsia="Arial" w:hAnsi="Arial"/>
                <w:sz w:val="18"/>
                <w:szCs w:val="18"/>
                <w:color w:val="auto"/>
              </w:rPr>
              <w:t>2,149,392</w:t>
            </w:r>
          </w:p>
        </w:tc>
        <w:tc>
          <w:tcPr>
            <w:tcW w:w="200" w:type="dxa"/>
            <w:vAlign w:val="bottom"/>
          </w:tcPr>
          <w:p>
            <w:pPr>
              <w:spacing w:after="0"/>
              <w:rPr>
                <w:sz w:val="17"/>
                <w:szCs w:val="17"/>
                <w:color w:val="auto"/>
              </w:rPr>
            </w:pPr>
          </w:p>
        </w:tc>
        <w:tc>
          <w:tcPr>
            <w:tcW w:w="40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1,802,684</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20" w:type="dxa"/>
            <w:vAlign w:val="bottom"/>
            <w:vMerge w:val="restart"/>
          </w:tcPr>
          <w:p>
            <w:pPr>
              <w:jc w:val="right"/>
              <w:ind w:right="310"/>
              <w:spacing w:after="0"/>
              <w:rPr>
                <w:sz w:val="20"/>
                <w:szCs w:val="20"/>
                <w:color w:val="auto"/>
              </w:rPr>
            </w:pPr>
            <w:r>
              <w:rPr>
                <w:rFonts w:ascii="Arial" w:cs="Arial" w:eastAsia="Arial" w:hAnsi="Arial"/>
                <w:sz w:val="18"/>
                <w:szCs w:val="18"/>
                <w:color w:val="auto"/>
              </w:rPr>
              <w:t>22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1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40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-639445</wp:posOffset>
            </wp:positionV>
            <wp:extent cx="6858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-639445</wp:posOffset>
            </wp:positionV>
            <wp:extent cx="5969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85"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As of December 31, 2021, the Revolving Credit Facility provided a $700.0 million revolving line of credit (including up to $150.0 million of letters of credit), with a maturity date of January 18, 2024. At December 31, 2021, the Company had $370.0 million in principal amount of outstanding borrowings under the Revolving Credit Facility and $58.9 million outstanding under standby letters of credit, leaving borrowing availability under the Revolving Credit Facility as of December 31, 2021 of $271.1 million.</w:t>
      </w:r>
    </w:p>
    <w:p>
      <w:pPr>
        <w:spacing w:after="0" w:line="151"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Borrowings under the Revolving Credit Facility bear interest, at the Company’s option, at either (1) the highest of the Federal Funds rate plus 0.50%, the Eurodollar rate plus 1.00%, or the administrative agent’s prime rate as announced from time to time, or (2) the Eurodollar rate, plus, in the case of each of (1) and (2), an applicable margin that is based on the Company’s total leverage ratio. As of December 31, 2021, the weighted average effective interest rate on the Company’s outstanding borrowings under the Revolving Credit Facility was 1.86%. The Company has capitalized certain amounts of interest expense on the Revolving Credit Facility in connection with the construction of various assets during the construction period. The Revolving Credit Facility is required to be guaranteed by certain significant domestic subsidiaries of the Company (as defined in the Revolving Credit Facility) and secured by substantially all of the Company’s and any such subsidiaries’ assets. As of December 31, 2021, none of the Company’s subsidiaries guaranteed the Revolving Credit Facility.</w:t>
      </w:r>
    </w:p>
    <w:p>
      <w:pPr>
        <w:spacing w:after="0" w:line="154"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Revolving Credit Facility as of December 31, 2021.</w:t>
      </w:r>
    </w:p>
    <w:p>
      <w:pPr>
        <w:spacing w:after="0" w:line="151" w:lineRule="exact"/>
        <w:rPr>
          <w:sz w:val="20"/>
          <w:szCs w:val="20"/>
          <w:color w:val="auto"/>
        </w:rPr>
      </w:pPr>
    </w:p>
    <w:p>
      <w:pPr>
        <w:jc w:val="both"/>
        <w:ind w:right="20" w:firstLine="509"/>
        <w:spacing w:after="0"/>
        <w:rPr>
          <w:sz w:val="20"/>
          <w:szCs w:val="20"/>
          <w:color w:val="auto"/>
        </w:rPr>
      </w:pPr>
      <w:r>
        <w:rPr>
          <w:rFonts w:ascii="Arial" w:cs="Arial" w:eastAsia="Arial" w:hAnsi="Arial"/>
          <w:sz w:val="18"/>
          <w:szCs w:val="18"/>
          <w:color w:val="auto"/>
        </w:rPr>
        <w:t>On November 23, 2021, the Company amended the Revolving Credit Facility to, among other matters, permit the consummation of the Inmarsat Transaction and provide additional covenant flexibility following the completion of the Inmarsat Transaction. These amendments will become effective at and are conditional upon the closing of the Inmarsat Transaction.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85"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The Ex-Im Credit Facility originally provided a $362.4 million senior secured direct loan facility, which was fully drawn. Of the $362.4 million in principal amount of borrowings made under the Ex-Im Credit Facility, $321.2 million was used to finance up to 85% of the costs of construction, launch and insurance of the ViaSat-2 satellite and related goods and services (including costs incurred on or after September 18, 2012), with the remaining $41.2 million used to finance the total exposure fees incurred under the Ex-Im Credit Facility (which included all previously accrued completion exposure fees). As of December 31, 2021, the Company had $78.6 million in principal amount of outstanding borrowings under the Ex-Im Credit Facility.</w:t>
      </w:r>
    </w:p>
    <w:p>
      <w:pPr>
        <w:spacing w:after="0" w:line="15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the Company’s outstanding borrowings under the Ex-Im Credit Facility, which takes into account timing and amount of borrowings and payments, exposure fees, debt issuance costs and other fees, is 4.54%. Borrowings under the Ex-Im Credit Facility are required to be repaid in 16 semi-annual principal installments, which commenced on April 15, 2018, with a maturity date of October 15, 2025. Pursuant to the terms of the Ex-Im Credit Facility, certain insurance proceeds related to the ViaSat-2 satellite must be used to pay down outstanding borrowings under the Ex-Im Credit Facility upon receipt. The Ex-Im Credit Facility is guaranteed by Viasat and is secured by first-priority liens on the ViaSat-2 satellite and related assets, as well as a pledge of the capital stock of the borrower under the facility.</w:t>
      </w:r>
    </w:p>
    <w:p>
      <w:pPr>
        <w:spacing w:after="0" w:line="149"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Ex-Im Credit Facility as of December 31, 2021.</w:t>
      </w:r>
    </w:p>
    <w:p>
      <w:pPr>
        <w:spacing w:after="0" w:line="151"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Borrowings under the Ex-Im Credit Facility are recorded as current portion of long-term debt and as other long-term debt, net of unamortized discount and debt issuance costs, in the Company’s condensed consolidated financial statements. The discount of $42.3 million (consisting of the initial $6.0 million pre-exposure fee, $35.3 million of</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completion exposure fees, and other customary fees) and deferred financing cost associated with the issuance of the borrowings under the Ex-Im Credit Facility are amortized to interest expense on an effective interest rate basis over the weighted average term of the Ex-Im Credit Facility and in accordance with the related payment obligations.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2028</w:t>
      </w:r>
    </w:p>
    <w:p>
      <w:pPr>
        <w:spacing w:after="0" w:line="8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In June 2020, the Company issued $400.0 million in principal amount of 2028 Notes in a private placement to institutional buyers. The 2028 Notes were issued at face value and are recorded as long-term debt, net of debt issuance costs, in the Company’s condensed consolidated financial statements. The 2028 Notes bear interest at the rate of 6.500% per year, payable semi-annually in cash in arrears, which interest payments commenced in January 2021. Debt issuance costs associated with the issuance of the 2028 Notes are amortized to interest expense on a straight-line basis over the term of the 2028 Notes, the results of which are not materially different from the effective interest rate basis.</w:t>
      </w:r>
    </w:p>
    <w:p>
      <w:pPr>
        <w:spacing w:after="0" w:line="151"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The 2028 Notes are required to be guaranteed on an unsecured senior basis by each of the Company’s existing and future subsidiaries that guarantees the Revolving Credit Facility. As of December 31, 2021, none of the Company’s subsidiaries guaranteed the 2028 Notes. The 2028 Notes are the Company’s general senior unsecured obligations and rank equally in right of payment with all of the Company’s existing and future unsecured unsubordinated debt. The 2028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2028 Notes, and are senior in right of payment to all of the Company’s existing and future subordinated indebtedness.</w:t>
      </w:r>
    </w:p>
    <w:p>
      <w:pPr>
        <w:spacing w:after="0" w:line="149" w:lineRule="exact"/>
        <w:rPr>
          <w:sz w:val="20"/>
          <w:szCs w:val="20"/>
          <w:color w:val="auto"/>
        </w:rPr>
      </w:pPr>
    </w:p>
    <w:p>
      <w:pPr>
        <w:ind w:right="380" w:firstLine="509"/>
        <w:spacing w:after="0" w:line="238" w:lineRule="auto"/>
        <w:rPr>
          <w:sz w:val="20"/>
          <w:szCs w:val="20"/>
          <w:color w:val="auto"/>
        </w:rPr>
      </w:pPr>
      <w:r>
        <w:rPr>
          <w:rFonts w:ascii="Arial" w:cs="Arial" w:eastAsia="Arial" w:hAnsi="Arial"/>
          <w:sz w:val="18"/>
          <w:szCs w:val="18"/>
          <w:color w:val="auto"/>
        </w:rPr>
        <w:t>The indenture governing the 2028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8"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Prior to July 15, 2023, the Company may redeem up to 40% of the 2028 Notes at a redemption price of 106.500% of the principal amount thereof, plus accrued and unpaid interest, if any, thereon to the redemption date, from the net cash proceeds of specified equity offerings. The Company may also redeem the 2028 Notes prior to July 15, 2023,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2028 Notes and (ii) the excess, if any, of (a) the present value at such date of redemption of (1) the redemption price of such 2028 Notes on July 15, 2023 plus (2) all required interest payments due on such 2028 Notes through July 15, 2023 (excluding accrued but unpaid interest to the date of redemption), computed using a discount rate equal to the treasury rate (as defined under the indenture governing the 2028 Notes) plus 50 basis points, over (b) the then-outstanding principal amount of such 2028 Notes. The 2028 Notes may be redeemed, in whole or in part, at any time during the 12 months beginning on July 15, 2023 at a redemption price of 103.250%, during the 12 months beginning on July 15, 2024 at a redemption price of 101.625%, and at any time on or after July 15, 2025 at a redemption price of 100%, in each case plus accrued and unpaid interest, if any, thereon to the redemption date.</w:t>
      </w:r>
    </w:p>
    <w:p>
      <w:pPr>
        <w:spacing w:after="0" w:line="150" w:lineRule="exact"/>
        <w:rPr>
          <w:sz w:val="20"/>
          <w:szCs w:val="20"/>
          <w:color w:val="auto"/>
        </w:rPr>
      </w:pPr>
    </w:p>
    <w:p>
      <w:pPr>
        <w:jc w:val="both"/>
        <w:ind w:right="80" w:firstLine="509"/>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2028 Notes), each holder will have the right to require the Company to repurchase all or any part of such holder’s 2028 Notes at a purchase price in cash equal to 101% of the aggregate principal amount of the 2028 Notes repurchased, plus accrued and unpaid interest, if any, to the date of purchase (subject to the right of holders of record on the relevant record date to receive interest due on the relevant interest payment date).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 due 2027</w:t>
      </w:r>
    </w:p>
    <w:p>
      <w:pPr>
        <w:spacing w:after="0" w:line="81" w:lineRule="exact"/>
        <w:rPr>
          <w:sz w:val="20"/>
          <w:szCs w:val="20"/>
          <w:color w:val="auto"/>
        </w:rPr>
      </w:pPr>
    </w:p>
    <w:p>
      <w:pPr>
        <w:jc w:val="both"/>
        <w:ind w:right="260" w:firstLine="509"/>
        <w:spacing w:after="0" w:line="238" w:lineRule="auto"/>
        <w:rPr>
          <w:sz w:val="20"/>
          <w:szCs w:val="20"/>
          <w:color w:val="auto"/>
        </w:rPr>
      </w:pPr>
      <w:r>
        <w:rPr>
          <w:rFonts w:ascii="Arial" w:cs="Arial" w:eastAsia="Arial" w:hAnsi="Arial"/>
          <w:sz w:val="18"/>
          <w:szCs w:val="18"/>
          <w:color w:val="auto"/>
        </w:rPr>
        <w:t>In March 2019, the Company issued $600.0 million in principal amount of 2027 Notes in a private placement to institutional buyers. The 2027 Notes were issued at face value and are recorded as long-term debt, net of debt issuance costs, in the Company’s condensed consolidated financial statements. The 2027 Notes bear interest at the rate of 5.625% per year, payable semi-annually in cash in arrears, which interest payments commenced in October 2019. Debt issuance</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costs associated with the issuance of the 2027 Notes are amortized to interest expense on a straight-line basis over the term of the 2027 Notes, the results of which are not materially different from the effective interest rate basis.</w:t>
      </w:r>
    </w:p>
    <w:p>
      <w:pPr>
        <w:spacing w:after="0" w:line="143"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2027 Notes are required to be guaranteed on a senior secured basis by each of the Company’s existing and future subsidiaries that guarantees the Revolving Credit Facility. As of December 31, 2021, none of the Company’s subsidiaries guaranteed the 2027 Notes. The 2027 Notes are secured, equally and ratably with the Revolving Credit Facility and any future parity lien debt, by liens on substantially all of the Company’s assets.</w:t>
      </w:r>
    </w:p>
    <w:p>
      <w:pPr>
        <w:spacing w:after="0" w:line="151"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The 2027 Notes are the Company’s general senior secured obligations and rank equally in right of payment with all of its existing and future unsubordinated debt. The 2027 Notes are effectively senior to all of the Company’s existing and future unsecured debt (including the 2025 Notes and the 2028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are structurally subordinated to all existing and future liabilities (including trade payables) of the Company’s subsidiaries that do not guarantee the 2027 Notes (including obligations of the borrower under the Ex-Im Credit Facility), and are senior in right of payment to all of the Company’s existing and future subordinated indebtedness.</w:t>
      </w:r>
    </w:p>
    <w:p>
      <w:pPr>
        <w:spacing w:after="0" w:line="154" w:lineRule="exact"/>
        <w:rPr>
          <w:sz w:val="20"/>
          <w:szCs w:val="20"/>
          <w:color w:val="auto"/>
        </w:rPr>
      </w:pPr>
    </w:p>
    <w:p>
      <w:pPr>
        <w:ind w:right="440" w:firstLine="509"/>
        <w:spacing w:after="0" w:line="238" w:lineRule="auto"/>
        <w:rPr>
          <w:sz w:val="20"/>
          <w:szCs w:val="20"/>
          <w:color w:val="auto"/>
        </w:rPr>
      </w:pPr>
      <w:r>
        <w:rPr>
          <w:rFonts w:ascii="Arial" w:cs="Arial" w:eastAsia="Arial" w:hAnsi="Arial"/>
          <w:sz w:val="18"/>
          <w:szCs w:val="18"/>
          <w:color w:val="auto"/>
        </w:rPr>
        <w:t>The indenture governing the 2027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8"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Prior to April 15, 2022, the Company may redeem up to 40% of the 2027 Notes at a redemption price of 105.625% of the principal amount thereof, plus accrued and unpaid interest, if any, thereon to the redemption date, from the net cash proceeds of specified equity offerings. The Company may also redeem the 2027 Notes prior to April 15, 2022,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2027 Notes and (ii) the excess, if any, of (a) the present value at such date of redemption of (1) the redemption price of such 2027 Notes on April 15, 2022 plus (2) all required interest payments due on such 2027 Notes through April 15, 2022 (excluding accrued but unpaid interest to the date of redemption), computed using a discount rate equal to the treasury rate (as defined under the indenture governing the 2027 Notes) plus 50 basis points, over (b) the then-outstanding principal amount of such 2027 Notes. The 2027 Notes may be redeemed, in whole or in part, at any time during the 12 months beginning on April 15, 2022 at a redemption price of 102.813%, during the 12 months beginning on April 15, 2023 at a redemption price of 101.406%, and at any time on or after April 15, 2024 at a redemption price of 100%, in each case plus accrued and unpaid interest, if any, thereon to the redemption date.</w:t>
      </w:r>
    </w:p>
    <w:p>
      <w:pPr>
        <w:spacing w:after="0" w:line="150" w:lineRule="exact"/>
        <w:rPr>
          <w:sz w:val="20"/>
          <w:szCs w:val="20"/>
          <w:color w:val="auto"/>
        </w:rPr>
      </w:pPr>
    </w:p>
    <w:p>
      <w:pPr>
        <w:jc w:val="both"/>
        <w:ind w:right="140" w:firstLine="509"/>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2027 Notes), each holder will have the right to require the Company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81"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In September 2017, the Company issued $700.0 million in principal amount of 2025 Notes in a private placement to institutional buyers. The 2025 Notes were issued at face value and are recorded as long-term debt, net of debt issuance costs, in the Company’s condensed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51" w:lineRule="exact"/>
        <w:rPr>
          <w:sz w:val="20"/>
          <w:szCs w:val="20"/>
          <w:color w:val="auto"/>
        </w:rPr>
      </w:pPr>
    </w:p>
    <w:p>
      <w:pPr>
        <w:ind w:right="340" w:firstLine="509"/>
        <w:spacing w:after="0" w:line="238" w:lineRule="auto"/>
        <w:rPr>
          <w:sz w:val="20"/>
          <w:szCs w:val="20"/>
          <w:color w:val="auto"/>
        </w:rPr>
      </w:pPr>
      <w:r>
        <w:rPr>
          <w:rFonts w:ascii="Arial" w:cs="Arial" w:eastAsia="Arial" w:hAnsi="Arial"/>
          <w:sz w:val="18"/>
          <w:szCs w:val="18"/>
          <w:color w:val="auto"/>
        </w:rPr>
        <w:t>The 2025 Notes are required to be guaranteed on an unsecured senior basis by each of the Company’s existing and future subsidiaries that guarantees the Revolving Credit Facility. As of December 31, 2021, none of the Company’s subsidiaries guaranteed the 2025 Notes. The 2025 Notes are the Company’s general senior unsecured obligations and rank equally in right of payment with all of the Company’s existing and future unsecured unsubordinated debt. The 2025</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3"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2025 Notes, and are senior in right of payment to all of the Company’s existing and future subordinated indebtedness.</w:t>
      </w:r>
    </w:p>
    <w:p>
      <w:pPr>
        <w:spacing w:after="0" w:line="151" w:lineRule="exact"/>
        <w:rPr>
          <w:sz w:val="20"/>
          <w:szCs w:val="20"/>
          <w:color w:val="auto"/>
        </w:rPr>
      </w:pPr>
    </w:p>
    <w:p>
      <w:pPr>
        <w:ind w:right="460" w:firstLine="509"/>
        <w:spacing w:after="0" w:line="238" w:lineRule="auto"/>
        <w:rPr>
          <w:sz w:val="20"/>
          <w:szCs w:val="20"/>
          <w:color w:val="auto"/>
        </w:rPr>
      </w:pPr>
      <w:r>
        <w:rPr>
          <w:rFonts w:ascii="Arial" w:cs="Arial" w:eastAsia="Arial" w:hAnsi="Arial"/>
          <w:sz w:val="18"/>
          <w:szCs w:val="18"/>
          <w:color w:val="auto"/>
        </w:rPr>
        <w:t>The indenture governing the 2025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8" w:lineRule="exact"/>
        <w:rPr>
          <w:sz w:val="20"/>
          <w:szCs w:val="20"/>
          <w:color w:val="auto"/>
        </w:rPr>
      </w:pPr>
    </w:p>
    <w:p>
      <w:pPr>
        <w:jc w:val="both"/>
        <w:ind w:right="300" w:firstLine="509"/>
        <w:spacing w:after="0"/>
        <w:rPr>
          <w:sz w:val="20"/>
          <w:szCs w:val="20"/>
          <w:color w:val="auto"/>
        </w:rPr>
      </w:pPr>
      <w:r>
        <w:rPr>
          <w:rFonts w:ascii="Arial" w:cs="Arial" w:eastAsia="Arial" w:hAnsi="Arial"/>
          <w:sz w:val="18"/>
          <w:szCs w:val="18"/>
          <w:color w:val="auto"/>
        </w:rPr>
        <w:t>The 2025 Notes may be redeemed, in whole or in part, at any time prior to September 15, 2022 at a redemption price of 101.406%, and at any time thereafter at a redemption price of 100%, in each case plus accrued and unpaid interest, if any, thereon to the redemption date.</w:t>
      </w:r>
    </w:p>
    <w:p>
      <w:pPr>
        <w:spacing w:after="0" w:line="149" w:lineRule="exact"/>
        <w:rPr>
          <w:sz w:val="20"/>
          <w:szCs w:val="20"/>
          <w:color w:val="auto"/>
        </w:rPr>
      </w:pPr>
    </w:p>
    <w:p>
      <w:pPr>
        <w:jc w:val="both"/>
        <w:ind w:right="160" w:firstLine="509"/>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2025 Notes), each holder will have the right to require the Company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Product Warranty</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nine months ended December 31, 2021 and 2020:</w:t>
      </w:r>
    </w:p>
    <w:p>
      <w:pPr>
        <w:spacing w:after="0" w:line="154" w:lineRule="exact"/>
        <w:rPr>
          <w:sz w:val="20"/>
          <w:szCs w:val="20"/>
          <w:color w:val="auto"/>
        </w:rPr>
      </w:pPr>
    </w:p>
    <w:tbl>
      <w:tblPr>
        <w:tblLayout w:type="fixed"/>
        <w:tblInd w:w="170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6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46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right"/>
              <w:ind w:right="408"/>
              <w:spacing w:after="0" w:line="129" w:lineRule="exact"/>
              <w:rPr>
                <w:sz w:val="20"/>
                <w:szCs w:val="20"/>
                <w:color w:val="auto"/>
              </w:rPr>
            </w:pPr>
            <w:r>
              <w:rPr>
                <w:rFonts w:ascii="Arial" w:cs="Arial" w:eastAsia="Arial" w:hAnsi="Arial"/>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176"/>
              <w:spacing w:after="0" w:line="12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159"/>
              <w:spacing w:after="0"/>
              <w:rPr>
                <w:sz w:val="20"/>
                <w:szCs w:val="20"/>
                <w:color w:val="auto"/>
              </w:rPr>
            </w:pPr>
            <w:r>
              <w:rPr>
                <w:rFonts w:ascii="Arial" w:cs="Arial" w:eastAsia="Arial" w:hAnsi="Arial"/>
                <w:sz w:val="14"/>
                <w:szCs w:val="14"/>
                <w:b w:val="1"/>
                <w:bCs w:val="1"/>
                <w:color w:val="auto"/>
              </w:rPr>
              <w:t>(In</w:t>
            </w:r>
          </w:p>
        </w:tc>
        <w:tc>
          <w:tcPr>
            <w:tcW w:w="1660" w:type="dxa"/>
            <w:vAlign w:val="bottom"/>
            <w:gridSpan w:val="3"/>
          </w:tcPr>
          <w:p>
            <w:pPr>
              <w:jc w:val="right"/>
              <w:ind w:right="996"/>
              <w:spacing w:after="0"/>
              <w:rPr>
                <w:sz w:val="20"/>
                <w:szCs w:val="20"/>
                <w:color w:val="auto"/>
              </w:rPr>
            </w:pPr>
            <w:r>
              <w:rPr>
                <w:rFonts w:ascii="Arial" w:cs="Arial" w:eastAsia="Arial" w:hAnsi="Arial"/>
                <w:sz w:val="14"/>
                <w:szCs w:val="14"/>
                <w:b w:val="1"/>
                <w:bCs w:val="1"/>
                <w:color w:val="auto"/>
                <w:w w:val="74"/>
              </w:rPr>
              <w:t>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Balance, beginning of period</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11,886</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620" w:type="dxa"/>
            <w:vAlign w:val="bottom"/>
          </w:tcPr>
          <w:p>
            <w:pPr>
              <w:ind w:left="260"/>
              <w:spacing w:after="0" w:line="175" w:lineRule="exact"/>
              <w:rPr>
                <w:sz w:val="20"/>
                <w:szCs w:val="20"/>
                <w:color w:val="auto"/>
              </w:rPr>
            </w:pPr>
            <w:r>
              <w:rPr>
                <w:rFonts w:ascii="Arial" w:cs="Arial" w:eastAsia="Arial" w:hAnsi="Arial"/>
                <w:sz w:val="18"/>
                <w:szCs w:val="18"/>
                <w:color w:val="auto"/>
              </w:rPr>
              <w:t>Change in liability for warranties</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420"/>
              <w:spacing w:after="0" w:line="203" w:lineRule="exact"/>
              <w:rPr>
                <w:sz w:val="20"/>
                <w:szCs w:val="20"/>
                <w:color w:val="auto"/>
              </w:rPr>
            </w:pPr>
            <w:r>
              <w:rPr>
                <w:rFonts w:ascii="Arial" w:cs="Arial" w:eastAsia="Arial" w:hAnsi="Arial"/>
                <w:sz w:val="18"/>
                <w:szCs w:val="18"/>
                <w:color w:val="auto"/>
              </w:rPr>
              <w:t>issued in period</w:t>
            </w:r>
          </w:p>
        </w:tc>
        <w:tc>
          <w:tcPr>
            <w:tcW w:w="1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4,064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4,120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620" w:type="dxa"/>
            <w:vAlign w:val="bottom"/>
            <w:shd w:val="clear" w:color="auto" w:fill="CFF0FC"/>
          </w:tcPr>
          <w:p>
            <w:pPr>
              <w:ind w:left="260"/>
              <w:spacing w:after="0" w:line="175" w:lineRule="exact"/>
              <w:rPr>
                <w:sz w:val="20"/>
                <w:szCs w:val="20"/>
                <w:color w:val="auto"/>
              </w:rPr>
            </w:pPr>
            <w:r>
              <w:rPr>
                <w:rFonts w:ascii="Arial" w:cs="Arial" w:eastAsia="Arial" w:hAnsi="Arial"/>
                <w:sz w:val="18"/>
                <w:szCs w:val="18"/>
                <w:color w:val="auto"/>
              </w:rPr>
              <w:t>Settlements made (in cash or in kind)</w:t>
            </w:r>
          </w:p>
        </w:tc>
        <w:tc>
          <w:tcPr>
            <w:tcW w:w="180" w:type="dxa"/>
            <w:vAlign w:val="bottom"/>
            <w:shd w:val="clear" w:color="auto" w:fill="CFF0FC"/>
          </w:tcPr>
          <w:p>
            <w:pPr>
              <w:spacing w:after="0"/>
              <w:rPr>
                <w:sz w:val="15"/>
                <w:szCs w:val="15"/>
                <w:color w:val="auto"/>
              </w:rPr>
            </w:pPr>
          </w:p>
        </w:tc>
        <w:tc>
          <w:tcPr>
            <w:tcW w:w="1500" w:type="dxa"/>
            <w:vAlign w:val="bottom"/>
            <w:gridSpan w:val="2"/>
            <w:vMerge w:val="restart"/>
            <w:shd w:val="clear" w:color="auto" w:fill="CFF0FC"/>
          </w:tcPr>
          <w:p>
            <w:pPr>
              <w:jc w:val="right"/>
              <w:ind w:right="48"/>
              <w:spacing w:after="0"/>
              <w:rPr>
                <w:sz w:val="20"/>
                <w:szCs w:val="20"/>
                <w:color w:val="auto"/>
              </w:rPr>
            </w:pPr>
            <w:r>
              <w:rPr>
                <w:rFonts w:ascii="Arial" w:cs="Arial" w:eastAsia="Arial" w:hAnsi="Arial"/>
                <w:sz w:val="18"/>
                <w:szCs w:val="18"/>
                <w:color w:val="auto"/>
              </w:rPr>
              <w:t>(5,242 )</w:t>
            </w:r>
          </w:p>
        </w:tc>
        <w:tc>
          <w:tcPr>
            <w:tcW w:w="180" w:type="dxa"/>
            <w:vAlign w:val="bottom"/>
            <w:shd w:val="clear" w:color="auto" w:fill="CFF0FC"/>
          </w:tcPr>
          <w:p>
            <w:pPr>
              <w:spacing w:after="0"/>
              <w:rPr>
                <w:sz w:val="15"/>
                <w:szCs w:val="15"/>
                <w:color w:val="auto"/>
              </w:rPr>
            </w:pPr>
          </w:p>
        </w:tc>
        <w:tc>
          <w:tcPr>
            <w:tcW w:w="13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(3,882 )</w:t>
            </w:r>
          </w:p>
        </w:tc>
        <w:tc>
          <w:tcPr>
            <w:tcW w:w="0" w:type="dxa"/>
            <w:vAlign w:val="bottom"/>
          </w:tcPr>
          <w:p>
            <w:pPr>
              <w:spacing w:after="0"/>
              <w:rPr>
                <w:sz w:val="1"/>
                <w:szCs w:val="1"/>
                <w:color w:val="auto"/>
              </w:rPr>
            </w:pPr>
          </w:p>
        </w:tc>
      </w:tr>
      <w:tr>
        <w:trPr>
          <w:trHeight w:val="190"/>
        </w:trPr>
        <w:tc>
          <w:tcPr>
            <w:tcW w:w="4620" w:type="dxa"/>
            <w:vAlign w:val="bottom"/>
            <w:shd w:val="clear" w:color="auto" w:fill="CFF0FC"/>
          </w:tcPr>
          <w:p>
            <w:pPr>
              <w:ind w:left="420"/>
              <w:spacing w:after="0" w:line="190" w:lineRule="exact"/>
              <w:rPr>
                <w:sz w:val="20"/>
                <w:szCs w:val="20"/>
                <w:color w:val="auto"/>
              </w:rPr>
            </w:pPr>
            <w:r>
              <w:rPr>
                <w:rFonts w:ascii="Arial" w:cs="Arial" w:eastAsia="Arial" w:hAnsi="Arial"/>
                <w:sz w:val="18"/>
                <w:szCs w:val="18"/>
                <w:color w:val="auto"/>
              </w:rPr>
              <w:t>during the period</w:t>
            </w:r>
          </w:p>
        </w:tc>
        <w:tc>
          <w:tcPr>
            <w:tcW w:w="180" w:type="dxa"/>
            <w:vAlign w:val="bottom"/>
            <w:shd w:val="clear" w:color="auto" w:fill="CFF0FC"/>
          </w:tcPr>
          <w:p>
            <w:pPr>
              <w:spacing w:after="0"/>
              <w:rPr>
                <w:sz w:val="16"/>
                <w:szCs w:val="16"/>
                <w:color w:val="auto"/>
              </w:rPr>
            </w:pPr>
          </w:p>
        </w:tc>
        <w:tc>
          <w:tcPr>
            <w:tcW w:w="1500" w:type="dxa"/>
            <w:vAlign w:val="bottom"/>
            <w:gridSpan w:val="2"/>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2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Balance, end of period</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10,708</w:t>
            </w:r>
          </w:p>
        </w:tc>
        <w:tc>
          <w:tcPr>
            <w:tcW w:w="20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11,881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-159385</wp:posOffset>
            </wp:positionV>
            <wp:extent cx="6858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-159385</wp:posOffset>
            </wp:positionV>
            <wp:extent cx="6032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99"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The Company has entered into satellite construction agreements with The Boeing Company (Boeing) for the construction and purchase of three ViaSat-3 class satellites and the integration of Viasat’s payload and technologies into the satellites. See Note 12 – Commitments to the consolidated financial statements included in the Company’s Annual Report on Form 10-K for the year ended March 31, 2021 for information regarding the Company’s future minimum payments under its satellite construction contracts and other satellite-related purchase commitments.</w:t>
      </w:r>
    </w:p>
    <w:p>
      <w:pPr>
        <w:spacing w:after="0" w:line="16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From time to time,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48"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concluded for fiscal years 2020 or 2021. As of December 31, 2021, the DCAA had completed its incurred cost audit for fiscal years 2004, 2016 and 2019 and approved the Company’s incurred costs for those fiscal years, as well as approved the Company’s incurred costs for fiscal years 2005 through 2015, 2017 and 2018 without further audit based on the determination of low risk. Although the Company has recorded contract revenues subsequent to fiscal year 2019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December 31, 2021 and March 31, 2021, the Company had $12.1 million and $10.3 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99" w:lineRule="exact"/>
        <w:rPr>
          <w:sz w:val="20"/>
          <w:szCs w:val="20"/>
          <w:color w:val="auto"/>
        </w:rPr>
      </w:pPr>
    </w:p>
    <w:p>
      <w:pPr>
        <w:ind w:right="100" w:firstLine="509"/>
        <w:spacing w:after="0" w:line="236" w:lineRule="auto"/>
        <w:rPr>
          <w:sz w:val="20"/>
          <w:szCs w:val="20"/>
          <w:color w:val="auto"/>
        </w:rPr>
      </w:pPr>
      <w:r>
        <w:rPr>
          <w:rFonts w:ascii="Arial" w:cs="Arial" w:eastAsia="Arial" w:hAnsi="Arial"/>
          <w:sz w:val="18"/>
          <w:szCs w:val="18"/>
          <w:color w:val="auto"/>
        </w:rPr>
        <w:t>Ordinarily, the Company calculates its provision for income taxes at the end of each interim reporting period on the basis of an estimated annual effective tax rate adjusted for tax items that are discrete to each period. However, when a reliable estimate cannot be made, the Company computes its provision for income taxes using the actual effective tax rate (discrete method) for the year-to-date period. The Company’s effective tax rate is highly influenced by the amount of its R&amp;D tax credits. A small change in estimated annual pretax income (loss) can produce a significant variance in the annual effective tax rate given the Company’s expected amount of R&amp;D tax credits. This variability provides an unreliable estimate of the annual effective tax rate. As a result, and in accordance with the authoritative guidance for accounting for income taxes in interim periods, the Company has computed its provision for income taxes for the three and nine months ended December 31, 2021 and 2020 by applying the actual effective tax rate to the income (loss) for the three-month and nine-month periods.</w:t>
      </w:r>
    </w:p>
    <w:p>
      <w:pPr>
        <w:spacing w:after="0" w:line="153"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For the three and nine months ended December 31, 2021, the Company recorded an income tax provision of $3.5 million and an income tax benefit of $3.5 million, respectively, resulting in effective tax rates of negative 701% and negative 22%, respectively. The effective tax rates for such periods differed from the U.S. statutory rate primarily due to the benefit of federal and state R&amp;D tax credits, partially offset by the expense for tax deficiencies upon settlement of stock-based compensation during the periods and, in the nine months ended December 31, 2021, a reversal of a deferred tax liability recorded for EBI’s outside basis difference upon the assertion made during the first quarter of fiscal year 2022 to indefinitely reinvest future earnings.</w:t>
      </w:r>
    </w:p>
    <w:p>
      <w:pPr>
        <w:spacing w:after="0" w:line="151"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For the three and nine months ended December 31, 2020, the Company recorded an income tax provision of $7.0 million and an insignificant amount, respectively, resulting in effective tax rates of 50% and 24%, respectively. The effective tax rates for the periods differed from the U.S. statutory rate primarily due to the expense for tax deficiencies upon settlement of stock-based compensation during the periods, partially offset by the benefit of federal and state R&amp;D tax credits.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3"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Future realization of existing deferred tax assets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w:t>
      </w:r>
    </w:p>
    <w:p>
      <w:pPr>
        <w:spacing w:after="0" w:line="151" w:lineRule="exact"/>
        <w:rPr>
          <w:sz w:val="20"/>
          <w:szCs w:val="20"/>
          <w:color w:val="auto"/>
        </w:rPr>
      </w:pPr>
    </w:p>
    <w:p>
      <w:pPr>
        <w:ind w:right="220" w:firstLine="509"/>
        <w:spacing w:after="0" w:line="238" w:lineRule="auto"/>
        <w:rPr>
          <w:sz w:val="20"/>
          <w:szCs w:val="20"/>
          <w:color w:val="auto"/>
        </w:rPr>
      </w:pPr>
      <w:r>
        <w:rPr>
          <w:rFonts w:ascii="Arial" w:cs="Arial" w:eastAsia="Arial" w:hAnsi="Arial"/>
          <w:sz w:val="18"/>
          <w:szCs w:val="18"/>
          <w:color w:val="auto"/>
        </w:rPr>
        <w:t>For the three and nine months ended December 31, 2021, the Company’s gross unrecognized tax benefits increased by $6.7 million and $13.1 million, respectively, including interest and penalties of an insignificant amount, which were included as a component of the provision for income taxes. In the next 12 months it is reasonably possible that the amount of unrecognized tax benefits will not change significantly.</w:t>
      </w:r>
    </w:p>
    <w:p>
      <w:pPr>
        <w:spacing w:after="0" w:line="223" w:lineRule="exact"/>
        <w:rPr>
          <w:sz w:val="20"/>
          <w:szCs w:val="20"/>
          <w:color w:val="auto"/>
        </w:rPr>
      </w:pPr>
    </w:p>
    <w:p>
      <w:pPr>
        <w:ind w:right="5220"/>
        <w:spacing w:after="0" w:line="341" w:lineRule="auto"/>
        <w:rPr>
          <w:sz w:val="20"/>
          <w:szCs w:val="20"/>
          <w:color w:val="auto"/>
        </w:rPr>
      </w:pPr>
      <w:r>
        <w:rPr>
          <w:rFonts w:ascii="Arial" w:cs="Arial" w:eastAsia="Arial" w:hAnsi="Arial"/>
          <w:sz w:val="18"/>
          <w:szCs w:val="18"/>
          <w:b w:val="1"/>
          <w:bCs w:val="1"/>
          <w:color w:val="auto"/>
        </w:rPr>
        <w:t xml:space="preserve">Note 10 — Equity Method Investments and Related-Party Transactions </w:t>
      </w:r>
      <w:r>
        <w:rPr>
          <w:rFonts w:ascii="Arial" w:cs="Arial" w:eastAsia="Arial" w:hAnsi="Arial"/>
          <w:sz w:val="18"/>
          <w:szCs w:val="18"/>
          <w:b w:val="1"/>
          <w:bCs w:val="1"/>
          <w:i w:val="1"/>
          <w:iCs w:val="1"/>
          <w:color w:val="auto"/>
        </w:rPr>
        <w:t>Euro Broadband Infrastructure Sàrl</w:t>
      </w:r>
    </w:p>
    <w:p>
      <w:pPr>
        <w:spacing w:after="0" w:line="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March 2017, the Company acquired a 49% interest in EBI for $139.5 million as part of the consummation of the Company’s strategic partnering arrangement with Eutelsat. On April 30, 2021, EBI became a consolidated subsidiary when the Company purchased the remaining 51% interest in EBI from Eutelsat (see Note 12 — Acquisitions — EBI for more information).</w:t>
      </w:r>
    </w:p>
    <w:p>
      <w:pPr>
        <w:spacing w:after="0" w:line="162" w:lineRule="exact"/>
        <w:rPr>
          <w:sz w:val="20"/>
          <w:szCs w:val="20"/>
          <w:color w:val="auto"/>
        </w:rPr>
      </w:pPr>
    </w:p>
    <w:p>
      <w:pPr>
        <w:ind w:right="80" w:firstLine="509"/>
        <w:spacing w:after="0" w:line="236" w:lineRule="auto"/>
        <w:rPr>
          <w:sz w:val="20"/>
          <w:szCs w:val="20"/>
          <w:color w:val="auto"/>
        </w:rPr>
      </w:pPr>
      <w:r>
        <w:rPr>
          <w:rFonts w:ascii="Arial" w:cs="Arial" w:eastAsia="Arial" w:hAnsi="Arial"/>
          <w:sz w:val="18"/>
          <w:szCs w:val="18"/>
          <w:color w:val="auto"/>
        </w:rPr>
        <w:t>Prior to the purchase of the remaining 51% interest on April 30, 2021, the Company’s investment in EBI was accounted for under the equity method and the total investment including basis difference allocated to tangible assets, identifiable intangible assets, deferred income taxes and goodwill, was classified as a single line item, as an investment in unconsolidated affiliate, in the Company’s condensed consolidated balance sheets. Because the underlying net assets in EBI and the related excess carrying value of investment over the proportionate share of net assets was denominated in Euros, foreign currency translation gains or losses impacted the recorded value of the Company’s investment. Prior to the purchase, the Company’s investment in EBI was presented at cost of investment plus its accumulated proportional share of income or loss, including amortization of the difference in the historical basis of the Company’s contribution, less any distributions it has received.</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difference between the Company’s carrying value of its investment in EBI and its proportionate share of the net assets of EBI as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March 31, 2021 is summarized as follows:</w:t>
      </w:r>
    </w:p>
    <w:p>
      <w:pPr>
        <w:spacing w:after="0" w:line="14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89"/>
        </w:trPr>
        <w:tc>
          <w:tcPr>
            <w:tcW w:w="6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69"/>
        </w:trPr>
        <w:tc>
          <w:tcPr>
            <w:tcW w:w="60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FF0FC"/>
          </w:tcPr>
          <w:p>
            <w:pPr>
              <w:spacing w:after="0"/>
              <w:rPr>
                <w:sz w:val="20"/>
                <w:szCs w:val="20"/>
                <w:color w:val="auto"/>
              </w:rPr>
            </w:pPr>
            <w:r>
              <w:rPr>
                <w:rFonts w:ascii="Arial" w:cs="Arial" w:eastAsia="Arial" w:hAnsi="Arial"/>
                <w:sz w:val="17"/>
                <w:szCs w:val="17"/>
                <w:color w:val="auto"/>
              </w:rPr>
              <w:t>Carrying value of investment in EBI</w:t>
            </w:r>
          </w:p>
        </w:tc>
        <w:tc>
          <w:tcPr>
            <w:tcW w:w="24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176,938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040" w:type="dxa"/>
            <w:vAlign w:val="bottom"/>
          </w:tcPr>
          <w:p>
            <w:pPr>
              <w:spacing w:after="0" w:line="169" w:lineRule="exact"/>
              <w:rPr>
                <w:sz w:val="20"/>
                <w:szCs w:val="20"/>
                <w:color w:val="auto"/>
              </w:rPr>
            </w:pPr>
            <w:r>
              <w:rPr>
                <w:rFonts w:ascii="Arial" w:cs="Arial" w:eastAsia="Arial" w:hAnsi="Arial"/>
                <w:sz w:val="17"/>
                <w:szCs w:val="17"/>
                <w:color w:val="auto"/>
              </w:rPr>
              <w:t>Less: proportionate share of net assets of Euro</w:t>
            </w:r>
          </w:p>
        </w:tc>
        <w:tc>
          <w:tcPr>
            <w:tcW w:w="2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7"/>
                <w:szCs w:val="17"/>
                <w:color w:val="auto"/>
              </w:rPr>
              <w:t>159,394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040" w:type="dxa"/>
            <w:vAlign w:val="bottom"/>
          </w:tcPr>
          <w:p>
            <w:pPr>
              <w:ind w:left="160"/>
              <w:spacing w:after="0"/>
              <w:rPr>
                <w:sz w:val="20"/>
                <w:szCs w:val="20"/>
                <w:color w:val="auto"/>
              </w:rPr>
            </w:pPr>
            <w:r>
              <w:rPr>
                <w:rFonts w:ascii="Arial" w:cs="Arial" w:eastAsia="Arial" w:hAnsi="Arial"/>
                <w:sz w:val="17"/>
                <w:szCs w:val="17"/>
                <w:color w:val="auto"/>
              </w:rPr>
              <w:t>Infrastructure Co.</w:t>
            </w: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6040" w:type="dxa"/>
            <w:vAlign w:val="bottom"/>
            <w:shd w:val="clear" w:color="auto" w:fill="CFF0FC"/>
          </w:tcPr>
          <w:p>
            <w:pPr>
              <w:ind w:left="260"/>
              <w:spacing w:after="0" w:line="163" w:lineRule="exact"/>
              <w:rPr>
                <w:sz w:val="20"/>
                <w:szCs w:val="20"/>
                <w:color w:val="auto"/>
              </w:rPr>
            </w:pPr>
            <w:r>
              <w:rPr>
                <w:rFonts w:ascii="Arial" w:cs="Arial" w:eastAsia="Arial" w:hAnsi="Arial"/>
                <w:sz w:val="17"/>
                <w:szCs w:val="17"/>
                <w:color w:val="auto"/>
              </w:rPr>
              <w:t>Excess carrying value of investment over</w:t>
            </w:r>
          </w:p>
        </w:tc>
        <w:tc>
          <w:tcPr>
            <w:tcW w:w="240" w:type="dxa"/>
            <w:vAlign w:val="bottom"/>
            <w:vMerge w:val="restart"/>
            <w:shd w:val="clear" w:color="auto" w:fill="CFF0FC"/>
          </w:tcPr>
          <w:p>
            <w:pPr>
              <w:jc w:val="right"/>
              <w:ind w:right="35"/>
              <w:spacing w:after="0"/>
              <w:rPr>
                <w:sz w:val="20"/>
                <w:szCs w:val="20"/>
                <w:color w:val="auto"/>
              </w:rPr>
            </w:pPr>
            <w:r>
              <w:rPr>
                <w:rFonts w:ascii="Arial" w:cs="Arial" w:eastAsia="Arial" w:hAnsi="Arial"/>
                <w:sz w:val="17"/>
                <w:szCs w:val="17"/>
                <w:color w:val="auto"/>
              </w:rPr>
              <w:t>$</w:t>
            </w:r>
          </w:p>
        </w:tc>
        <w:tc>
          <w:tcPr>
            <w:tcW w:w="148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17,544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040" w:type="dxa"/>
            <w:vAlign w:val="bottom"/>
            <w:tcBorders>
              <w:bottom w:val="single" w:sz="8" w:color="CFF0FC"/>
            </w:tcBorders>
            <w:shd w:val="clear" w:color="auto" w:fill="CFF0FC"/>
          </w:tcPr>
          <w:p>
            <w:pPr>
              <w:ind w:left="400"/>
              <w:spacing w:after="0" w:line="168" w:lineRule="exact"/>
              <w:rPr>
                <w:sz w:val="20"/>
                <w:szCs w:val="20"/>
                <w:color w:val="auto"/>
              </w:rPr>
            </w:pPr>
            <w:r>
              <w:rPr>
                <w:rFonts w:ascii="Arial" w:cs="Arial" w:eastAsia="Arial" w:hAnsi="Arial"/>
                <w:sz w:val="17"/>
                <w:szCs w:val="17"/>
                <w:color w:val="auto"/>
              </w:rPr>
              <w:t>proportionate share of net assets</w:t>
            </w:r>
          </w:p>
        </w:tc>
        <w:tc>
          <w:tcPr>
            <w:tcW w:w="240" w:type="dxa"/>
            <w:vAlign w:val="bottom"/>
            <w:tcBorders>
              <w:bottom w:val="single" w:sz="8" w:color="auto"/>
            </w:tcBorders>
            <w:vMerge w:val="continue"/>
            <w:shd w:val="clear" w:color="auto" w:fill="CFF0FC"/>
          </w:tcPr>
          <w:p>
            <w:pPr>
              <w:spacing w:after="0"/>
              <w:rPr>
                <w:sz w:val="18"/>
                <w:szCs w:val="18"/>
                <w:color w:val="auto"/>
              </w:rPr>
            </w:pPr>
          </w:p>
        </w:tc>
        <w:tc>
          <w:tcPr>
            <w:tcW w:w="148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040" w:type="dxa"/>
            <w:vAlign w:val="bottom"/>
          </w:tcPr>
          <w:p>
            <w:pPr>
              <w:spacing w:after="0" w:line="150" w:lineRule="exact"/>
              <w:rPr>
                <w:sz w:val="20"/>
                <w:szCs w:val="20"/>
                <w:color w:val="auto"/>
              </w:rPr>
            </w:pPr>
            <w:r>
              <w:rPr>
                <w:rFonts w:ascii="Arial" w:cs="Arial" w:eastAsia="Arial" w:hAnsi="Arial"/>
                <w:sz w:val="17"/>
                <w:szCs w:val="17"/>
                <w:color w:val="auto"/>
              </w:rPr>
              <w:t>The excess carrying value has been primarily</w:t>
            </w: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6040" w:type="dxa"/>
            <w:vAlign w:val="bottom"/>
          </w:tcPr>
          <w:p>
            <w:pPr>
              <w:ind w:left="160"/>
              <w:spacing w:after="0"/>
              <w:rPr>
                <w:sz w:val="20"/>
                <w:szCs w:val="20"/>
                <w:color w:val="auto"/>
              </w:rPr>
            </w:pPr>
            <w:r>
              <w:rPr>
                <w:rFonts w:ascii="Arial" w:cs="Arial" w:eastAsia="Arial" w:hAnsi="Arial"/>
                <w:sz w:val="17"/>
                <w:szCs w:val="17"/>
                <w:color w:val="auto"/>
              </w:rPr>
              <w:t>assigned to:</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Goodwill</w:t>
            </w:r>
          </w:p>
        </w:tc>
        <w:tc>
          <w:tcPr>
            <w:tcW w:w="24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23,978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260"/>
              <w:spacing w:after="0"/>
              <w:rPr>
                <w:sz w:val="20"/>
                <w:szCs w:val="20"/>
                <w:color w:val="auto"/>
              </w:rPr>
            </w:pPr>
            <w:r>
              <w:rPr>
                <w:rFonts w:ascii="Arial" w:cs="Arial" w:eastAsia="Arial" w:hAnsi="Arial"/>
                <w:sz w:val="17"/>
                <w:szCs w:val="17"/>
                <w:color w:val="auto"/>
              </w:rPr>
              <w:t>Identifiable intangible assets</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8,332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Tangible assets</w:t>
            </w:r>
          </w:p>
        </w:tc>
        <w:tc>
          <w:tcPr>
            <w:tcW w:w="24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(15,781 )</w:t>
            </w:r>
          </w:p>
        </w:tc>
        <w:tc>
          <w:tcPr>
            <w:tcW w:w="0" w:type="dxa"/>
            <w:vAlign w:val="bottom"/>
          </w:tcPr>
          <w:p>
            <w:pPr>
              <w:spacing w:after="0"/>
              <w:rPr>
                <w:sz w:val="1"/>
                <w:szCs w:val="1"/>
                <w:color w:val="auto"/>
              </w:rPr>
            </w:pPr>
          </w:p>
        </w:tc>
      </w:tr>
      <w:tr>
        <w:trPr>
          <w:trHeight w:val="203"/>
        </w:trPr>
        <w:tc>
          <w:tcPr>
            <w:tcW w:w="6040" w:type="dxa"/>
            <w:vAlign w:val="bottom"/>
          </w:tcPr>
          <w:p>
            <w:pPr>
              <w:ind w:left="260"/>
              <w:spacing w:after="0"/>
              <w:rPr>
                <w:sz w:val="20"/>
                <w:szCs w:val="20"/>
                <w:color w:val="auto"/>
              </w:rPr>
            </w:pPr>
            <w:r>
              <w:rPr>
                <w:rFonts w:ascii="Arial" w:cs="Arial" w:eastAsia="Arial" w:hAnsi="Arial"/>
                <w:sz w:val="17"/>
                <w:szCs w:val="17"/>
                <w:color w:val="auto"/>
              </w:rPr>
              <w:t>Deferred income taxes</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17,544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-942340</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-925195</wp:posOffset>
            </wp:positionV>
            <wp:extent cx="603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03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5"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As of March 31, 2021, the identifiable intangible assets had useful lives of up to 11 years and a weighted average useful life of approximately ten years, and tangible assets had useful lives of up to 11 years and a weighted average useful life of approximately 11 years. Goodwill is not deductible for tax purposes.</w:t>
      </w:r>
    </w:p>
    <w:p>
      <w:pPr>
        <w:spacing w:after="0" w:line="149"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The Company’s share of earnings on its investment in EBI was none and an insignificant amount for the three and nine months ended December 31, 2021, respectively, and an insignificant amount for both the three and nine months ended December 31, 2020, consisting of the Company’s share of equity in EBI’s income (loss), including amortization of the difference in the historical basis of the Company’s contribution. Prior to the purchase of the remaining 51% interest on April 30, 2021, the Company recorded its proportionate share of the results of EBI, and any related basis difference amortization expense, within equity in income of unconsolidated affiliate, net, one quarter in arrears. Subsequent to April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3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30, 2021, the results of EBI have been included within the consolidated results of the Company and will no longer be recorded in arrears with no material impact.</w:t>
      </w:r>
    </w:p>
    <w:p>
      <w:pPr>
        <w:spacing w:after="0" w:line="143" w:lineRule="exact"/>
        <w:rPr>
          <w:sz w:val="20"/>
          <w:szCs w:val="20"/>
          <w:color w:val="auto"/>
        </w:rPr>
      </w:pPr>
    </w:p>
    <w:p>
      <w:pPr>
        <w:ind w:right="620" w:firstLine="509"/>
        <w:spacing w:after="0" w:line="246" w:lineRule="auto"/>
        <w:rPr>
          <w:sz w:val="20"/>
          <w:szCs w:val="20"/>
          <w:color w:val="auto"/>
        </w:rPr>
      </w:pPr>
      <w:r>
        <w:rPr>
          <w:rFonts w:ascii="Arial" w:cs="Arial" w:eastAsia="Arial" w:hAnsi="Arial"/>
          <w:sz w:val="18"/>
          <w:szCs w:val="18"/>
          <w:color w:val="auto"/>
        </w:rPr>
        <w:t>Since acquiring its initial interest in EBI through the purchase date, the Company recorded $10.4 million in retained earnings of undistributed cumulative earnings in equity interests, net of tax, as of April 30, 2021.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99"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Transactions with the equity method investee are considered related-party transactions. In the first quarter of fiscal year 2022, the Company acquired the remaining 51% interest in its former equity method investee, EBI. Refer to Note 12 — Acquisitions — EBI for further information. The following tables set forth the material related-party transactions entered into between EBI and its subsidiaries, on the one hand, and the Company and its subsidiaries, on the other hand, in the ordinary course of business for the time periods presented:</w:t>
      </w:r>
    </w:p>
    <w:p>
      <w:pPr>
        <w:spacing w:after="0" w:line="152"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11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20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5"/>
                <w:szCs w:val="15"/>
                <w:color w:val="auto"/>
              </w:rPr>
            </w:pPr>
          </w:p>
        </w:tc>
      </w:tr>
      <w:tr>
        <w:trPr>
          <w:trHeight w:val="189"/>
        </w:trPr>
        <w:tc>
          <w:tcPr>
            <w:tcW w:w="11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right="148"/>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Pr>
          <w:p>
            <w:pPr>
              <w:spacing w:after="0"/>
              <w:rPr>
                <w:sz w:val="16"/>
                <w:szCs w:val="16"/>
                <w:color w:val="auto"/>
              </w:rPr>
            </w:pPr>
          </w:p>
        </w:tc>
      </w:tr>
      <w:tr>
        <w:trPr>
          <w:trHeight w:val="169"/>
        </w:trPr>
        <w:tc>
          <w:tcPr>
            <w:tcW w:w="11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ind w:left="1480"/>
              <w:spacing w:after="0"/>
              <w:rPr>
                <w:sz w:val="20"/>
                <w:szCs w:val="20"/>
                <w:color w:val="auto"/>
              </w:rPr>
            </w:pPr>
            <w:r>
              <w:rPr>
                <w:rFonts w:ascii="Arial" w:cs="Arial" w:eastAsia="Arial" w:hAnsi="Arial"/>
                <w:sz w:val="14"/>
                <w:szCs w:val="14"/>
                <w:b w:val="1"/>
                <w:bCs w:val="1"/>
                <w:color w:val="auto"/>
              </w:rPr>
              <w:t>(In</w:t>
            </w:r>
          </w:p>
        </w:tc>
        <w:tc>
          <w:tcPr>
            <w:tcW w:w="118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w w:val="76"/>
              </w:rPr>
              <w:t>thousands)</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56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Revenue – EBI</w:t>
            </w: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FF0FC"/>
          </w:tcPr>
          <w:p>
            <w:pPr>
              <w:jc w:val="center"/>
              <w:ind w:left="1317"/>
              <w:spacing w:after="0" w:line="202" w:lineRule="exact"/>
              <w:rPr>
                <w:sz w:val="20"/>
                <w:szCs w:val="20"/>
                <w:color w:val="auto"/>
              </w:rPr>
            </w:pPr>
            <w:r>
              <w:rPr>
                <w:rFonts w:ascii="Arial" w:cs="Arial" w:eastAsia="Arial" w:hAnsi="Arial"/>
                <w:sz w:val="18"/>
                <w:szCs w:val="18"/>
                <w:color w:val="auto"/>
                <w:w w:val="97"/>
              </w:rPr>
              <w:t>8,319</w:t>
            </w:r>
          </w:p>
        </w:tc>
        <w:tc>
          <w:tcPr>
            <w:tcW w:w="1180" w:type="dxa"/>
            <w:vAlign w:val="bottom"/>
            <w:gridSpan w:val="2"/>
            <w:shd w:val="clear" w:color="auto" w:fill="CFF0FC"/>
          </w:tcPr>
          <w:p>
            <w:pPr>
              <w:ind w:left="2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9,743</w:t>
            </w:r>
          </w:p>
        </w:tc>
        <w:tc>
          <w:tcPr>
            <w:tcW w:w="80" w:type="dxa"/>
            <w:vAlign w:val="bottom"/>
            <w:shd w:val="clear" w:color="auto" w:fill="CFF0FC"/>
          </w:tcPr>
          <w:p>
            <w:pPr>
              <w:spacing w:after="0"/>
              <w:rPr>
                <w:sz w:val="17"/>
                <w:szCs w:val="17"/>
                <w:color w:val="auto"/>
              </w:rPr>
            </w:pPr>
          </w:p>
        </w:tc>
      </w:tr>
      <w:tr>
        <w:trPr>
          <w:trHeight w:val="203"/>
        </w:trPr>
        <w:tc>
          <w:tcPr>
            <w:tcW w:w="5620" w:type="dxa"/>
            <w:vAlign w:val="bottom"/>
            <w:gridSpan w:val="2"/>
          </w:tcPr>
          <w:p>
            <w:pPr>
              <w:spacing w:after="0" w:line="202" w:lineRule="exact"/>
              <w:rPr>
                <w:sz w:val="20"/>
                <w:szCs w:val="20"/>
                <w:color w:val="auto"/>
              </w:rPr>
            </w:pPr>
            <w:r>
              <w:rPr>
                <w:rFonts w:ascii="Arial" w:cs="Arial" w:eastAsia="Arial" w:hAnsi="Arial"/>
                <w:sz w:val="18"/>
                <w:szCs w:val="18"/>
                <w:color w:val="auto"/>
              </w:rPr>
              <w:t>Expense – EBI</w:t>
            </w:r>
          </w:p>
        </w:tc>
        <w:tc>
          <w:tcPr>
            <w:tcW w:w="220" w:type="dxa"/>
            <w:vAlign w:val="bottom"/>
          </w:tcPr>
          <w:p>
            <w:pPr>
              <w:spacing w:after="0"/>
              <w:rPr>
                <w:sz w:val="17"/>
                <w:szCs w:val="17"/>
                <w:color w:val="auto"/>
              </w:rPr>
            </w:pPr>
          </w:p>
        </w:tc>
        <w:tc>
          <w:tcPr>
            <w:tcW w:w="1880" w:type="dxa"/>
            <w:vAlign w:val="bottom"/>
            <w:gridSpan w:val="2"/>
          </w:tcPr>
          <w:p>
            <w:pPr>
              <w:jc w:val="center"/>
              <w:ind w:left="1317"/>
              <w:spacing w:after="0" w:line="202" w:lineRule="exact"/>
              <w:rPr>
                <w:sz w:val="20"/>
                <w:szCs w:val="20"/>
                <w:color w:val="auto"/>
              </w:rPr>
            </w:pPr>
            <w:r>
              <w:rPr>
                <w:rFonts w:ascii="Arial" w:cs="Arial" w:eastAsia="Arial" w:hAnsi="Arial"/>
                <w:sz w:val="18"/>
                <w:szCs w:val="18"/>
                <w:color w:val="auto"/>
                <w:w w:val="97"/>
              </w:rPr>
              <w:t>4,163</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12,331</w:t>
            </w:r>
          </w:p>
        </w:tc>
        <w:tc>
          <w:tcPr>
            <w:tcW w:w="80" w:type="dxa"/>
            <w:vAlign w:val="bottom"/>
          </w:tcPr>
          <w:p>
            <w:pPr>
              <w:spacing w:after="0"/>
              <w:rPr>
                <w:sz w:val="17"/>
                <w:szCs w:val="17"/>
                <w:color w:val="auto"/>
              </w:rPr>
            </w:pPr>
          </w:p>
        </w:tc>
      </w:tr>
      <w:tr>
        <w:trPr>
          <w:trHeight w:val="203"/>
        </w:trPr>
        <w:tc>
          <w:tcPr>
            <w:tcW w:w="56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Cash received – EBI</w:t>
            </w:r>
          </w:p>
        </w:tc>
        <w:tc>
          <w:tcPr>
            <w:tcW w:w="22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center"/>
              <w:ind w:left="1317"/>
              <w:spacing w:after="0" w:line="202" w:lineRule="exact"/>
              <w:rPr>
                <w:sz w:val="20"/>
                <w:szCs w:val="20"/>
                <w:color w:val="auto"/>
              </w:rPr>
            </w:pPr>
            <w:r>
              <w:rPr>
                <w:rFonts w:ascii="Arial" w:cs="Arial" w:eastAsia="Arial" w:hAnsi="Arial"/>
                <w:sz w:val="18"/>
                <w:szCs w:val="18"/>
                <w:color w:val="auto"/>
                <w:w w:val="97"/>
              </w:rPr>
              <w:t>1,773</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9,995</w:t>
            </w:r>
          </w:p>
        </w:tc>
        <w:tc>
          <w:tcPr>
            <w:tcW w:w="80" w:type="dxa"/>
            <w:vAlign w:val="bottom"/>
            <w:shd w:val="clear" w:color="auto" w:fill="CFF0FC"/>
          </w:tcPr>
          <w:p>
            <w:pPr>
              <w:spacing w:after="0"/>
              <w:rPr>
                <w:sz w:val="17"/>
                <w:szCs w:val="17"/>
                <w:color w:val="auto"/>
              </w:rPr>
            </w:pPr>
          </w:p>
        </w:tc>
      </w:tr>
      <w:tr>
        <w:trPr>
          <w:trHeight w:val="217"/>
        </w:trPr>
        <w:tc>
          <w:tcPr>
            <w:tcW w:w="5620" w:type="dxa"/>
            <w:vAlign w:val="bottom"/>
            <w:gridSpan w:val="2"/>
          </w:tcPr>
          <w:p>
            <w:pPr>
              <w:spacing w:after="0"/>
              <w:rPr>
                <w:sz w:val="20"/>
                <w:szCs w:val="20"/>
                <w:color w:val="auto"/>
              </w:rPr>
            </w:pPr>
            <w:r>
              <w:rPr>
                <w:rFonts w:ascii="Arial" w:cs="Arial" w:eastAsia="Arial" w:hAnsi="Arial"/>
                <w:sz w:val="18"/>
                <w:szCs w:val="18"/>
                <w:color w:val="auto"/>
              </w:rPr>
              <w:t>Cash paid – EBI</w:t>
            </w:r>
          </w:p>
        </w:tc>
        <w:tc>
          <w:tcPr>
            <w:tcW w:w="220" w:type="dxa"/>
            <w:vAlign w:val="bottom"/>
          </w:tcPr>
          <w:p>
            <w:pPr>
              <w:spacing w:after="0"/>
              <w:rPr>
                <w:sz w:val="18"/>
                <w:szCs w:val="18"/>
                <w:color w:val="auto"/>
              </w:rPr>
            </w:pPr>
          </w:p>
        </w:tc>
        <w:tc>
          <w:tcPr>
            <w:tcW w:w="1880" w:type="dxa"/>
            <w:vAlign w:val="bottom"/>
            <w:gridSpan w:val="2"/>
          </w:tcPr>
          <w:p>
            <w:pPr>
              <w:jc w:val="center"/>
              <w:ind w:left="1317"/>
              <w:spacing w:after="0"/>
              <w:rPr>
                <w:sz w:val="20"/>
                <w:szCs w:val="20"/>
                <w:color w:val="auto"/>
              </w:rPr>
            </w:pPr>
            <w:r>
              <w:rPr>
                <w:rFonts w:ascii="Arial" w:cs="Arial" w:eastAsia="Arial" w:hAnsi="Arial"/>
                <w:sz w:val="18"/>
                <w:szCs w:val="18"/>
                <w:color w:val="auto"/>
                <w:w w:val="97"/>
              </w:rPr>
              <w:t>7,867</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20,947</w:t>
            </w:r>
          </w:p>
        </w:tc>
        <w:tc>
          <w:tcPr>
            <w:tcW w:w="80" w:type="dxa"/>
            <w:vAlign w:val="bottom"/>
          </w:tcPr>
          <w:p>
            <w:pPr>
              <w:spacing w:after="0"/>
              <w:rPr>
                <w:sz w:val="18"/>
                <w:szCs w:val="18"/>
                <w:color w:val="auto"/>
              </w:rPr>
            </w:pPr>
          </w:p>
        </w:tc>
      </w:tr>
      <w:tr>
        <w:trPr>
          <w:trHeight w:val="296"/>
        </w:trPr>
        <w:tc>
          <w:tcPr>
            <w:tcW w:w="11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ind w:left="4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9"/>
        </w:trPr>
        <w:tc>
          <w:tcPr>
            <w:tcW w:w="11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March 31, 2021</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11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1120" w:type="dxa"/>
            <w:vAlign w:val="bottom"/>
          </w:tcPr>
          <w:p>
            <w:pPr>
              <w:spacing w:after="0"/>
              <w:rPr>
                <w:sz w:val="15"/>
                <w:szCs w:val="15"/>
                <w:color w:val="auto"/>
              </w:rPr>
            </w:pPr>
          </w:p>
        </w:tc>
        <w:tc>
          <w:tcPr>
            <w:tcW w:w="4500" w:type="dxa"/>
            <w:vAlign w:val="bottom"/>
            <w:shd w:val="clear" w:color="auto" w:fill="CFF0FC"/>
          </w:tcPr>
          <w:p>
            <w:pPr>
              <w:spacing w:after="0" w:line="175" w:lineRule="exact"/>
              <w:rPr>
                <w:sz w:val="20"/>
                <w:szCs w:val="20"/>
                <w:color w:val="auto"/>
              </w:rPr>
            </w:pPr>
            <w:r>
              <w:rPr>
                <w:rFonts w:ascii="Arial" w:cs="Arial" w:eastAsia="Arial" w:hAnsi="Arial"/>
                <w:sz w:val="18"/>
                <w:szCs w:val="18"/>
                <w:color w:val="auto"/>
              </w:rPr>
              <w:t>Collections in excess of revenues and deferred</w:t>
            </w:r>
          </w:p>
        </w:tc>
        <w:tc>
          <w:tcPr>
            <w:tcW w:w="22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1120" w:type="dxa"/>
            <w:vAlign w:val="bottom"/>
          </w:tcPr>
          <w:p>
            <w:pPr>
              <w:spacing w:after="0"/>
              <w:rPr>
                <w:sz w:val="17"/>
                <w:szCs w:val="17"/>
                <w:color w:val="auto"/>
              </w:rPr>
            </w:pPr>
          </w:p>
        </w:tc>
        <w:tc>
          <w:tcPr>
            <w:tcW w:w="45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revenues – EBI</w:t>
            </w:r>
          </w:p>
        </w:tc>
        <w:tc>
          <w:tcPr>
            <w:tcW w:w="22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center"/>
              <w:ind w:left="1297"/>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6,013</w:t>
            </w:r>
          </w:p>
        </w:tc>
        <w:tc>
          <w:tcPr>
            <w:tcW w:w="80" w:type="dxa"/>
            <w:vAlign w:val="bottom"/>
            <w:shd w:val="clear" w:color="auto" w:fill="CFF0FC"/>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5123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 Amount was insignificant.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satellite-based broadband and related services to residential customers, Community Internet hotspot users, enterprises, commercial airlines and other mobile broadband customers. The Company’s commercial networks segment develops and offers advanced satellite and wireless broadband platforms, ground networking equipment, radio frequency and advanced microwave solutions, Application-Specific Integrated Circuit chip design, satellite payload development and space-to-earth connectivity systems, some of which are ultimately used by the Company’s satellite services segment. The Company’s government systems segment provides global mobile broadband services to military and government users and develops and offers network-centric, internet protocol-based fixed and mobile secure communications products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Segment revenues and operating profits (losses) for the three and nine months ended December 31, 2021 and 2020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2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336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80" w:type="dxa"/>
            <w:vAlign w:val="bottom"/>
            <w:gridSpan w:val="5"/>
          </w:tcPr>
          <w:p>
            <w:pPr>
              <w:jc w:val="right"/>
              <w:ind w:right="14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Revenues:</w:t>
            </w: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80"/>
              <w:spacing w:after="0" w:line="202" w:lineRule="exact"/>
              <w:rPr>
                <w:sz w:val="20"/>
                <w:szCs w:val="20"/>
                <w:color w:val="auto"/>
              </w:rPr>
            </w:pPr>
            <w:r>
              <w:rPr>
                <w:rFonts w:ascii="Arial" w:cs="Arial" w:eastAsia="Arial" w:hAnsi="Arial"/>
                <w:sz w:val="18"/>
                <w:szCs w:val="18"/>
                <w:color w:val="auto"/>
              </w:rPr>
              <w:t>Satellite services</w:t>
            </w: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Product</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80" w:type="dxa"/>
            <w:vAlign w:val="bottom"/>
          </w:tcPr>
          <w:p>
            <w:pPr>
              <w:ind w:left="520"/>
              <w:spacing w:after="0" w:line="202" w:lineRule="exact"/>
              <w:rPr>
                <w:sz w:val="20"/>
                <w:szCs w:val="20"/>
                <w:color w:val="auto"/>
              </w:rPr>
            </w:pPr>
            <w:r>
              <w:rPr>
                <w:rFonts w:ascii="Arial" w:cs="Arial" w:eastAsia="Arial" w:hAnsi="Arial"/>
                <w:sz w:val="18"/>
                <w:szCs w:val="18"/>
                <w:color w:val="auto"/>
              </w:rPr>
              <w:t>Service</w:t>
            </w: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309,711</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220,789</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883,938</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638,660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80" w:type="dxa"/>
            <w:vAlign w:val="bottom"/>
            <w:shd w:val="clear" w:color="auto" w:fill="CFF0FC"/>
          </w:tcPr>
          <w:p>
            <w:pPr>
              <w:ind w:left="780"/>
              <w:spacing w:after="0" w:line="196" w:lineRule="exact"/>
              <w:rPr>
                <w:sz w:val="20"/>
                <w:szCs w:val="20"/>
                <w:color w:val="auto"/>
              </w:rPr>
            </w:pPr>
            <w:r>
              <w:rPr>
                <w:rFonts w:ascii="Arial" w:cs="Arial" w:eastAsia="Arial" w:hAnsi="Arial"/>
                <w:sz w:val="18"/>
                <w:szCs w:val="18"/>
                <w:color w:val="auto"/>
              </w:rPr>
              <w:t>Total</w:t>
            </w: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309,711</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220,789</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883,938</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638,660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80"/>
              <w:spacing w:after="0" w:line="202" w:lineRule="exact"/>
              <w:rPr>
                <w:sz w:val="20"/>
                <w:szCs w:val="20"/>
                <w:color w:val="auto"/>
              </w:rPr>
            </w:pPr>
            <w:r>
              <w:rPr>
                <w:rFonts w:ascii="Arial" w:cs="Arial" w:eastAsia="Arial" w:hAnsi="Arial"/>
                <w:sz w:val="18"/>
                <w:szCs w:val="18"/>
                <w:color w:val="auto"/>
              </w:rPr>
              <w:t>Commercial networks</w:t>
            </w: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Product</w:t>
            </w: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123,059</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75,690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343,525</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197,560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520"/>
              <w:spacing w:after="0" w:line="202" w:lineRule="exact"/>
              <w:rPr>
                <w:sz w:val="20"/>
                <w:szCs w:val="20"/>
                <w:color w:val="auto"/>
              </w:rPr>
            </w:pPr>
            <w:r>
              <w:rPr>
                <w:rFonts w:ascii="Arial" w:cs="Arial" w:eastAsia="Arial" w:hAnsi="Arial"/>
                <w:sz w:val="18"/>
                <w:szCs w:val="18"/>
                <w:color w:val="auto"/>
              </w:rPr>
              <w:t>Service</w:t>
            </w: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16,618</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14,409</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49,554</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38,561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80" w:type="dxa"/>
            <w:vAlign w:val="bottom"/>
            <w:shd w:val="clear" w:color="auto" w:fill="CFF0FC"/>
          </w:tcPr>
          <w:p>
            <w:pPr>
              <w:ind w:left="780"/>
              <w:spacing w:after="0" w:line="196" w:lineRule="exact"/>
              <w:rPr>
                <w:sz w:val="20"/>
                <w:szCs w:val="20"/>
                <w:color w:val="auto"/>
              </w:rPr>
            </w:pPr>
            <w:r>
              <w:rPr>
                <w:rFonts w:ascii="Arial" w:cs="Arial" w:eastAsia="Arial" w:hAnsi="Arial"/>
                <w:sz w:val="18"/>
                <w:szCs w:val="18"/>
                <w:color w:val="auto"/>
              </w:rPr>
              <w:t>Total</w:t>
            </w: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139,677</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90,099</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393,079</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236,121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80"/>
              <w:spacing w:after="0" w:line="202" w:lineRule="exact"/>
              <w:rPr>
                <w:sz w:val="20"/>
                <w:szCs w:val="20"/>
                <w:color w:val="auto"/>
              </w:rPr>
            </w:pPr>
            <w:r>
              <w:rPr>
                <w:rFonts w:ascii="Arial" w:cs="Arial" w:eastAsia="Arial" w:hAnsi="Arial"/>
                <w:sz w:val="18"/>
                <w:szCs w:val="18"/>
                <w:color w:val="auto"/>
              </w:rPr>
              <w:t>Government systems</w:t>
            </w: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Product</w:t>
            </w: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193,084</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190,824</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574,548</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575,568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520"/>
              <w:spacing w:after="0" w:line="202" w:lineRule="exact"/>
              <w:rPr>
                <w:sz w:val="20"/>
                <w:szCs w:val="20"/>
                <w:color w:val="auto"/>
              </w:rPr>
            </w:pPr>
            <w:r>
              <w:rPr>
                <w:rFonts w:ascii="Arial" w:cs="Arial" w:eastAsia="Arial" w:hAnsi="Arial"/>
                <w:sz w:val="18"/>
                <w:szCs w:val="18"/>
                <w:color w:val="auto"/>
              </w:rPr>
              <w:t>Service</w:t>
            </w: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77,245</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73,847</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234,366</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209,976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80" w:type="dxa"/>
            <w:vAlign w:val="bottom"/>
            <w:shd w:val="clear" w:color="auto" w:fill="CFF0FC"/>
          </w:tcPr>
          <w:p>
            <w:pPr>
              <w:ind w:left="780"/>
              <w:spacing w:after="0" w:line="196" w:lineRule="exact"/>
              <w:rPr>
                <w:sz w:val="20"/>
                <w:szCs w:val="20"/>
                <w:color w:val="auto"/>
              </w:rPr>
            </w:pPr>
            <w:r>
              <w:rPr>
                <w:rFonts w:ascii="Arial" w:cs="Arial" w:eastAsia="Arial" w:hAnsi="Arial"/>
                <w:sz w:val="18"/>
                <w:szCs w:val="18"/>
                <w:color w:val="auto"/>
              </w:rPr>
              <w:t>Total</w:t>
            </w: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270,329</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264,671</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808,914</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785,544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80"/>
              <w:spacing w:after="0" w:line="202" w:lineRule="exact"/>
              <w:rPr>
                <w:sz w:val="20"/>
                <w:szCs w:val="20"/>
                <w:color w:val="auto"/>
              </w:rPr>
            </w:pPr>
            <w:r>
              <w:rPr>
                <w:rFonts w:ascii="Arial" w:cs="Arial" w:eastAsia="Arial" w:hAnsi="Arial"/>
                <w:sz w:val="18"/>
                <w:szCs w:val="18"/>
                <w:color w:val="auto"/>
              </w:rPr>
              <w:t>Elimination of intersegment revenues</w:t>
            </w:r>
          </w:p>
        </w:tc>
        <w:tc>
          <w:tcPr>
            <w:tcW w:w="140" w:type="dxa"/>
            <w:vAlign w:val="bottom"/>
          </w:tcPr>
          <w:p>
            <w:pPr>
              <w:spacing w:after="0"/>
              <w:rPr>
                <w:sz w:val="17"/>
                <w:szCs w:val="17"/>
                <w:color w:val="auto"/>
              </w:rPr>
            </w:pPr>
          </w:p>
        </w:tc>
        <w:tc>
          <w:tcPr>
            <w:tcW w:w="17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0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719,717</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575,559</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2,085,931</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1,660,325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profits (losses):</w:t>
            </w: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80"/>
              <w:spacing w:after="0" w:line="202" w:lineRule="exact"/>
              <w:rPr>
                <w:sz w:val="20"/>
                <w:szCs w:val="20"/>
                <w:color w:val="auto"/>
              </w:rPr>
            </w:pPr>
            <w:r>
              <w:rPr>
                <w:rFonts w:ascii="Arial" w:cs="Arial" w:eastAsia="Arial" w:hAnsi="Arial"/>
                <w:sz w:val="18"/>
                <w:szCs w:val="18"/>
                <w:color w:val="auto"/>
              </w:rPr>
              <w:t>Satellite services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14,152</w:t>
            </w:r>
          </w:p>
        </w:tc>
        <w:tc>
          <w:tcPr>
            <w:tcW w:w="2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11,457</w:t>
            </w:r>
          </w:p>
        </w:tc>
        <w:tc>
          <w:tcPr>
            <w:tcW w:w="20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43,711</w:t>
            </w:r>
          </w:p>
        </w:tc>
        <w:tc>
          <w:tcPr>
            <w:tcW w:w="20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21,083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Commercial networks</w:t>
            </w:r>
          </w:p>
        </w:tc>
        <w:tc>
          <w:tcPr>
            <w:tcW w:w="14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(44,572 )</w:t>
            </w:r>
          </w:p>
        </w:tc>
        <w:tc>
          <w:tcPr>
            <w:tcW w:w="1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(39,028 )</w:t>
            </w:r>
          </w:p>
        </w:tc>
        <w:tc>
          <w:tcPr>
            <w:tcW w:w="14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(127,601 )</w:t>
            </w:r>
          </w:p>
        </w:tc>
        <w:tc>
          <w:tcPr>
            <w:tcW w:w="1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(135,785 )</w:t>
            </w:r>
          </w:p>
        </w:tc>
        <w:tc>
          <w:tcPr>
            <w:tcW w:w="0" w:type="dxa"/>
            <w:vAlign w:val="bottom"/>
          </w:tcPr>
          <w:p>
            <w:pPr>
              <w:spacing w:after="0"/>
              <w:rPr>
                <w:sz w:val="1"/>
                <w:szCs w:val="1"/>
                <w:color w:val="auto"/>
              </w:rPr>
            </w:pPr>
          </w:p>
        </w:tc>
      </w:tr>
      <w:tr>
        <w:trPr>
          <w:trHeight w:val="203"/>
        </w:trPr>
        <w:tc>
          <w:tcPr>
            <w:tcW w:w="4080" w:type="dxa"/>
            <w:vAlign w:val="bottom"/>
          </w:tcPr>
          <w:p>
            <w:pPr>
              <w:ind w:left="280"/>
              <w:spacing w:after="0" w:line="202" w:lineRule="exact"/>
              <w:rPr>
                <w:sz w:val="20"/>
                <w:szCs w:val="20"/>
                <w:color w:val="auto"/>
              </w:rPr>
            </w:pPr>
            <w:r>
              <w:rPr>
                <w:rFonts w:ascii="Arial" w:cs="Arial" w:eastAsia="Arial" w:hAnsi="Arial"/>
                <w:sz w:val="18"/>
                <w:szCs w:val="18"/>
                <w:color w:val="auto"/>
              </w:rPr>
              <w:t>Government systems</w:t>
            </w:r>
          </w:p>
        </w:tc>
        <w:tc>
          <w:tcPr>
            <w:tcW w:w="14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42,478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50,644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133,866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148,002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80" w:type="dxa"/>
            <w:vAlign w:val="bottom"/>
            <w:shd w:val="clear" w:color="auto" w:fill="CFF0FC"/>
          </w:tcPr>
          <w:p>
            <w:pPr>
              <w:ind w:left="280"/>
              <w:spacing w:after="0" w:line="175" w:lineRule="exact"/>
              <w:rPr>
                <w:sz w:val="20"/>
                <w:szCs w:val="20"/>
                <w:color w:val="auto"/>
              </w:rPr>
            </w:pPr>
            <w:r>
              <w:rPr>
                <w:rFonts w:ascii="Arial" w:cs="Arial" w:eastAsia="Arial" w:hAnsi="Arial"/>
                <w:sz w:val="18"/>
                <w:szCs w:val="18"/>
                <w:color w:val="auto"/>
              </w:rPr>
              <w:t>Elimination of intersegment operating</w:t>
            </w:r>
          </w:p>
        </w:tc>
        <w:tc>
          <w:tcPr>
            <w:tcW w:w="140" w:type="dxa"/>
            <w:vAlign w:val="bottom"/>
            <w:shd w:val="clear" w:color="auto" w:fill="CFF0FC"/>
          </w:tcPr>
          <w:p>
            <w:pPr>
              <w:spacing w:after="0"/>
              <w:rPr>
                <w:sz w:val="15"/>
                <w:szCs w:val="15"/>
                <w:color w:val="auto"/>
              </w:rPr>
            </w:pPr>
          </w:p>
        </w:tc>
        <w:tc>
          <w:tcPr>
            <w:tcW w:w="172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5"/>
                <w:szCs w:val="15"/>
                <w:color w:val="auto"/>
              </w:rPr>
            </w:pPr>
          </w:p>
        </w:tc>
        <w:tc>
          <w:tcPr>
            <w:tcW w:w="16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5"/>
                <w:szCs w:val="15"/>
                <w:color w:val="auto"/>
              </w:rPr>
            </w:pPr>
          </w:p>
        </w:tc>
        <w:tc>
          <w:tcPr>
            <w:tcW w:w="16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5"/>
                <w:szCs w:val="15"/>
                <w:color w:val="auto"/>
              </w:rPr>
            </w:pPr>
          </w:p>
        </w:tc>
        <w:tc>
          <w:tcPr>
            <w:tcW w:w="15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4080" w:type="dxa"/>
            <w:vAlign w:val="bottom"/>
            <w:shd w:val="clear" w:color="auto" w:fill="CFF0FC"/>
          </w:tcPr>
          <w:p>
            <w:pPr>
              <w:ind w:left="420"/>
              <w:spacing w:after="0" w:line="190" w:lineRule="exact"/>
              <w:rPr>
                <w:sz w:val="20"/>
                <w:szCs w:val="20"/>
                <w:color w:val="auto"/>
              </w:rPr>
            </w:pPr>
            <w:r>
              <w:rPr>
                <w:rFonts w:ascii="Arial" w:cs="Arial" w:eastAsia="Arial" w:hAnsi="Arial"/>
                <w:sz w:val="18"/>
                <w:szCs w:val="18"/>
                <w:color w:val="auto"/>
              </w:rPr>
              <w:t>profits</w:t>
            </w:r>
          </w:p>
        </w:tc>
        <w:tc>
          <w:tcPr>
            <w:tcW w:w="140" w:type="dxa"/>
            <w:vAlign w:val="bottom"/>
            <w:shd w:val="clear" w:color="auto" w:fill="CFF0FC"/>
          </w:tcPr>
          <w:p>
            <w:pPr>
              <w:spacing w:after="0"/>
              <w:rPr>
                <w:sz w:val="16"/>
                <w:szCs w:val="16"/>
                <w:color w:val="auto"/>
              </w:rPr>
            </w:pPr>
          </w:p>
        </w:tc>
        <w:tc>
          <w:tcPr>
            <w:tcW w:w="17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8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6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080" w:type="dxa"/>
            <w:vAlign w:val="bottom"/>
            <w:tcBorders>
              <w:top w:val="single" w:sz="8" w:color="CFF0FC"/>
            </w:tcBorders>
          </w:tcPr>
          <w:p>
            <w:pPr>
              <w:ind w:left="20"/>
              <w:spacing w:after="0" w:line="168" w:lineRule="exact"/>
              <w:rPr>
                <w:sz w:val="20"/>
                <w:szCs w:val="20"/>
                <w:color w:val="auto"/>
              </w:rPr>
            </w:pPr>
            <w:r>
              <w:rPr>
                <w:rFonts w:ascii="Arial" w:cs="Arial" w:eastAsia="Arial" w:hAnsi="Arial"/>
                <w:sz w:val="18"/>
                <w:szCs w:val="18"/>
                <w:color w:val="auto"/>
              </w:rPr>
              <w:t>Segment operating profit before corporate</w:t>
            </w:r>
          </w:p>
        </w:tc>
        <w:tc>
          <w:tcPr>
            <w:tcW w:w="1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80" w:type="dxa"/>
            <w:vAlign w:val="bottom"/>
          </w:tcPr>
          <w:p>
            <w:pPr>
              <w:ind w:left="180"/>
              <w:spacing w:after="0" w:line="176" w:lineRule="exact"/>
              <w:rPr>
                <w:sz w:val="20"/>
                <w:szCs w:val="20"/>
                <w:color w:val="auto"/>
              </w:rPr>
            </w:pPr>
            <w:r>
              <w:rPr>
                <w:rFonts w:ascii="Arial" w:cs="Arial" w:eastAsia="Arial" w:hAnsi="Arial"/>
                <w:sz w:val="18"/>
                <w:szCs w:val="18"/>
                <w:color w:val="auto"/>
              </w:rPr>
              <w:t>and amortization of acquired intangible</w:t>
            </w: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180"/>
              <w:spacing w:after="0" w:line="203" w:lineRule="exact"/>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Arial" w:cs="Arial" w:eastAsia="Arial" w:hAnsi="Arial"/>
                <w:sz w:val="18"/>
                <w:szCs w:val="18"/>
                <w:color w:val="auto"/>
              </w:rPr>
              <w:t>12,058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Arial" w:cs="Arial" w:eastAsia="Arial" w:hAnsi="Arial"/>
                <w:sz w:val="18"/>
                <w:szCs w:val="18"/>
                <w:color w:val="auto"/>
              </w:rPr>
              <w:t>23,073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Arial" w:cs="Arial" w:eastAsia="Arial" w:hAnsi="Arial"/>
                <w:sz w:val="18"/>
                <w:szCs w:val="18"/>
                <w:color w:val="auto"/>
              </w:rPr>
              <w:t>49,976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Arial" w:cs="Arial" w:eastAsia="Arial" w:hAnsi="Arial"/>
                <w:sz w:val="18"/>
                <w:szCs w:val="18"/>
                <w:color w:val="auto"/>
              </w:rPr>
              <w:t>33,300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Corporate</w:t>
            </w:r>
          </w:p>
        </w:tc>
        <w:tc>
          <w:tcPr>
            <w:tcW w:w="14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080" w:type="dxa"/>
            <w:vAlign w:val="bottom"/>
          </w:tcPr>
          <w:p>
            <w:pPr>
              <w:ind w:left="280"/>
              <w:spacing w:after="0" w:line="175" w:lineRule="exact"/>
              <w:rPr>
                <w:sz w:val="20"/>
                <w:szCs w:val="20"/>
                <w:color w:val="auto"/>
              </w:rPr>
            </w:pPr>
            <w:r>
              <w:rPr>
                <w:rFonts w:ascii="Arial" w:cs="Arial" w:eastAsia="Arial" w:hAnsi="Arial"/>
                <w:sz w:val="18"/>
                <w:szCs w:val="18"/>
                <w:color w:val="auto"/>
              </w:rPr>
              <w:t>Amortization of acquired intangible</w:t>
            </w:r>
          </w:p>
        </w:tc>
        <w:tc>
          <w:tcPr>
            <w:tcW w:w="140" w:type="dxa"/>
            <w:vAlign w:val="bottom"/>
          </w:tcPr>
          <w:p>
            <w:pPr>
              <w:spacing w:after="0"/>
              <w:rPr>
                <w:sz w:val="15"/>
                <w:szCs w:val="15"/>
                <w:color w:val="auto"/>
              </w:rPr>
            </w:pPr>
          </w:p>
        </w:tc>
        <w:tc>
          <w:tcPr>
            <w:tcW w:w="1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(7,531 )</w:t>
            </w:r>
          </w:p>
        </w:tc>
        <w:tc>
          <w:tcPr>
            <w:tcW w:w="120" w:type="dxa"/>
            <w:vAlign w:val="bottom"/>
          </w:tcPr>
          <w:p>
            <w:pPr>
              <w:spacing w:after="0"/>
              <w:rPr>
                <w:sz w:val="15"/>
                <w:szCs w:val="15"/>
                <w:color w:val="auto"/>
              </w:rPr>
            </w:pPr>
          </w:p>
        </w:tc>
        <w:tc>
          <w:tcPr>
            <w:tcW w:w="16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(1,313 )</w:t>
            </w:r>
          </w:p>
        </w:tc>
        <w:tc>
          <w:tcPr>
            <w:tcW w:w="140" w:type="dxa"/>
            <w:vAlign w:val="bottom"/>
          </w:tcPr>
          <w:p>
            <w:pPr>
              <w:spacing w:after="0"/>
              <w:rPr>
                <w:sz w:val="15"/>
                <w:szCs w:val="15"/>
                <w:color w:val="auto"/>
              </w:rPr>
            </w:pPr>
          </w:p>
        </w:tc>
        <w:tc>
          <w:tcPr>
            <w:tcW w:w="16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(20,859 )</w:t>
            </w:r>
          </w:p>
        </w:tc>
        <w:tc>
          <w:tcPr>
            <w:tcW w:w="140" w:type="dxa"/>
            <w:vAlign w:val="bottom"/>
          </w:tcPr>
          <w:p>
            <w:pPr>
              <w:spacing w:after="0"/>
              <w:rPr>
                <w:sz w:val="15"/>
                <w:szCs w:val="15"/>
                <w:color w:val="auto"/>
              </w:rPr>
            </w:pPr>
          </w:p>
        </w:tc>
        <w:tc>
          <w:tcPr>
            <w:tcW w:w="15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(4,171 )</w:t>
            </w:r>
          </w:p>
        </w:tc>
        <w:tc>
          <w:tcPr>
            <w:tcW w:w="0" w:type="dxa"/>
            <w:vAlign w:val="bottom"/>
          </w:tcPr>
          <w:p>
            <w:pPr>
              <w:spacing w:after="0"/>
              <w:rPr>
                <w:sz w:val="1"/>
                <w:szCs w:val="1"/>
                <w:color w:val="auto"/>
              </w:rPr>
            </w:pPr>
          </w:p>
        </w:tc>
      </w:tr>
      <w:tr>
        <w:trPr>
          <w:trHeight w:val="190"/>
        </w:trPr>
        <w:tc>
          <w:tcPr>
            <w:tcW w:w="4080" w:type="dxa"/>
            <w:vAlign w:val="bottom"/>
          </w:tcPr>
          <w:p>
            <w:pPr>
              <w:ind w:left="420"/>
              <w:spacing w:after="0" w:line="190" w:lineRule="exact"/>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from operations</w:t>
            </w: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4,527</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21,760</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29,117</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29,129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-1782445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-1765300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-1782445</wp:posOffset>
            </wp:positionV>
            <wp:extent cx="60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-1765300</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-1782445</wp:posOffset>
            </wp:positionV>
            <wp:extent cx="603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-1765300</wp:posOffset>
            </wp:positionV>
            <wp:extent cx="603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-1782445</wp:posOffset>
            </wp:positionV>
            <wp:extent cx="596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-1765300</wp:posOffset>
            </wp:positionV>
            <wp:extent cx="596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-879475</wp:posOffset>
            </wp:positionV>
            <wp:extent cx="6858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-879475</wp:posOffset>
            </wp:positionV>
            <wp:extent cx="6032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-879475</wp:posOffset>
            </wp:positionV>
            <wp:extent cx="6032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-879475</wp:posOffset>
            </wp:positionV>
            <wp:extent cx="5969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-24765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-8255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-8255</wp:posOffset>
            </wp:positionV>
            <wp:extent cx="603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03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603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55" w:lineRule="exact"/>
        <w:rPr>
          <w:sz w:val="20"/>
          <w:szCs w:val="20"/>
          <w:color w:val="auto"/>
        </w:rPr>
      </w:pPr>
    </w:p>
    <w:p>
      <w:pPr>
        <w:ind w:right="220" w:firstLine="509"/>
        <w:spacing w:after="0" w:line="238"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The Company’s property and equipment, including its satellites, earth stations and other networking equipment, are assigned to corporate assets as they are available for use by the various segments throughout their estimated useful lives. Segment assets as of December 31, 2021 and March 31, 2021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jc w:val="right"/>
              <w:ind w:right="639"/>
              <w:spacing w:after="0"/>
              <w:rPr>
                <w:sz w:val="20"/>
                <w:szCs w:val="20"/>
                <w:color w:val="auto"/>
              </w:rPr>
            </w:pPr>
            <w:r>
              <w:rPr>
                <w:rFonts w:ascii="Arial" w:cs="Arial" w:eastAsia="Arial" w:hAnsi="Arial"/>
                <w:sz w:val="13"/>
                <w:szCs w:val="13"/>
                <w:b w:val="1"/>
                <w:bCs w:val="1"/>
                <w:color w:val="auto"/>
              </w:rPr>
              <w:t>As of</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ind w:right="557"/>
              <w:spacing w:after="0"/>
              <w:rPr>
                <w:sz w:val="20"/>
                <w:szCs w:val="20"/>
                <w:color w:val="auto"/>
              </w:rPr>
            </w:pPr>
            <w:r>
              <w:rPr>
                <w:rFonts w:ascii="Arial" w:cs="Arial" w:eastAsia="Arial" w:hAnsi="Arial"/>
                <w:sz w:val="13"/>
                <w:szCs w:val="13"/>
                <w:b w:val="1"/>
                <w:bCs w:val="1"/>
                <w:color w:val="auto"/>
              </w:rPr>
              <w:t>As of</w:t>
            </w:r>
          </w:p>
        </w:tc>
        <w:tc>
          <w:tcPr>
            <w:tcW w:w="1120" w:type="dxa"/>
            <w:vAlign w:val="bottom"/>
          </w:tcPr>
          <w:p>
            <w:pPr>
              <w:spacing w:after="0"/>
              <w:rPr>
                <w:sz w:val="12"/>
                <w:szCs w:val="12"/>
                <w:color w:val="auto"/>
              </w:rPr>
            </w:pPr>
          </w:p>
        </w:tc>
      </w:tr>
      <w:tr>
        <w:trPr>
          <w:trHeight w:val="162"/>
        </w:trPr>
        <w:tc>
          <w:tcPr>
            <w:tcW w:w="11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rPr>
              <w:t>December 31, 2021</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w w:val="99"/>
              </w:rPr>
              <w:t>March 31, 2021</w:t>
            </w:r>
          </w:p>
        </w:tc>
        <w:tc>
          <w:tcPr>
            <w:tcW w:w="1120" w:type="dxa"/>
            <w:vAlign w:val="bottom"/>
          </w:tcPr>
          <w:p>
            <w:pPr>
              <w:spacing w:after="0"/>
              <w:rPr>
                <w:sz w:val="14"/>
                <w:szCs w:val="14"/>
                <w:color w:val="auto"/>
              </w:rPr>
            </w:pPr>
          </w:p>
        </w:tc>
      </w:tr>
      <w:tr>
        <w:trPr>
          <w:trHeight w:val="142"/>
        </w:trPr>
        <w:tc>
          <w:tcPr>
            <w:tcW w:w="11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3"/>
          </w:tcPr>
          <w:p>
            <w:pPr>
              <w:jc w:val="right"/>
              <w:spacing w:after="0" w:line="142" w:lineRule="exact"/>
              <w:rPr>
                <w:sz w:val="20"/>
                <w:szCs w:val="20"/>
                <w:color w:val="auto"/>
              </w:rPr>
            </w:pPr>
            <w:r>
              <w:rPr>
                <w:rFonts w:ascii="Arial" w:cs="Arial" w:eastAsia="Arial" w:hAnsi="Arial"/>
                <w:sz w:val="13"/>
                <w:szCs w:val="13"/>
                <w:b w:val="1"/>
                <w:bCs w:val="1"/>
                <w:color w:val="auto"/>
              </w:rPr>
              <w:t>(In thousands)</w:t>
            </w:r>
          </w:p>
        </w:tc>
        <w:tc>
          <w:tcPr>
            <w:tcW w:w="12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03"/>
        </w:trPr>
        <w:tc>
          <w:tcPr>
            <w:tcW w:w="1140" w:type="dxa"/>
            <w:vAlign w:val="bottom"/>
          </w:tcPr>
          <w:p>
            <w:pPr>
              <w:spacing w:after="0"/>
              <w:rPr>
                <w:sz w:val="17"/>
                <w:szCs w:val="17"/>
                <w:color w:val="auto"/>
              </w:rPr>
            </w:pPr>
          </w:p>
        </w:tc>
        <w:tc>
          <w:tcPr>
            <w:tcW w:w="3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Segment assets:</w:t>
            </w:r>
          </w:p>
        </w:tc>
        <w:tc>
          <w:tcPr>
            <w:tcW w:w="2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60" w:type="dxa"/>
            <w:vAlign w:val="bottom"/>
            <w:tcBorders>
              <w:right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180" w:type="dxa"/>
            <w:vAlign w:val="bottom"/>
          </w:tcPr>
          <w:p>
            <w:pPr>
              <w:ind w:left="260"/>
              <w:spacing w:after="0" w:line="202" w:lineRule="exact"/>
              <w:rPr>
                <w:sz w:val="20"/>
                <w:szCs w:val="20"/>
                <w:color w:val="auto"/>
              </w:rPr>
            </w:pPr>
            <w:r>
              <w:rPr>
                <w:rFonts w:ascii="Arial" w:cs="Arial" w:eastAsia="Arial" w:hAnsi="Arial"/>
                <w:sz w:val="18"/>
                <w:szCs w:val="18"/>
                <w:color w:val="auto"/>
              </w:rPr>
              <w:t>Satellite services</w:t>
            </w:r>
          </w:p>
        </w:tc>
        <w:tc>
          <w:tcPr>
            <w:tcW w:w="26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437,337</w:t>
            </w:r>
          </w:p>
        </w:tc>
        <w:tc>
          <w:tcPr>
            <w:tcW w:w="4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64,048</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18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Commercial networks</w:t>
            </w:r>
          </w:p>
        </w:tc>
        <w:tc>
          <w:tcPr>
            <w:tcW w:w="2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228,416</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168,334</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180" w:type="dxa"/>
            <w:vAlign w:val="bottom"/>
          </w:tcPr>
          <w:p>
            <w:pPr>
              <w:ind w:left="260"/>
              <w:spacing w:after="0" w:line="202" w:lineRule="exact"/>
              <w:rPr>
                <w:sz w:val="20"/>
                <w:szCs w:val="20"/>
                <w:color w:val="auto"/>
              </w:rPr>
            </w:pPr>
            <w:r>
              <w:rPr>
                <w:rFonts w:ascii="Arial" w:cs="Arial" w:eastAsia="Arial" w:hAnsi="Arial"/>
                <w:sz w:val="18"/>
                <w:szCs w:val="18"/>
                <w:color w:val="auto"/>
              </w:rPr>
              <w:t>Government systems</w:t>
            </w:r>
          </w:p>
        </w:tc>
        <w:tc>
          <w:tcPr>
            <w:tcW w:w="2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477,909</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470,389</w:t>
            </w: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180" w:type="dxa"/>
            <w:vAlign w:val="bottom"/>
            <w:shd w:val="clear" w:color="auto" w:fill="CFF0FC"/>
          </w:tcPr>
          <w:p>
            <w:pPr>
              <w:ind w:left="260"/>
              <w:spacing w:after="0" w:line="196" w:lineRule="exact"/>
              <w:rPr>
                <w:sz w:val="20"/>
                <w:szCs w:val="20"/>
                <w:color w:val="auto"/>
              </w:rPr>
            </w:pPr>
            <w:r>
              <w:rPr>
                <w:rFonts w:ascii="Arial" w:cs="Arial" w:eastAsia="Arial" w:hAnsi="Arial"/>
                <w:sz w:val="18"/>
                <w:szCs w:val="18"/>
                <w:color w:val="auto"/>
              </w:rPr>
              <w:t>Total segment assets</w:t>
            </w:r>
          </w:p>
        </w:tc>
        <w:tc>
          <w:tcPr>
            <w:tcW w:w="2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1,143,662</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6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702,771</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180" w:type="dxa"/>
            <w:vAlign w:val="bottom"/>
          </w:tcPr>
          <w:p>
            <w:pPr>
              <w:ind w:left="260"/>
              <w:spacing w:after="0" w:line="202" w:lineRule="exact"/>
              <w:rPr>
                <w:sz w:val="20"/>
                <w:szCs w:val="20"/>
                <w:color w:val="auto"/>
              </w:rPr>
            </w:pPr>
            <w:r>
              <w:rPr>
                <w:rFonts w:ascii="Arial" w:cs="Arial" w:eastAsia="Arial" w:hAnsi="Arial"/>
                <w:sz w:val="18"/>
                <w:szCs w:val="18"/>
                <w:color w:val="auto"/>
              </w:rPr>
              <w:t>Corporate assets</w:t>
            </w:r>
          </w:p>
        </w:tc>
        <w:tc>
          <w:tcPr>
            <w:tcW w:w="2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4,943,132</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4,646,696</w:t>
            </w:r>
          </w:p>
        </w:tc>
        <w:tc>
          <w:tcPr>
            <w:tcW w:w="1120" w:type="dxa"/>
            <w:vAlign w:val="bottom"/>
          </w:tcPr>
          <w:p>
            <w:pPr>
              <w:spacing w:after="0"/>
              <w:rPr>
                <w:sz w:val="17"/>
                <w:szCs w:val="17"/>
                <w:color w:val="auto"/>
              </w:rPr>
            </w:pPr>
          </w:p>
        </w:tc>
      </w:tr>
      <w:tr>
        <w:trPr>
          <w:trHeight w:val="236"/>
        </w:trPr>
        <w:tc>
          <w:tcPr>
            <w:tcW w:w="1140" w:type="dxa"/>
            <w:vAlign w:val="bottom"/>
          </w:tcPr>
          <w:p>
            <w:pPr>
              <w:spacing w:after="0"/>
              <w:rPr>
                <w:sz w:val="20"/>
                <w:szCs w:val="20"/>
                <w:color w:val="auto"/>
              </w:rPr>
            </w:pPr>
          </w:p>
        </w:tc>
        <w:tc>
          <w:tcPr>
            <w:tcW w:w="31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assets</w:t>
            </w:r>
          </w:p>
        </w:tc>
        <w:tc>
          <w:tcPr>
            <w:tcW w:w="23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6,086,794</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5,349,467</w:t>
            </w:r>
          </w:p>
        </w:tc>
        <w:tc>
          <w:tcPr>
            <w:tcW w:w="1120" w:type="dxa"/>
            <w:vAlign w:val="bottom"/>
          </w:tcPr>
          <w:p>
            <w:pPr>
              <w:spacing w:after="0"/>
              <w:rPr>
                <w:sz w:val="20"/>
                <w:szCs w:val="20"/>
                <w:color w:val="auto"/>
              </w:rPr>
            </w:pPr>
          </w:p>
        </w:tc>
      </w:tr>
      <w:tr>
        <w:trPr>
          <w:trHeight w:val="615"/>
        </w:trPr>
        <w:tc>
          <w:tcPr>
            <w:tcW w:w="1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380" w:type="dxa"/>
            <w:vAlign w:val="bottom"/>
          </w:tcPr>
          <w:p>
            <w:pPr>
              <w:jc w:val="right"/>
              <w:ind w:right="89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180" w:type="dxa"/>
            <w:vAlign w:val="bottom"/>
            <w:tcBorders>
              <w:bottom w:val="single" w:sz="8" w:color="9A9A9A"/>
            </w:tcBorders>
          </w:tcPr>
          <w:p>
            <w:pPr>
              <w:spacing w:after="0"/>
              <w:rPr>
                <w:sz w:val="8"/>
                <w:szCs w:val="8"/>
                <w:color w:val="auto"/>
              </w:rPr>
            </w:pPr>
          </w:p>
        </w:tc>
        <w:tc>
          <w:tcPr>
            <w:tcW w:w="23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-504825</wp:posOffset>
            </wp:positionV>
            <wp:extent cx="514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-487680</wp:posOffset>
            </wp:positionV>
            <wp:extent cx="514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-504825</wp:posOffset>
            </wp:positionV>
            <wp:extent cx="431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-487680</wp:posOffset>
            </wp:positionV>
            <wp:extent cx="431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p>
      <w:pPr>
        <w:ind w:right="120" w:firstLine="509"/>
        <w:spacing w:after="0" w:line="246" w:lineRule="auto"/>
        <w:rPr>
          <w:sz w:val="20"/>
          <w:szCs w:val="20"/>
          <w:color w:val="auto"/>
        </w:rPr>
      </w:pPr>
      <w:r>
        <w:rPr>
          <w:rFonts w:ascii="Arial" w:cs="Arial" w:eastAsia="Arial" w:hAnsi="Arial"/>
          <w:sz w:val="18"/>
          <w:szCs w:val="18"/>
          <w:color w:val="auto"/>
        </w:rPr>
        <w:t>Other acquired intangible assets, net and goodwill included in segment assets as of December 31, 2021 and March 31, 2021 were as follows:</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0" w:type="dxa"/>
            <w:vAlign w:val="bottom"/>
            <w:gridSpan w:val="4"/>
          </w:tcPr>
          <w:p>
            <w:pPr>
              <w:jc w:val="right"/>
              <w:ind w:right="743"/>
              <w:spacing w:after="0"/>
              <w:rPr>
                <w:sz w:val="20"/>
                <w:szCs w:val="20"/>
                <w:color w:val="auto"/>
              </w:rPr>
            </w:pPr>
            <w:r>
              <w:rPr>
                <w:rFonts w:ascii="Arial" w:cs="Arial" w:eastAsia="Arial" w:hAnsi="Arial"/>
                <w:sz w:val="13"/>
                <w:szCs w:val="13"/>
                <w:b w:val="1"/>
                <w:bCs w:val="1"/>
                <w:color w:val="auto"/>
              </w:rPr>
              <w:t>Other Acquired Intangible</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3"/>
            <w:vMerge w:val="restart"/>
          </w:tcPr>
          <w:p>
            <w:pPr>
              <w:jc w:val="right"/>
              <w:ind w:right="100"/>
              <w:spacing w:after="0"/>
              <w:rPr>
                <w:sz w:val="20"/>
                <w:szCs w:val="20"/>
                <w:color w:val="auto"/>
              </w:rPr>
            </w:pPr>
            <w:r>
              <w:rPr>
                <w:rFonts w:ascii="Arial" w:cs="Arial" w:eastAsia="Arial" w:hAnsi="Arial"/>
                <w:sz w:val="13"/>
                <w:szCs w:val="13"/>
                <w:b w:val="1"/>
                <w:bCs w:val="1"/>
                <w:color w:val="auto"/>
              </w:rPr>
              <w:t>Goodwill</w:t>
            </w: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Assets, Net</w:t>
            </w:r>
          </w:p>
        </w:tc>
        <w:tc>
          <w:tcPr>
            <w:tcW w:w="11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vMerge w:val="continue"/>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3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40" w:type="dxa"/>
            <w:vAlign w:val="bottom"/>
          </w:tcPr>
          <w:p>
            <w:pPr>
              <w:jc w:val="right"/>
              <w:ind w:right="585"/>
              <w:spacing w:after="0" w:line="102" w:lineRule="exact"/>
              <w:rPr>
                <w:sz w:val="20"/>
                <w:szCs w:val="20"/>
                <w:color w:val="auto"/>
              </w:rPr>
            </w:pPr>
            <w:r>
              <w:rPr>
                <w:rFonts w:ascii="Arial" w:cs="Arial" w:eastAsia="Arial" w:hAnsi="Arial"/>
                <w:sz w:val="10"/>
                <w:szCs w:val="10"/>
                <w:b w:val="1"/>
                <w:bCs w:val="1"/>
                <w:color w:val="auto"/>
              </w:rPr>
              <w:t>As of</w:t>
            </w: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jc w:val="right"/>
              <w:ind w:right="463"/>
              <w:spacing w:after="0" w:line="102" w:lineRule="exact"/>
              <w:rPr>
                <w:sz w:val="20"/>
                <w:szCs w:val="20"/>
                <w:color w:val="auto"/>
              </w:rPr>
            </w:pPr>
            <w:r>
              <w:rPr>
                <w:rFonts w:ascii="Arial" w:cs="Arial" w:eastAsia="Arial" w:hAnsi="Arial"/>
                <w:sz w:val="10"/>
                <w:szCs w:val="10"/>
                <w:b w:val="1"/>
                <w:bCs w:val="1"/>
                <w:color w:val="auto"/>
              </w:rPr>
              <w:t>As of</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20" w:type="dxa"/>
            <w:vAlign w:val="bottom"/>
          </w:tcPr>
          <w:p>
            <w:pPr>
              <w:jc w:val="right"/>
              <w:ind w:right="563"/>
              <w:spacing w:after="0" w:line="102" w:lineRule="exact"/>
              <w:rPr>
                <w:sz w:val="20"/>
                <w:szCs w:val="20"/>
                <w:color w:val="auto"/>
              </w:rPr>
            </w:pPr>
            <w:r>
              <w:rPr>
                <w:rFonts w:ascii="Arial" w:cs="Arial" w:eastAsia="Arial" w:hAnsi="Arial"/>
                <w:sz w:val="10"/>
                <w:szCs w:val="10"/>
                <w:b w:val="1"/>
                <w:bCs w:val="1"/>
                <w:color w:val="auto"/>
              </w:rPr>
              <w:t>As of</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jc w:val="right"/>
              <w:ind w:right="461"/>
              <w:spacing w:after="0" w:line="102" w:lineRule="exact"/>
              <w:rPr>
                <w:sz w:val="20"/>
                <w:szCs w:val="20"/>
                <w:color w:val="auto"/>
              </w:rPr>
            </w:pPr>
            <w:r>
              <w:rPr>
                <w:rFonts w:ascii="Arial" w:cs="Arial" w:eastAsia="Arial" w:hAnsi="Arial"/>
                <w:sz w:val="10"/>
                <w:szCs w:val="10"/>
                <w:b w:val="1"/>
                <w:bCs w:val="1"/>
                <w:color w:val="auto"/>
              </w:rPr>
              <w:t>As of</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45"/>
              <w:spacing w:after="0"/>
              <w:rPr>
                <w:sz w:val="20"/>
                <w:szCs w:val="20"/>
                <w:color w:val="auto"/>
              </w:rPr>
            </w:pPr>
            <w:r>
              <w:rPr>
                <w:rFonts w:ascii="Arial" w:cs="Arial" w:eastAsia="Arial" w:hAnsi="Arial"/>
                <w:sz w:val="13"/>
                <w:szCs w:val="13"/>
                <w:b w:val="1"/>
                <w:bCs w:val="1"/>
                <w:color w:val="auto"/>
              </w:rPr>
              <w:t>December 31, 2021</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63"/>
              <w:spacing w:after="0"/>
              <w:rPr>
                <w:sz w:val="20"/>
                <w:szCs w:val="20"/>
                <w:color w:val="auto"/>
              </w:rPr>
            </w:pPr>
            <w:r>
              <w:rPr>
                <w:rFonts w:ascii="Arial" w:cs="Arial" w:eastAsia="Arial" w:hAnsi="Arial"/>
                <w:sz w:val="13"/>
                <w:szCs w:val="13"/>
                <w:b w:val="1"/>
                <w:bCs w:val="1"/>
                <w:color w:val="auto"/>
                <w:w w:val="99"/>
              </w:rPr>
              <w:t>March 31, 2021</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43"/>
              <w:spacing w:after="0"/>
              <w:rPr>
                <w:sz w:val="20"/>
                <w:szCs w:val="20"/>
                <w:color w:val="auto"/>
              </w:rPr>
            </w:pPr>
            <w:r>
              <w:rPr>
                <w:rFonts w:ascii="Arial" w:cs="Arial" w:eastAsia="Arial" w:hAnsi="Arial"/>
                <w:sz w:val="13"/>
                <w:szCs w:val="13"/>
                <w:b w:val="1"/>
                <w:bCs w:val="1"/>
                <w:color w:val="auto"/>
              </w:rPr>
              <w:t>December 31, 2021</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b w:val="1"/>
                <w:bCs w:val="1"/>
                <w:color w:val="auto"/>
              </w:rPr>
              <w:t>March 31, 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20" w:type="dxa"/>
            <w:vAlign w:val="bottom"/>
            <w:gridSpan w:val="4"/>
          </w:tcPr>
          <w:p>
            <w:pPr>
              <w:jc w:val="right"/>
              <w:ind w:right="1183"/>
              <w:spacing w:after="0" w:line="142" w:lineRule="exact"/>
              <w:rPr>
                <w:sz w:val="20"/>
                <w:szCs w:val="20"/>
                <w:color w:val="auto"/>
              </w:rPr>
            </w:pPr>
            <w:r>
              <w:rPr>
                <w:rFonts w:ascii="Arial" w:cs="Arial" w:eastAsia="Arial" w:hAnsi="Arial"/>
                <w:sz w:val="13"/>
                <w:szCs w:val="13"/>
                <w:b w:val="1"/>
                <w:bCs w:val="1"/>
                <w:color w:val="auto"/>
              </w:rPr>
              <w:t>(In thousands)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Satellite services</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235,240</w:t>
            </w:r>
          </w:p>
        </w:tc>
        <w:tc>
          <w:tcPr>
            <w:tcW w:w="3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5,738</w:t>
            </w:r>
          </w:p>
        </w:tc>
        <w:tc>
          <w:tcPr>
            <w:tcW w:w="3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82,567</w:t>
            </w:r>
          </w:p>
        </w:tc>
        <w:tc>
          <w:tcPr>
            <w:tcW w:w="3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13,814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Commercial networks</w:t>
            </w: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44,083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44,044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Government systems</w:t>
            </w:r>
          </w:p>
        </w:tc>
        <w:tc>
          <w:tcPr>
            <w:tcW w:w="1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2,610</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3,830</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64,257</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64,442</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237,850</w:t>
            </w:r>
          </w:p>
        </w:tc>
        <w:tc>
          <w:tcPr>
            <w:tcW w:w="3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9,568</w:t>
            </w:r>
          </w:p>
        </w:tc>
        <w:tc>
          <w:tcPr>
            <w:tcW w:w="3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190,907</w:t>
            </w:r>
          </w:p>
        </w:tc>
        <w:tc>
          <w:tcPr>
            <w:tcW w:w="3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122,300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-159385</wp:posOffset>
            </wp:positionV>
            <wp:extent cx="5143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-159385</wp:posOffset>
            </wp:positionV>
            <wp:extent cx="4318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-159385</wp:posOffset>
            </wp:positionV>
            <wp:extent cx="4318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-159385</wp:posOffset>
            </wp:positionV>
            <wp:extent cx="4318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55" w:lineRule="exact"/>
        <w:rPr>
          <w:sz w:val="20"/>
          <w:szCs w:val="20"/>
          <w:color w:val="auto"/>
        </w:rPr>
      </w:pPr>
    </w:p>
    <w:p>
      <w:pPr>
        <w:ind w:right="420" w:firstLine="509"/>
        <w:spacing w:after="0" w:line="246" w:lineRule="auto"/>
        <w:rPr>
          <w:sz w:val="20"/>
          <w:szCs w:val="20"/>
          <w:color w:val="auto"/>
        </w:rPr>
      </w:pPr>
      <w:r>
        <w:rPr>
          <w:rFonts w:ascii="Arial" w:cs="Arial" w:eastAsia="Arial" w:hAnsi="Arial"/>
          <w:sz w:val="18"/>
          <w:szCs w:val="18"/>
          <w:color w:val="auto"/>
        </w:rPr>
        <w:t>Amortization of acquired intangible assets by segment for the three and nine months ended December 31, 2021 and 2020 was as follows: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3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jc w:val="right"/>
              <w:ind w:right="935"/>
              <w:spacing w:after="0"/>
              <w:rPr>
                <w:sz w:val="20"/>
                <w:szCs w:val="20"/>
                <w:color w:val="auto"/>
              </w:rPr>
            </w:pPr>
            <w:r>
              <w:rPr>
                <w:rFonts w:ascii="Arial" w:cs="Arial" w:eastAsia="Arial" w:hAnsi="Arial"/>
                <w:sz w:val="13"/>
                <w:szCs w:val="13"/>
                <w:b w:val="1"/>
                <w:bCs w:val="1"/>
                <w:color w:val="auto"/>
              </w:rPr>
              <w:t>Nine Months Ended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159"/>
              <w:spacing w:after="0" w:line="143" w:lineRule="exact"/>
              <w:rPr>
                <w:sz w:val="20"/>
                <w:szCs w:val="20"/>
                <w:color w:val="auto"/>
              </w:rPr>
            </w:pPr>
            <w:r>
              <w:rPr>
                <w:rFonts w:ascii="Arial" w:cs="Arial" w:eastAsia="Arial" w:hAnsi="Arial"/>
                <w:sz w:val="13"/>
                <w:szCs w:val="13"/>
                <w:b w:val="1"/>
                <w:bCs w:val="1"/>
                <w:color w:val="auto"/>
                <w:w w:val="99"/>
              </w:rPr>
              <w:t>December 31, 2021</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139"/>
              <w:spacing w:after="0" w:line="143" w:lineRule="exact"/>
              <w:rPr>
                <w:sz w:val="20"/>
                <w:szCs w:val="20"/>
                <w:color w:val="auto"/>
              </w:rPr>
            </w:pPr>
            <w:r>
              <w:rPr>
                <w:rFonts w:ascii="Arial" w:cs="Arial" w:eastAsia="Arial" w:hAnsi="Arial"/>
                <w:sz w:val="13"/>
                <w:szCs w:val="13"/>
                <w:b w:val="1"/>
                <w:bCs w:val="1"/>
                <w:color w:val="auto"/>
                <w:w w:val="99"/>
              </w:rPr>
              <w:t>December 31, 2020</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139"/>
              <w:spacing w:after="0" w:line="143" w:lineRule="exact"/>
              <w:rPr>
                <w:sz w:val="20"/>
                <w:szCs w:val="20"/>
                <w:color w:val="auto"/>
              </w:rPr>
            </w:pPr>
            <w:r>
              <w:rPr>
                <w:rFonts w:ascii="Arial" w:cs="Arial" w:eastAsia="Arial" w:hAnsi="Arial"/>
                <w:sz w:val="13"/>
                <w:szCs w:val="13"/>
                <w:b w:val="1"/>
                <w:bCs w:val="1"/>
                <w:color w:val="auto"/>
                <w:w w:val="99"/>
              </w:rPr>
              <w:t>December 31, 2021</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115"/>
              <w:spacing w:after="0" w:line="143" w:lineRule="exact"/>
              <w:rPr>
                <w:sz w:val="20"/>
                <w:szCs w:val="20"/>
                <w:color w:val="auto"/>
              </w:rPr>
            </w:pPr>
            <w:r>
              <w:rPr>
                <w:rFonts w:ascii="Arial" w:cs="Arial" w:eastAsia="Arial" w:hAnsi="Arial"/>
                <w:sz w:val="13"/>
                <w:szCs w:val="13"/>
                <w:b w:val="1"/>
                <w:bCs w:val="1"/>
                <w:color w:val="auto"/>
                <w:w w:val="99"/>
              </w:rPr>
              <w:t>December 31, 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60" w:type="dxa"/>
            <w:vAlign w:val="bottom"/>
            <w:gridSpan w:val="4"/>
          </w:tcPr>
          <w:p>
            <w:pPr>
              <w:jc w:val="right"/>
              <w:ind w:right="1119"/>
              <w:spacing w:after="0" w:line="142" w:lineRule="exact"/>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Satellite services</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7,231</w:t>
            </w:r>
          </w:p>
        </w:tc>
        <w:tc>
          <w:tcPr>
            <w:tcW w:w="2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557</w:t>
            </w:r>
          </w:p>
        </w:tc>
        <w:tc>
          <w:tcPr>
            <w:tcW w:w="2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19,650</w:t>
            </w:r>
          </w:p>
        </w:tc>
        <w:tc>
          <w:tcPr>
            <w:tcW w:w="2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Commercial networks</w:t>
            </w: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Government systems</w:t>
            </w: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300</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756</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1,209</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2,302</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460" w:type="dxa"/>
            <w:vAlign w:val="bottom"/>
          </w:tcPr>
          <w:p>
            <w:pPr>
              <w:spacing w:after="0" w:line="168" w:lineRule="exact"/>
              <w:rPr>
                <w:sz w:val="20"/>
                <w:szCs w:val="20"/>
                <w:color w:val="auto"/>
              </w:rPr>
            </w:pPr>
            <w:r>
              <w:rPr>
                <w:rFonts w:ascii="Arial" w:cs="Arial" w:eastAsia="Arial" w:hAnsi="Arial"/>
                <w:sz w:val="18"/>
                <w:szCs w:val="18"/>
                <w:color w:val="auto"/>
              </w:rPr>
              <w:t>Total amortization of acquired</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7,531</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1,313</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20,859</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4,171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60" w:type="dxa"/>
            <w:vAlign w:val="bottom"/>
          </w:tcPr>
          <w:p>
            <w:pPr>
              <w:ind w:left="160"/>
              <w:spacing w:after="0" w:line="143" w:lineRule="exact"/>
              <w:rPr>
                <w:sz w:val="20"/>
                <w:szCs w:val="20"/>
                <w:color w:val="auto"/>
              </w:rPr>
            </w:pPr>
            <w:r>
              <w:rPr>
                <w:rFonts w:ascii="Arial" w:cs="Arial" w:eastAsia="Arial" w:hAnsi="Arial"/>
                <w:sz w:val="16"/>
                <w:szCs w:val="16"/>
                <w:color w:val="auto"/>
              </w:rPr>
              <w:t>intangible assets</w:t>
            </w:r>
          </w:p>
        </w:tc>
        <w:tc>
          <w:tcPr>
            <w:tcW w:w="16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-245110</wp:posOffset>
            </wp:positionV>
            <wp:extent cx="51435"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-245110</wp:posOffset>
            </wp:positionV>
            <wp:extent cx="4318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-245110</wp:posOffset>
            </wp:positionV>
            <wp:extent cx="4318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-245110</wp:posOffset>
            </wp:positionV>
            <wp:extent cx="4318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 area for the three and nine months ended December 31, 2021 and 2020 were as follows:</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jc w:val="right"/>
              <w:ind w:right="159"/>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jc w:val="right"/>
              <w:ind w:right="197"/>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5"/>
                <w:szCs w:val="15"/>
                <w:color w:val="auto"/>
              </w:rPr>
            </w:pPr>
          </w:p>
        </w:tc>
      </w:tr>
      <w:tr>
        <w:trPr>
          <w:trHeight w:val="189"/>
        </w:trPr>
        <w:tc>
          <w:tcPr>
            <w:tcW w:w="5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December 31, 2021</w:t>
            </w:r>
          </w:p>
        </w:tc>
        <w:tc>
          <w:tcPr>
            <w:tcW w:w="80" w:type="dxa"/>
            <w:vAlign w:val="bottom"/>
          </w:tcPr>
          <w:p>
            <w:pPr>
              <w:spacing w:after="0"/>
              <w:rPr>
                <w:sz w:val="16"/>
                <w:szCs w:val="16"/>
                <w:color w:val="auto"/>
              </w:rPr>
            </w:pPr>
          </w:p>
        </w:tc>
      </w:tr>
      <w:tr>
        <w:trPr>
          <w:trHeight w:val="169"/>
        </w:trPr>
        <w:tc>
          <w:tcPr>
            <w:tcW w:w="5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jc w:val="right"/>
              <w:ind w:right="119"/>
              <w:spacing w:after="0"/>
              <w:rPr>
                <w:sz w:val="20"/>
                <w:szCs w:val="20"/>
                <w:color w:val="auto"/>
              </w:rPr>
            </w:pPr>
            <w:r>
              <w:rPr>
                <w:rFonts w:ascii="Arial" w:cs="Arial" w:eastAsia="Arial" w:hAnsi="Arial"/>
                <w:sz w:val="14"/>
                <w:szCs w:val="14"/>
                <w:b w:val="1"/>
                <w:bCs w:val="1"/>
                <w:color w:val="auto"/>
              </w:rPr>
              <w:t>(In</w:t>
            </w:r>
          </w:p>
        </w:tc>
        <w:tc>
          <w:tcPr>
            <w:tcW w:w="2140" w:type="dxa"/>
            <w:vAlign w:val="bottom"/>
            <w:gridSpan w:val="3"/>
          </w:tcPr>
          <w:p>
            <w:pPr>
              <w:jc w:val="center"/>
              <w:ind w:right="1457"/>
              <w:spacing w:after="0"/>
              <w:rPr>
                <w:sz w:val="20"/>
                <w:szCs w:val="20"/>
                <w:color w:val="auto"/>
              </w:rPr>
            </w:pPr>
            <w:r>
              <w:rPr>
                <w:rFonts w:ascii="Arial" w:cs="Arial" w:eastAsia="Arial" w:hAnsi="Arial"/>
                <w:sz w:val="14"/>
                <w:szCs w:val="14"/>
                <w:b w:val="1"/>
                <w:bCs w:val="1"/>
                <w:color w:val="auto"/>
                <w:w w:val="79"/>
              </w:rPr>
              <w:t>thousands)</w:t>
            </w:r>
          </w:p>
        </w:tc>
        <w:tc>
          <w:tcPr>
            <w:tcW w:w="80" w:type="dxa"/>
            <w:vAlign w:val="bottom"/>
          </w:tcPr>
          <w:p>
            <w:pPr>
              <w:spacing w:after="0"/>
              <w:rPr>
                <w:sz w:val="14"/>
                <w:szCs w:val="14"/>
                <w:color w:val="auto"/>
              </w:rPr>
            </w:pPr>
          </w:p>
        </w:tc>
      </w:tr>
      <w:tr>
        <w:trPr>
          <w:trHeight w:val="203"/>
        </w:trPr>
        <w:tc>
          <w:tcPr>
            <w:tcW w:w="5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U.S. customers</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616,682</w:t>
            </w:r>
          </w:p>
        </w:tc>
        <w:tc>
          <w:tcPr>
            <w:tcW w:w="420" w:type="dxa"/>
            <w:vAlign w:val="bottom"/>
            <w:gridSpan w:val="2"/>
            <w:shd w:val="clear" w:color="auto" w:fill="CFF0FC"/>
          </w:tcPr>
          <w:p>
            <w:pPr>
              <w:jc w:val="center"/>
              <w:ind w:left="79"/>
              <w:spacing w:after="0" w:line="202" w:lineRule="exact"/>
              <w:rPr>
                <w:sz w:val="20"/>
                <w:szCs w:val="20"/>
                <w:color w:val="auto"/>
              </w:rPr>
            </w:pPr>
            <w:r>
              <w:rPr>
                <w:rFonts w:ascii="Arial" w:cs="Arial" w:eastAsia="Arial" w:hAnsi="Arial"/>
                <w:sz w:val="18"/>
                <w:szCs w:val="18"/>
                <w:color w:val="auto"/>
                <w:w w:val="99"/>
              </w:rPr>
              <w:t>$</w:t>
            </w: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1,782,459</w:t>
            </w:r>
          </w:p>
        </w:tc>
        <w:tc>
          <w:tcPr>
            <w:tcW w:w="80" w:type="dxa"/>
            <w:vAlign w:val="bottom"/>
            <w:shd w:val="clear" w:color="auto" w:fill="CFF0FC"/>
          </w:tcPr>
          <w:p>
            <w:pPr>
              <w:spacing w:after="0"/>
              <w:rPr>
                <w:sz w:val="17"/>
                <w:szCs w:val="17"/>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Non-U.S. customers (each country individually insignificant)</w:t>
            </w: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103,035</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303,472</w:t>
            </w:r>
          </w:p>
        </w:tc>
        <w:tc>
          <w:tcPr>
            <w:tcW w:w="80" w:type="dxa"/>
            <w:vAlign w:val="bottom"/>
          </w:tcPr>
          <w:p>
            <w:pPr>
              <w:spacing w:after="0"/>
              <w:rPr>
                <w:sz w:val="17"/>
                <w:szCs w:val="17"/>
                <w:color w:val="auto"/>
              </w:rPr>
            </w:pPr>
          </w:p>
        </w:tc>
      </w:tr>
      <w:tr>
        <w:trPr>
          <w:trHeight w:val="236"/>
        </w:trPr>
        <w:tc>
          <w:tcPr>
            <w:tcW w:w="59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719,717</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2,085,931</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-25400</wp:posOffset>
            </wp:positionV>
            <wp:extent cx="603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603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-25400</wp:posOffset>
            </wp:positionV>
            <wp:extent cx="514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-8255</wp:posOffset>
            </wp:positionV>
            <wp:extent cx="514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189"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Three Months Ended</w:t>
      </w:r>
    </w:p>
    <w:p>
      <w:pPr>
        <w:spacing w:after="0" w:line="29"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December 31, 2020</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Nine Months Ended</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December 31, 2020</w:t>
      </w:r>
    </w:p>
    <w:p>
      <w:pPr>
        <w:spacing w:after="0" w:line="33" w:lineRule="exact"/>
        <w:rPr>
          <w:sz w:val="20"/>
          <w:szCs w:val="20"/>
          <w:color w:val="auto"/>
        </w:rPr>
      </w:pPr>
    </w:p>
    <w:p>
      <w:pPr>
        <w:sectPr>
          <w:pgSz w:w="11900" w:h="16838" w:orient="portrait"/>
          <w:cols w:equalWidth="0" w:num="2">
            <w:col w:w="8240" w:space="720"/>
            <w:col w:w="2280"/>
          </w:cols>
          <w:pgMar w:left="320" w:top="118" w:right="339" w:bottom="1440" w:gutter="0" w:footer="0" w:header="0"/>
          <w:type w:val="continuous"/>
        </w:sectPr>
      </w:pPr>
    </w:p>
    <w:tbl>
      <w:tblPr>
        <w:tblLayout w:type="fixed"/>
        <w:tblInd w:w="580" w:type="dxa"/>
        <w:tblCellMar>
          <w:top w:w="0" w:type="dxa"/>
          <w:left w:w="0" w:type="dxa"/>
          <w:bottom w:w="0" w:type="dxa"/>
          <w:right w:w="0" w:type="dxa"/>
        </w:tblCellMar>
      </w:tblPr>
      <w:tr>
        <w:trPr>
          <w:trHeight w:val="20"/>
        </w:trPr>
        <w:tc>
          <w:tcPr>
            <w:tcW w:w="59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9"/>
        </w:trPr>
        <w:tc>
          <w:tcPr>
            <w:tcW w:w="5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180" w:type="dxa"/>
            <w:vAlign w:val="bottom"/>
            <w:gridSpan w:val="3"/>
          </w:tcPr>
          <w:p>
            <w:pPr>
              <w:jc w:val="right"/>
              <w:ind w:right="270"/>
              <w:spacing w:after="0" w:line="149" w:lineRule="exact"/>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03"/>
        </w:trPr>
        <w:tc>
          <w:tcPr>
            <w:tcW w:w="5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U.S. customers</w:t>
            </w:r>
          </w:p>
        </w:tc>
        <w:tc>
          <w:tcPr>
            <w:tcW w:w="680" w:type="dxa"/>
            <w:vAlign w:val="bottom"/>
            <w:shd w:val="clear" w:color="auto" w:fill="CFF0FC"/>
          </w:tcPr>
          <w:p>
            <w:pPr>
              <w:jc w:val="right"/>
              <w:ind w:right="49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512,439</w:t>
            </w:r>
          </w:p>
        </w:tc>
        <w:tc>
          <w:tcPr>
            <w:tcW w:w="960" w:type="dxa"/>
            <w:vAlign w:val="bottom"/>
            <w:gridSpan w:val="2"/>
            <w:shd w:val="clear" w:color="auto" w:fill="CFF0FC"/>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1,523,969</w:t>
            </w:r>
          </w:p>
        </w:tc>
        <w:tc>
          <w:tcPr>
            <w:tcW w:w="80" w:type="dxa"/>
            <w:vAlign w:val="bottom"/>
            <w:shd w:val="clear" w:color="auto" w:fill="CFF0FC"/>
          </w:tcPr>
          <w:p>
            <w:pPr>
              <w:spacing w:after="0"/>
              <w:rPr>
                <w:sz w:val="17"/>
                <w:szCs w:val="17"/>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Non-U.S. customers (each country individually insignificant)</w:t>
            </w:r>
          </w:p>
        </w:tc>
        <w:tc>
          <w:tcPr>
            <w:tcW w:w="6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63,120</w:t>
            </w:r>
          </w:p>
        </w:tc>
        <w:tc>
          <w:tcPr>
            <w:tcW w:w="2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136,356</w:t>
            </w:r>
          </w:p>
        </w:tc>
        <w:tc>
          <w:tcPr>
            <w:tcW w:w="80" w:type="dxa"/>
            <w:vAlign w:val="bottom"/>
          </w:tcPr>
          <w:p>
            <w:pPr>
              <w:spacing w:after="0"/>
              <w:rPr>
                <w:sz w:val="17"/>
                <w:szCs w:val="17"/>
                <w:color w:val="auto"/>
              </w:rPr>
            </w:pPr>
          </w:p>
        </w:tc>
      </w:tr>
      <w:tr>
        <w:trPr>
          <w:trHeight w:val="236"/>
        </w:trPr>
        <w:tc>
          <w:tcPr>
            <w:tcW w:w="59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revenues</w:t>
            </w:r>
          </w:p>
        </w:tc>
        <w:tc>
          <w:tcPr>
            <w:tcW w:w="680" w:type="dxa"/>
            <w:vAlign w:val="bottom"/>
            <w:tcBorders>
              <w:bottom w:val="single" w:sz="8" w:color="auto"/>
            </w:tcBorders>
            <w:shd w:val="clear" w:color="auto" w:fill="CFF0FC"/>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575,559</w:t>
            </w:r>
          </w:p>
        </w:tc>
        <w:tc>
          <w:tcPr>
            <w:tcW w:w="22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53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1,660,325</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-24765</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0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-24765</wp:posOffset>
            </wp:positionV>
            <wp:extent cx="514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-7620</wp:posOffset>
            </wp:positionV>
            <wp:extent cx="514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Acquisitions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Inmarsat Transaction</w:t>
      </w:r>
    </w:p>
    <w:p>
      <w:pPr>
        <w:spacing w:after="0" w:line="8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On November 8, 2021, the Company entered into a Share Purchase Agreement with the Sellers to combine Viasat with Inmarsat. Pursuant to the Share Purchase Agreement, the Company will purchase all of the issued and outstanding shares of Inmarsat from the Sellers upon the terms and subject to the conditions set forth therein. The total consideration payable by the Company under the Share Purchase Agreement consists of $850.0 million in cash, subject to adjustments, and approximately 46.36 million unregistered shares of the Company’s common stock.</w:t>
      </w:r>
    </w:p>
    <w:p>
      <w:pPr>
        <w:spacing w:after="0" w:line="148"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The closing of the Inmarsat Transaction is subject to customary closing conditions, including receipt of regulatory approvals and clearances, and approval by the stockholders of the Company of the issuance of shares in the transaction and an amendment to the Company’s certificate of incorporation to increase the number of shares of common stock authorized for issuance. The Share Purchase Agreement contains certain termination rights for both the Company and certain of the Sellers and further provides that, upon termination of the Share Purchase Agreement under certain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33"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color w:val="auto"/>
        </w:rPr>
        <w:t>circumstances, the Company may be obligated to pay a termination fee of up to $200.0 million or to reimburse certain out-of-pocket expenses of certain Sellers up to $40.0 million.</w:t>
      </w:r>
    </w:p>
    <w:p>
      <w:pPr>
        <w:spacing w:after="0" w:line="143"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The Company has obtained financing commitments for $2.3 billion of new debt facilities in connection with the Inmarsat Transaction (which may be secured and/or unsecured), a portion of which is to be raised between the signing and closing of the Inmarsat Transaction to fund the Company’s standalone growth expenditures. The Company also plans to assume $2.1 billion in principal amount of Inmarsat senior secured bonds and the outstanding indebtedness under Inmarsat’s $2.4 billion senior secured credit facilities. The Company had also obtained commitments of $3.2 billion to backstop certain amendments required under the Credit Facilities and Inmarsat’s $2.4 billion senior secured credit facilities, which amendments have been obtained under the Revolving Credit Facility and Inmarsat’s $2.4 billion senior secured credit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 Broadband Infrastructure Sàrl</w:t>
      </w:r>
    </w:p>
    <w:p>
      <w:pPr>
        <w:spacing w:after="0" w:line="85"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On April 30, 2021, the Company acquired the remaining 51% interest in EBI, a broadband services provider, from Eutelsat. By completing the acquisition, the Company gained 100% ownership and control of EBI and the KA-SAT satellite over EMEA and related ground infrastructure, which is expected to facilitate the diversification of the Company’s business portfolio in Europe, while establishing operations, distribution and sales of satellite-based broadband services, ahead of the anticipated ViaSat-3 (EMEA) satellite launch. The benefits and additional opportunities of the acquisition were among the factors that contributed to a purchase price resulting in the recognition of preliminary estimated goodwill, which was recorded within the Company’s satellite services segment. The goodwill recognized is not deductible for U.S. and foreign income tax purposes.</w:t>
      </w:r>
    </w:p>
    <w:p>
      <w:pPr>
        <w:spacing w:after="0" w:line="149"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Prior to the acquisition date, the Company owned a 49% interest in EBI and accounted for the investment using the equity method of accounting (see Note 10 – Equity Method Investments and Related-Party Transactions for more information). The acquisition of the remaining equity interest in EBI was accounted for as a step acquisition in accordance with the authoritative guidance for business combinations (ASC 805). Accordingly, the Company allocated the purchase price of the acquired company to the net tangible assets and intangible assets acquired based upon their preliminary estimated fair values. The Company remeasured the previously held equity method investment to its fair value based upon a valuation of the acquired business, as of the date of acquisition. The Company considered multiple factors in determining the fair value of the previously held equity method investment, including, (i) the price negotiated with the selling shareholder for the remaining 51% interest in EBI and (ii) an income valuation model (discounted cash flow). As a result of the equity method investment remeasurement, recognition of previously unrecognized foreign currency gain and settlement of insignificant preexisting relationships, the Company recognized an insignificant total net gain included in other income, net, in the condensed consolidated statements of operations and comprehensive income (loss) in the first quarter of fiscal year 2022.</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purchase price of $327.4 million was primarily comprised of $167.0 million of cash, net of what is currently estimated to be an</w:t>
      </w:r>
    </w:p>
    <w:p>
      <w:pPr>
        <w:spacing w:after="0" w:line="234" w:lineRule="auto"/>
        <w:rPr>
          <w:sz w:val="20"/>
          <w:szCs w:val="20"/>
          <w:color w:val="auto"/>
        </w:rPr>
      </w:pPr>
      <w:r>
        <w:rPr>
          <w:rFonts w:ascii="Arial" w:cs="Arial" w:eastAsia="Arial" w:hAnsi="Arial"/>
          <w:sz w:val="18"/>
          <w:szCs w:val="18"/>
          <w:color w:val="auto"/>
        </w:rPr>
        <w:t>immaterial amount of estimated purchase price consideration to be settled among the parties over the next 24 months (up to plus or minus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€20.0 million, or approximately $22.6 million, see Note 3 — Fair Value Measurements for more information) from the closing date (which after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consideration of approximately $121.7 million of EBI’s cash on hand, resulted in a net cash outlay of approximately $51.0 million) and the fair</w:t>
      </w:r>
    </w:p>
    <w:p>
      <w:pPr>
        <w:spacing w:after="0"/>
        <w:rPr>
          <w:sz w:val="20"/>
          <w:szCs w:val="20"/>
          <w:color w:val="auto"/>
        </w:rPr>
      </w:pPr>
      <w:r>
        <w:rPr>
          <w:rFonts w:ascii="Arial" w:cs="Arial" w:eastAsia="Arial" w:hAnsi="Arial"/>
          <w:sz w:val="18"/>
          <w:szCs w:val="18"/>
          <w:color w:val="auto"/>
        </w:rPr>
        <w:t>value of previously held equity method investment of approximately $160.4 million.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33"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The purchase price allocation is preliminary primarily due to the finalization of the Company’s valuation analysis and review of various tax attributes</w:t>
      </w:r>
      <w:r>
        <w:rPr>
          <w:rFonts w:ascii="Arial" w:cs="Arial" w:eastAsia="Arial" w:hAnsi="Arial"/>
          <w:sz w:val="18"/>
          <w:szCs w:val="18"/>
          <w:b w:val="1"/>
          <w:bCs w:val="1"/>
          <w:color w:val="auto"/>
        </w:rPr>
        <w:t>.</w:t>
      </w:r>
      <w:r>
        <w:rPr>
          <w:rFonts w:ascii="Arial" w:cs="Arial" w:eastAsia="Arial" w:hAnsi="Arial"/>
          <w:sz w:val="18"/>
          <w:szCs w:val="18"/>
          <w:color w:val="auto"/>
        </w:rPr>
        <w:t xml:space="preserve"> The preliminary purchase price allocation of the acquired assets and assumed liabilities based on the estimated fair values as of April 30, 2021, slightly adjusted since the close of the acquisition, primarily between goodwill, identifiable intangible assets and property, equipment and satellites, is as follows: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7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00" w:type="dxa"/>
            <w:vAlign w:val="bottom"/>
            <w:gridSpan w:val="2"/>
          </w:tcPr>
          <w:p>
            <w:pPr>
              <w:jc w:val="right"/>
              <w:ind w:right="850"/>
              <w:spacing w:after="0"/>
              <w:rPr>
                <w:sz w:val="20"/>
                <w:szCs w:val="20"/>
                <w:color w:val="auto"/>
              </w:rPr>
            </w:pPr>
            <w:r>
              <w:rPr>
                <w:rFonts w:ascii="Arial" w:cs="Arial" w:eastAsia="Arial" w:hAnsi="Arial"/>
                <w:sz w:val="14"/>
                <w:szCs w:val="14"/>
                <w:b w:val="1"/>
                <w:bCs w:val="1"/>
                <w:color w:val="auto"/>
              </w:rPr>
              <w:t>(In thousands)</w:t>
            </w:r>
          </w:p>
        </w:tc>
      </w:tr>
      <w:tr>
        <w:trPr>
          <w:trHeight w:val="196"/>
        </w:trPr>
        <w:tc>
          <w:tcPr>
            <w:tcW w:w="7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Current assets</w:t>
            </w:r>
          </w:p>
        </w:tc>
        <w:tc>
          <w:tcPr>
            <w:tcW w:w="480" w:type="dxa"/>
            <w:vAlign w:val="bottom"/>
            <w:tcBorders>
              <w:top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2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154,479</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Property, equipment and satellites</w:t>
            </w:r>
          </w:p>
        </w:tc>
        <w:tc>
          <w:tcPr>
            <w:tcW w:w="480" w:type="dxa"/>
            <w:vAlign w:val="bottom"/>
          </w:tcPr>
          <w:p>
            <w:pPr>
              <w:spacing w:after="0"/>
              <w:rPr>
                <w:sz w:val="17"/>
                <w:szCs w:val="17"/>
                <w:color w:val="auto"/>
              </w:rPr>
            </w:pPr>
          </w:p>
        </w:tc>
        <w:tc>
          <w:tcPr>
            <w:tcW w:w="2200" w:type="dxa"/>
            <w:vAlign w:val="bottom"/>
          </w:tcPr>
          <w:p>
            <w:pPr>
              <w:jc w:val="right"/>
              <w:spacing w:after="0" w:line="202" w:lineRule="exact"/>
              <w:rPr>
                <w:sz w:val="20"/>
                <w:szCs w:val="20"/>
                <w:color w:val="auto"/>
              </w:rPr>
            </w:pPr>
            <w:r>
              <w:rPr>
                <w:rFonts w:ascii="Arial" w:cs="Arial" w:eastAsia="Arial" w:hAnsi="Arial"/>
                <w:sz w:val="18"/>
                <w:szCs w:val="18"/>
                <w:color w:val="auto"/>
              </w:rPr>
              <w:t>108,696</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Identifiable intangible assets</w:t>
            </w:r>
          </w:p>
        </w:tc>
        <w:tc>
          <w:tcPr>
            <w:tcW w:w="480" w:type="dxa"/>
            <w:vAlign w:val="bottom"/>
            <w:shd w:val="clear" w:color="auto" w:fill="CFF0FC"/>
          </w:tcPr>
          <w:p>
            <w:pPr>
              <w:spacing w:after="0"/>
              <w:rPr>
                <w:sz w:val="17"/>
                <w:szCs w:val="17"/>
                <w:color w:val="auto"/>
              </w:rPr>
            </w:pPr>
          </w:p>
        </w:tc>
        <w:tc>
          <w:tcPr>
            <w:tcW w:w="2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26,574</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17"/>
                <w:szCs w:val="17"/>
                <w:color w:val="auto"/>
              </w:rPr>
            </w:pPr>
          </w:p>
        </w:tc>
        <w:tc>
          <w:tcPr>
            <w:tcW w:w="2200" w:type="dxa"/>
            <w:vAlign w:val="bottom"/>
          </w:tcPr>
          <w:p>
            <w:pPr>
              <w:jc w:val="right"/>
              <w:spacing w:after="0" w:line="202" w:lineRule="exact"/>
              <w:rPr>
                <w:sz w:val="20"/>
                <w:szCs w:val="20"/>
                <w:color w:val="auto"/>
              </w:rPr>
            </w:pPr>
            <w:r>
              <w:rPr>
                <w:rFonts w:ascii="Arial" w:cs="Arial" w:eastAsia="Arial" w:hAnsi="Arial"/>
                <w:sz w:val="18"/>
                <w:szCs w:val="18"/>
                <w:color w:val="auto"/>
              </w:rPr>
              <w:t>42,488</w:t>
            </w:r>
          </w:p>
        </w:tc>
        <w:tc>
          <w:tcPr>
            <w:tcW w:w="100" w:type="dxa"/>
            <w:vAlign w:val="bottom"/>
          </w:tcPr>
          <w:p>
            <w:pPr>
              <w:spacing w:after="0"/>
              <w:rPr>
                <w:sz w:val="17"/>
                <w:szCs w:val="17"/>
                <w:color w:val="auto"/>
              </w:rPr>
            </w:pPr>
          </w:p>
        </w:tc>
      </w:tr>
      <w:tr>
        <w:trPr>
          <w:trHeight w:val="203"/>
        </w:trPr>
        <w:tc>
          <w:tcPr>
            <w:tcW w:w="73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assets</w:t>
            </w:r>
          </w:p>
        </w:tc>
        <w:tc>
          <w:tcPr>
            <w:tcW w:w="480" w:type="dxa"/>
            <w:vAlign w:val="bottom"/>
            <w:tcBorders>
              <w:bottom w:val="single" w:sz="8" w:color="auto"/>
            </w:tcBorders>
            <w:shd w:val="clear" w:color="auto" w:fill="CFF0FC"/>
          </w:tcPr>
          <w:p>
            <w:pPr>
              <w:spacing w:after="0"/>
              <w:rPr>
                <w:sz w:val="17"/>
                <w:szCs w:val="17"/>
                <w:color w:val="auto"/>
              </w:rPr>
            </w:pPr>
          </w:p>
        </w:tc>
        <w:tc>
          <w:tcPr>
            <w:tcW w:w="2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1,028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320" w:type="dxa"/>
            <w:vAlign w:val="bottom"/>
          </w:tcPr>
          <w:p>
            <w:pPr>
              <w:ind w:left="260"/>
              <w:spacing w:after="0" w:line="196" w:lineRule="exact"/>
              <w:rPr>
                <w:sz w:val="20"/>
                <w:szCs w:val="20"/>
                <w:color w:val="auto"/>
              </w:rPr>
            </w:pPr>
            <w:r>
              <w:rPr>
                <w:rFonts w:ascii="Arial" w:cs="Arial" w:eastAsia="Arial" w:hAnsi="Arial"/>
                <w:sz w:val="18"/>
                <w:szCs w:val="18"/>
                <w:color w:val="auto"/>
              </w:rPr>
              <w:t>Total assets acquired</w:t>
            </w:r>
          </w:p>
        </w:tc>
        <w:tc>
          <w:tcPr>
            <w:tcW w:w="48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333,265</w:t>
            </w:r>
          </w:p>
        </w:tc>
        <w:tc>
          <w:tcPr>
            <w:tcW w:w="100" w:type="dxa"/>
            <w:vAlign w:val="bottom"/>
          </w:tcPr>
          <w:p>
            <w:pPr>
              <w:spacing w:after="0"/>
              <w:rPr>
                <w:sz w:val="17"/>
                <w:szCs w:val="17"/>
                <w:color w:val="auto"/>
              </w:rPr>
            </w:pPr>
          </w:p>
        </w:tc>
      </w:tr>
      <w:tr>
        <w:trPr>
          <w:trHeight w:val="196"/>
        </w:trPr>
        <w:tc>
          <w:tcPr>
            <w:tcW w:w="7320" w:type="dxa"/>
            <w:vAlign w:val="bottom"/>
            <w:tcBorders>
              <w:bottom w:val="single" w:sz="8" w:color="CFF0FC"/>
            </w:tcBorders>
            <w:shd w:val="clear" w:color="auto" w:fill="CFF0FC"/>
          </w:tcPr>
          <w:p>
            <w:pPr>
              <w:ind w:left="260"/>
              <w:spacing w:after="0" w:line="196" w:lineRule="exact"/>
              <w:rPr>
                <w:sz w:val="20"/>
                <w:szCs w:val="20"/>
                <w:color w:val="auto"/>
              </w:rPr>
            </w:pPr>
            <w:r>
              <w:rPr>
                <w:rFonts w:ascii="Arial" w:cs="Arial" w:eastAsia="Arial" w:hAnsi="Arial"/>
                <w:sz w:val="18"/>
                <w:szCs w:val="18"/>
                <w:color w:val="auto"/>
              </w:rPr>
              <w:t>Total liabilities assumed</w:t>
            </w:r>
          </w:p>
        </w:tc>
        <w:tc>
          <w:tcPr>
            <w:tcW w:w="480" w:type="dxa"/>
            <w:vAlign w:val="bottom"/>
            <w:tcBorders>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(5,914</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7320" w:type="dxa"/>
            <w:vAlign w:val="bottom"/>
          </w:tcPr>
          <w:p>
            <w:pPr>
              <w:spacing w:after="0" w:line="182" w:lineRule="exact"/>
              <w:rPr>
                <w:sz w:val="20"/>
                <w:szCs w:val="20"/>
                <w:color w:val="auto"/>
              </w:rPr>
            </w:pPr>
            <w:r>
              <w:rPr>
                <w:rFonts w:ascii="Arial" w:cs="Arial" w:eastAsia="Arial" w:hAnsi="Arial"/>
                <w:sz w:val="18"/>
                <w:szCs w:val="18"/>
                <w:color w:val="auto"/>
              </w:rPr>
              <w:t>Total consideration transferred</w:t>
            </w:r>
          </w:p>
        </w:tc>
        <w:tc>
          <w:tcPr>
            <w:tcW w:w="48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327,351</w:t>
            </w:r>
          </w:p>
        </w:tc>
        <w:tc>
          <w:tcPr>
            <w:tcW w:w="100" w:type="dxa"/>
            <w:vAlign w:val="bottom"/>
          </w:tcPr>
          <w:p>
            <w:pPr>
              <w:spacing w:after="0"/>
              <w:rPr>
                <w:sz w:val="17"/>
                <w:szCs w:val="17"/>
                <w:color w:val="auto"/>
              </w:rPr>
            </w:pPr>
          </w:p>
        </w:tc>
      </w:tr>
      <w:tr>
        <w:trPr>
          <w:trHeight w:val="20"/>
        </w:trPr>
        <w:tc>
          <w:tcPr>
            <w:tcW w:w="7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-433705</wp:posOffset>
            </wp:positionV>
            <wp:extent cx="6032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55"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Amounts assigned to identifiable intangible assets are preliminary and are being amortized on a straight-line basis over their estimated useful lives (which approximates the economic pattern of benefit) and are as follows as of April 30, 2021:</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740" w:type="dxa"/>
            <w:vAlign w:val="bottom"/>
          </w:tcPr>
          <w:p>
            <w:pPr>
              <w:jc w:val="center"/>
              <w:ind w:left="561"/>
              <w:spacing w:after="0"/>
              <w:rPr>
                <w:sz w:val="20"/>
                <w:szCs w:val="20"/>
                <w:color w:val="auto"/>
              </w:rPr>
            </w:pPr>
            <w:r>
              <w:rPr>
                <w:rFonts w:ascii="Arial" w:cs="Arial" w:eastAsia="Arial" w:hAnsi="Arial"/>
                <w:sz w:val="14"/>
                <w:szCs w:val="14"/>
                <w:b w:val="1"/>
                <w:bCs w:val="1"/>
                <w:color w:val="auto"/>
              </w:rPr>
              <w:t>Preliminary</w:t>
            </w: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Estimated Weighted</w:t>
            </w:r>
          </w:p>
        </w:tc>
        <w:tc>
          <w:tcPr>
            <w:tcW w:w="80" w:type="dxa"/>
            <w:vAlign w:val="bottom"/>
          </w:tcPr>
          <w:p>
            <w:pPr>
              <w:spacing w:after="0"/>
              <w:rPr>
                <w:sz w:val="16"/>
                <w:szCs w:val="16"/>
                <w:color w:val="auto"/>
              </w:rPr>
            </w:pPr>
          </w:p>
        </w:tc>
      </w:tr>
      <w:tr>
        <w:trPr>
          <w:trHeight w:val="201"/>
        </w:trPr>
        <w:tc>
          <w:tcPr>
            <w:tcW w:w="5120" w:type="dxa"/>
            <w:vAlign w:val="bottom"/>
          </w:tcPr>
          <w:p>
            <w:pPr>
              <w:spacing w:after="0"/>
              <w:rPr>
                <w:sz w:val="17"/>
                <w:szCs w:val="17"/>
                <w:color w:val="auto"/>
              </w:rPr>
            </w:pPr>
          </w:p>
        </w:tc>
        <w:tc>
          <w:tcPr>
            <w:tcW w:w="1740" w:type="dxa"/>
            <w:vAlign w:val="bottom"/>
          </w:tcPr>
          <w:p>
            <w:pPr>
              <w:jc w:val="center"/>
              <w:ind w:left="541"/>
              <w:spacing w:after="0"/>
              <w:rPr>
                <w:sz w:val="20"/>
                <w:szCs w:val="20"/>
                <w:color w:val="auto"/>
              </w:rPr>
            </w:pPr>
            <w:r>
              <w:rPr>
                <w:rFonts w:ascii="Arial" w:cs="Arial" w:eastAsia="Arial" w:hAnsi="Arial"/>
                <w:sz w:val="14"/>
                <w:szCs w:val="14"/>
                <w:b w:val="1"/>
                <w:bCs w:val="1"/>
                <w:color w:val="auto"/>
              </w:rPr>
              <w:t>Fair Value</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Average Useful Life</w:t>
            </w:r>
          </w:p>
        </w:tc>
        <w:tc>
          <w:tcPr>
            <w:tcW w:w="80" w:type="dxa"/>
            <w:vAlign w:val="bottom"/>
          </w:tcPr>
          <w:p>
            <w:pPr>
              <w:spacing w:after="0"/>
              <w:rPr>
                <w:sz w:val="17"/>
                <w:szCs w:val="17"/>
                <w:color w:val="auto"/>
              </w:rPr>
            </w:pPr>
          </w:p>
        </w:tc>
      </w:tr>
      <w:tr>
        <w:trPr>
          <w:trHeight w:val="189"/>
        </w:trPr>
        <w:tc>
          <w:tcPr>
            <w:tcW w:w="5120" w:type="dxa"/>
            <w:vAlign w:val="bottom"/>
          </w:tcPr>
          <w:p>
            <w:pPr>
              <w:spacing w:after="0"/>
              <w:rPr>
                <w:sz w:val="16"/>
                <w:szCs w:val="16"/>
                <w:color w:val="auto"/>
              </w:rPr>
            </w:pPr>
          </w:p>
        </w:tc>
        <w:tc>
          <w:tcPr>
            <w:tcW w:w="1740" w:type="dxa"/>
            <w:vAlign w:val="bottom"/>
            <w:tcBorders>
              <w:bottom w:val="single" w:sz="8" w:color="auto"/>
            </w:tcBorders>
          </w:tcPr>
          <w:p>
            <w:pPr>
              <w:jc w:val="center"/>
              <w:ind w:left="561"/>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80" w:type="dxa"/>
            <w:vAlign w:val="bottom"/>
          </w:tcPr>
          <w:p>
            <w:pPr>
              <w:spacing w:after="0"/>
              <w:rPr>
                <w:sz w:val="16"/>
                <w:szCs w:val="16"/>
                <w:color w:val="auto"/>
              </w:rPr>
            </w:pPr>
          </w:p>
        </w:tc>
      </w:tr>
      <w:tr>
        <w:trPr>
          <w:trHeight w:val="196"/>
        </w:trPr>
        <w:tc>
          <w:tcPr>
            <w:tcW w:w="5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Customer relationships</w:t>
            </w:r>
          </w:p>
        </w:tc>
        <w:tc>
          <w:tcPr>
            <w:tcW w:w="1740" w:type="dxa"/>
            <w:vAlign w:val="bottom"/>
            <w:shd w:val="clear" w:color="auto" w:fill="CFF0FC"/>
          </w:tcPr>
          <w:p>
            <w:pPr>
              <w:jc w:val="right"/>
              <w:ind w:right="1541"/>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17,877</w:t>
            </w:r>
          </w:p>
        </w:tc>
        <w:tc>
          <w:tcPr>
            <w:tcW w:w="220" w:type="dxa"/>
            <w:vAlign w:val="bottom"/>
            <w:shd w:val="clear" w:color="auto" w:fill="CFF0FC"/>
          </w:tcPr>
          <w:p>
            <w:pPr>
              <w:spacing w:after="0"/>
              <w:rPr>
                <w:sz w:val="17"/>
                <w:szCs w:val="17"/>
                <w:color w:val="auto"/>
              </w:rPr>
            </w:pPr>
          </w:p>
        </w:tc>
        <w:tc>
          <w:tcPr>
            <w:tcW w:w="2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7"/>
                <w:szCs w:val="17"/>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7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7,851</w:t>
            </w:r>
          </w:p>
        </w:tc>
        <w:tc>
          <w:tcPr>
            <w:tcW w:w="2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7"/>
                <w:szCs w:val="17"/>
                <w:color w:val="auto"/>
              </w:rPr>
            </w:pPr>
          </w:p>
        </w:tc>
      </w:tr>
      <w:tr>
        <w:trPr>
          <w:trHeight w:val="203"/>
        </w:trPr>
        <w:tc>
          <w:tcPr>
            <w:tcW w:w="51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Trade name</w:t>
            </w:r>
          </w:p>
        </w:tc>
        <w:tc>
          <w:tcPr>
            <w:tcW w:w="17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846</w:t>
            </w:r>
          </w:p>
        </w:tc>
        <w:tc>
          <w:tcPr>
            <w:tcW w:w="254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120" w:type="dxa"/>
            <w:vAlign w:val="bottom"/>
          </w:tcPr>
          <w:p>
            <w:pPr>
              <w:spacing w:after="0" w:line="182" w:lineRule="exact"/>
              <w:rPr>
                <w:sz w:val="20"/>
                <w:szCs w:val="20"/>
                <w:color w:val="auto"/>
              </w:rPr>
            </w:pPr>
            <w:r>
              <w:rPr>
                <w:rFonts w:ascii="Arial" w:cs="Arial" w:eastAsia="Arial" w:hAnsi="Arial"/>
                <w:sz w:val="18"/>
                <w:szCs w:val="18"/>
                <w:color w:val="auto"/>
              </w:rPr>
              <w:t>Total identifiable intangible assets</w:t>
            </w:r>
          </w:p>
        </w:tc>
        <w:tc>
          <w:tcPr>
            <w:tcW w:w="1740" w:type="dxa"/>
            <w:vAlign w:val="bottom"/>
            <w:tcBorders>
              <w:bottom w:val="single" w:sz="8" w:color="auto"/>
            </w:tcBorders>
          </w:tcPr>
          <w:p>
            <w:pPr>
              <w:jc w:val="right"/>
              <w:ind w:right="1541"/>
              <w:spacing w:after="0" w:line="182"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26,574</w:t>
            </w:r>
          </w:p>
        </w:tc>
        <w:tc>
          <w:tcPr>
            <w:tcW w:w="2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8</w:t>
            </w:r>
          </w:p>
        </w:tc>
        <w:tc>
          <w:tcPr>
            <w:tcW w:w="80" w:type="dxa"/>
            <w:vAlign w:val="bottom"/>
          </w:tcPr>
          <w:p>
            <w:pPr>
              <w:spacing w:after="0"/>
              <w:rPr>
                <w:sz w:val="17"/>
                <w:szCs w:val="17"/>
                <w:color w:val="auto"/>
              </w:rPr>
            </w:pPr>
          </w:p>
        </w:tc>
      </w:tr>
      <w:tr>
        <w:trPr>
          <w:trHeight w:val="20"/>
        </w:trPr>
        <w:tc>
          <w:tcPr>
            <w:tcW w:w="5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-159385</wp:posOffset>
            </wp:positionV>
            <wp:extent cx="5143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55"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At the closing of the acquisition, EBI became a wholly owned subsidiary of the Company and EBI’s operations have been included in the Company’s condensed consolidated financial statements in the Company’s satellite services segment commencing on the acquisition date.</w:t>
      </w:r>
    </w:p>
    <w:p>
      <w:pPr>
        <w:spacing w:after="0" w:line="149"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As EBI’s results of operations are not material to the Company’s consolidated results of operations, pro forma results of operations for this acquisition have not been presented.</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RigNet, Inc.</w:t>
      </w:r>
    </w:p>
    <w:p>
      <w:pPr>
        <w:spacing w:after="0" w:line="85"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On April 30, 2021, the Company completed the acquisition of all outstanding shares of RigNet, a publicly held leading provider of ultra-secure, intelligent networking solutions and specialized applications. The acquisition of RigNet is beneficial to the Company as it enables the Company to expand into new and adjacent industries, including renewable energy, transportation, maritime, mining and other enterprise markets. These benefits and additional opportunities were among the factors that contributed to a purchase price resulting in the recognition of preliminary estimated goodwill, which was recorded within the Company’s satellite services segment. The goodwill recognized is not deductible for U.S. and foreign income tax purposes.</w:t>
      </w:r>
    </w:p>
    <w:p>
      <w:pPr>
        <w:spacing w:after="0" w:line="151" w:lineRule="exact"/>
        <w:rPr>
          <w:sz w:val="20"/>
          <w:szCs w:val="20"/>
          <w:color w:val="auto"/>
        </w:rPr>
      </w:pPr>
    </w:p>
    <w:p>
      <w:pPr>
        <w:ind w:right="200" w:firstLine="509"/>
        <w:spacing w:after="0" w:line="237" w:lineRule="auto"/>
        <w:rPr>
          <w:sz w:val="20"/>
          <w:szCs w:val="20"/>
          <w:color w:val="auto"/>
        </w:rPr>
      </w:pPr>
      <w:r>
        <w:rPr>
          <w:rFonts w:ascii="Arial" w:cs="Arial" w:eastAsia="Arial" w:hAnsi="Arial"/>
          <w:sz w:val="18"/>
          <w:szCs w:val="18"/>
          <w:color w:val="auto"/>
        </w:rPr>
        <w:t>The consideration transferred of approximately $317.9 million was primarily comprised of $207.2 million of the fair value of approximately 4.0 million shares of the Company’s common stock issued at the closing date, $107.3 million related to the pay down of outstanding borrowings of RigNet’s revolving credit facility, a de minimis amount in cash consideration in respect of fractional shares to the former shareholders of RigNet and an insignificant amount of other consideration. In connection with the RigNet acquisition, the Company recorded merger-related transaction costs of an insignificant amount and approximately $7.2 million, respectively, for the three and nine months ended December 31, 2021, included in selling, general and administrative expenses.</w:t>
      </w:r>
    </w:p>
    <w:p>
      <w:pPr>
        <w:spacing w:after="0" w:line="151" w:lineRule="exact"/>
        <w:rPr>
          <w:sz w:val="20"/>
          <w:szCs w:val="20"/>
          <w:color w:val="auto"/>
        </w:rPr>
      </w:pPr>
    </w:p>
    <w:p>
      <w:pPr>
        <w:jc w:val="both"/>
        <w:ind w:right="80" w:firstLine="509"/>
        <w:spacing w:after="0"/>
        <w:rPr>
          <w:sz w:val="20"/>
          <w:szCs w:val="20"/>
          <w:color w:val="auto"/>
        </w:rPr>
      </w:pPr>
      <w:r>
        <w:rPr>
          <w:rFonts w:ascii="Arial" w:cs="Arial" w:eastAsia="Arial" w:hAnsi="Arial"/>
          <w:sz w:val="18"/>
          <w:szCs w:val="18"/>
          <w:color w:val="auto"/>
        </w:rPr>
        <w:t>The purchase price allocation is preliminary primarily due to the finalization of the Company’s valuation analysis and review of various tax attributes. The preliminary purchase price allocation of the acquired assets and assumed liabilities based on the estimated fair values as of April 30, 2021 is as follows: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6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40" w:type="dxa"/>
            <w:vAlign w:val="bottom"/>
            <w:gridSpan w:val="2"/>
          </w:tcPr>
          <w:p>
            <w:pPr>
              <w:jc w:val="right"/>
              <w:ind w:right="1090"/>
              <w:spacing w:after="0"/>
              <w:rPr>
                <w:sz w:val="20"/>
                <w:szCs w:val="20"/>
                <w:color w:val="auto"/>
              </w:rPr>
            </w:pPr>
            <w:r>
              <w:rPr>
                <w:rFonts w:ascii="Arial" w:cs="Arial" w:eastAsia="Arial" w:hAnsi="Arial"/>
                <w:sz w:val="14"/>
                <w:szCs w:val="14"/>
                <w:b w:val="1"/>
                <w:bCs w:val="1"/>
                <w:color w:val="auto"/>
              </w:rPr>
              <w:t>(In thousands)</w:t>
            </w:r>
          </w:p>
        </w:tc>
      </w:tr>
      <w:tr>
        <w:trPr>
          <w:trHeight w:val="196"/>
        </w:trPr>
        <w:tc>
          <w:tcPr>
            <w:tcW w:w="6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Current assets</w:t>
            </w:r>
          </w:p>
        </w:tc>
        <w:tc>
          <w:tcPr>
            <w:tcW w:w="600" w:type="dxa"/>
            <w:vAlign w:val="bottom"/>
            <w:tcBorders>
              <w:top w:val="single" w:sz="8" w:color="auto"/>
            </w:tcBorders>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w w:val="99"/>
              </w:rPr>
              <w:t>$</w:t>
            </w:r>
          </w:p>
        </w:tc>
        <w:tc>
          <w:tcPr>
            <w:tcW w:w="2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88,166</w:t>
            </w:r>
          </w:p>
        </w:tc>
        <w:tc>
          <w:tcPr>
            <w:tcW w:w="100" w:type="dxa"/>
            <w:vAlign w:val="bottom"/>
            <w:shd w:val="clear" w:color="auto" w:fill="CFF0FC"/>
          </w:tcPr>
          <w:p>
            <w:pPr>
              <w:spacing w:after="0"/>
              <w:rPr>
                <w:sz w:val="17"/>
                <w:szCs w:val="17"/>
                <w:color w:val="auto"/>
              </w:rPr>
            </w:pPr>
          </w:p>
        </w:tc>
      </w:tr>
      <w:tr>
        <w:trPr>
          <w:trHeight w:val="203"/>
        </w:trPr>
        <w:tc>
          <w:tcPr>
            <w:tcW w:w="6860" w:type="dxa"/>
            <w:vAlign w:val="bottom"/>
          </w:tcPr>
          <w:p>
            <w:pPr>
              <w:spacing w:after="0" w:line="202" w:lineRule="exact"/>
              <w:rPr>
                <w:sz w:val="20"/>
                <w:szCs w:val="20"/>
                <w:color w:val="auto"/>
              </w:rPr>
            </w:pPr>
            <w:r>
              <w:rPr>
                <w:rFonts w:ascii="Arial" w:cs="Arial" w:eastAsia="Arial" w:hAnsi="Arial"/>
                <w:sz w:val="18"/>
                <w:szCs w:val="18"/>
                <w:color w:val="auto"/>
              </w:rPr>
              <w:t>Property, equipment and satellites</w:t>
            </w:r>
          </w:p>
        </w:tc>
        <w:tc>
          <w:tcPr>
            <w:tcW w:w="600" w:type="dxa"/>
            <w:vAlign w:val="bottom"/>
          </w:tcPr>
          <w:p>
            <w:pPr>
              <w:spacing w:after="0"/>
              <w:rPr>
                <w:sz w:val="17"/>
                <w:szCs w:val="17"/>
                <w:color w:val="auto"/>
              </w:rPr>
            </w:pP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63,191</w:t>
            </w:r>
          </w:p>
        </w:tc>
        <w:tc>
          <w:tcPr>
            <w:tcW w:w="100" w:type="dxa"/>
            <w:vAlign w:val="bottom"/>
          </w:tcPr>
          <w:p>
            <w:pPr>
              <w:spacing w:after="0"/>
              <w:rPr>
                <w:sz w:val="17"/>
                <w:szCs w:val="17"/>
                <w:color w:val="auto"/>
              </w:rPr>
            </w:pPr>
          </w:p>
        </w:tc>
      </w:tr>
      <w:tr>
        <w:trPr>
          <w:trHeight w:val="203"/>
        </w:trPr>
        <w:tc>
          <w:tcPr>
            <w:tcW w:w="6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Identifiable intangible assets</w:t>
            </w:r>
          </w:p>
        </w:tc>
        <w:tc>
          <w:tcPr>
            <w:tcW w:w="600" w:type="dxa"/>
            <w:vAlign w:val="bottom"/>
            <w:shd w:val="clear" w:color="auto" w:fill="CFF0FC"/>
          </w:tcPr>
          <w:p>
            <w:pPr>
              <w:spacing w:after="0"/>
              <w:rPr>
                <w:sz w:val="17"/>
                <w:szCs w:val="17"/>
                <w:color w:val="auto"/>
              </w:rPr>
            </w:pPr>
          </w:p>
        </w:tc>
        <w:tc>
          <w:tcPr>
            <w:tcW w:w="2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221,540</w:t>
            </w:r>
          </w:p>
        </w:tc>
        <w:tc>
          <w:tcPr>
            <w:tcW w:w="100" w:type="dxa"/>
            <w:vAlign w:val="bottom"/>
            <w:shd w:val="clear" w:color="auto" w:fill="CFF0FC"/>
          </w:tcPr>
          <w:p>
            <w:pPr>
              <w:spacing w:after="0"/>
              <w:rPr>
                <w:sz w:val="17"/>
                <w:szCs w:val="17"/>
                <w:color w:val="auto"/>
              </w:rPr>
            </w:pPr>
          </w:p>
        </w:tc>
      </w:tr>
      <w:tr>
        <w:trPr>
          <w:trHeight w:val="203"/>
        </w:trPr>
        <w:tc>
          <w:tcPr>
            <w:tcW w:w="686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600" w:type="dxa"/>
            <w:vAlign w:val="bottom"/>
          </w:tcPr>
          <w:p>
            <w:pPr>
              <w:spacing w:after="0"/>
              <w:rPr>
                <w:sz w:val="17"/>
                <w:szCs w:val="17"/>
                <w:color w:val="auto"/>
              </w:rPr>
            </w:pP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29,132</w:t>
            </w:r>
          </w:p>
        </w:tc>
        <w:tc>
          <w:tcPr>
            <w:tcW w:w="100" w:type="dxa"/>
            <w:vAlign w:val="bottom"/>
          </w:tcPr>
          <w:p>
            <w:pPr>
              <w:spacing w:after="0"/>
              <w:rPr>
                <w:sz w:val="17"/>
                <w:szCs w:val="17"/>
                <w:color w:val="auto"/>
              </w:rPr>
            </w:pPr>
          </w:p>
        </w:tc>
      </w:tr>
      <w:tr>
        <w:trPr>
          <w:trHeight w:val="203"/>
        </w:trPr>
        <w:tc>
          <w:tcPr>
            <w:tcW w:w="68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assets</w:t>
            </w:r>
          </w:p>
        </w:tc>
        <w:tc>
          <w:tcPr>
            <w:tcW w:w="600" w:type="dxa"/>
            <w:vAlign w:val="bottom"/>
            <w:tcBorders>
              <w:bottom w:val="single" w:sz="8" w:color="auto"/>
            </w:tcBorders>
            <w:shd w:val="clear" w:color="auto" w:fill="CFF0FC"/>
          </w:tcPr>
          <w:p>
            <w:pPr>
              <w:spacing w:after="0"/>
              <w:rPr>
                <w:sz w:val="17"/>
                <w:szCs w:val="17"/>
                <w:color w:val="auto"/>
              </w:rPr>
            </w:pPr>
          </w:p>
        </w:tc>
        <w:tc>
          <w:tcPr>
            <w:tcW w:w="2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13,350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860" w:type="dxa"/>
            <w:vAlign w:val="bottom"/>
          </w:tcPr>
          <w:p>
            <w:pPr>
              <w:ind w:left="260"/>
              <w:spacing w:after="0" w:line="196" w:lineRule="exact"/>
              <w:rPr>
                <w:sz w:val="20"/>
                <w:szCs w:val="20"/>
                <w:color w:val="auto"/>
              </w:rPr>
            </w:pPr>
            <w:r>
              <w:rPr>
                <w:rFonts w:ascii="Arial" w:cs="Arial" w:eastAsia="Arial" w:hAnsi="Arial"/>
                <w:sz w:val="18"/>
                <w:szCs w:val="18"/>
                <w:color w:val="auto"/>
              </w:rPr>
              <w:t>Total assets acquired</w:t>
            </w:r>
          </w:p>
        </w:tc>
        <w:tc>
          <w:tcPr>
            <w:tcW w:w="600" w:type="dxa"/>
            <w:vAlign w:val="bottom"/>
          </w:tcPr>
          <w:p>
            <w:pPr>
              <w:jc w:val="right"/>
              <w:ind w:right="390"/>
              <w:spacing w:after="0" w:line="196" w:lineRule="exact"/>
              <w:rPr>
                <w:sz w:val="20"/>
                <w:szCs w:val="20"/>
                <w:color w:val="auto"/>
              </w:rPr>
            </w:pPr>
            <w:r>
              <w:rPr>
                <w:rFonts w:ascii="Arial" w:cs="Arial" w:eastAsia="Arial" w:hAnsi="Arial"/>
                <w:sz w:val="18"/>
                <w:szCs w:val="18"/>
                <w:color w:val="auto"/>
                <w:w w:val="99"/>
              </w:rPr>
              <w:t>$</w:t>
            </w:r>
          </w:p>
        </w:tc>
        <w:tc>
          <w:tcPr>
            <w:tcW w:w="2540" w:type="dxa"/>
            <w:vAlign w:val="bottom"/>
          </w:tcPr>
          <w:p>
            <w:pPr>
              <w:jc w:val="right"/>
              <w:spacing w:after="0" w:line="196" w:lineRule="exact"/>
              <w:rPr>
                <w:sz w:val="20"/>
                <w:szCs w:val="20"/>
                <w:color w:val="auto"/>
              </w:rPr>
            </w:pPr>
            <w:r>
              <w:rPr>
                <w:rFonts w:ascii="Arial" w:cs="Arial" w:eastAsia="Arial" w:hAnsi="Arial"/>
                <w:sz w:val="18"/>
                <w:szCs w:val="18"/>
                <w:color w:val="auto"/>
              </w:rPr>
              <w:t>415,379</w:t>
            </w:r>
          </w:p>
        </w:tc>
        <w:tc>
          <w:tcPr>
            <w:tcW w:w="100" w:type="dxa"/>
            <w:vAlign w:val="bottom"/>
          </w:tcPr>
          <w:p>
            <w:pPr>
              <w:spacing w:after="0"/>
              <w:rPr>
                <w:sz w:val="17"/>
                <w:szCs w:val="17"/>
                <w:color w:val="auto"/>
              </w:rPr>
            </w:pPr>
          </w:p>
        </w:tc>
      </w:tr>
      <w:tr>
        <w:trPr>
          <w:trHeight w:val="203"/>
        </w:trPr>
        <w:tc>
          <w:tcPr>
            <w:tcW w:w="6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liabilities</w:t>
            </w:r>
          </w:p>
        </w:tc>
        <w:tc>
          <w:tcPr>
            <w:tcW w:w="600" w:type="dxa"/>
            <w:vAlign w:val="bottom"/>
            <w:shd w:val="clear" w:color="auto" w:fill="CFF0FC"/>
          </w:tcPr>
          <w:p>
            <w:pPr>
              <w:spacing w:after="0"/>
              <w:rPr>
                <w:sz w:val="17"/>
                <w:szCs w:val="17"/>
                <w:color w:val="auto"/>
              </w:rPr>
            </w:pPr>
          </w:p>
        </w:tc>
        <w:tc>
          <w:tcPr>
            <w:tcW w:w="26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(66,006 )</w:t>
            </w:r>
          </w:p>
        </w:tc>
      </w:tr>
      <w:tr>
        <w:trPr>
          <w:trHeight w:val="203"/>
        </w:trPr>
        <w:tc>
          <w:tcPr>
            <w:tcW w:w="6860" w:type="dxa"/>
            <w:vAlign w:val="bottom"/>
          </w:tcPr>
          <w:p>
            <w:pPr>
              <w:spacing w:after="0" w:line="202" w:lineRule="exact"/>
              <w:rPr>
                <w:sz w:val="20"/>
                <w:szCs w:val="20"/>
                <w:color w:val="auto"/>
              </w:rPr>
            </w:pPr>
            <w:r>
              <w:rPr>
                <w:rFonts w:ascii="Arial" w:cs="Arial" w:eastAsia="Arial" w:hAnsi="Arial"/>
                <w:sz w:val="18"/>
                <w:szCs w:val="18"/>
                <w:color w:val="auto"/>
              </w:rPr>
              <w:t>Other long-term liabilities</w:t>
            </w:r>
          </w:p>
        </w:tc>
        <w:tc>
          <w:tcPr>
            <w:tcW w:w="600" w:type="dxa"/>
            <w:vAlign w:val="bottom"/>
          </w:tcPr>
          <w:p>
            <w:pPr>
              <w:spacing w:after="0"/>
              <w:rPr>
                <w:sz w:val="17"/>
                <w:szCs w:val="17"/>
                <w:color w:val="auto"/>
              </w:rPr>
            </w:pPr>
          </w:p>
        </w:tc>
        <w:tc>
          <w:tcPr>
            <w:tcW w:w="2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(31,433 )</w:t>
            </w:r>
          </w:p>
        </w:tc>
      </w:tr>
      <w:tr>
        <w:trPr>
          <w:trHeight w:val="196"/>
        </w:trPr>
        <w:tc>
          <w:tcPr>
            <w:tcW w:w="6860" w:type="dxa"/>
            <w:vAlign w:val="bottom"/>
            <w:tcBorders>
              <w:bottom w:val="single" w:sz="8" w:color="CFF0FC"/>
            </w:tcBorders>
            <w:shd w:val="clear" w:color="auto" w:fill="CFF0FC"/>
          </w:tcPr>
          <w:p>
            <w:pPr>
              <w:ind w:left="260"/>
              <w:spacing w:after="0" w:line="196" w:lineRule="exact"/>
              <w:rPr>
                <w:sz w:val="20"/>
                <w:szCs w:val="20"/>
                <w:color w:val="auto"/>
              </w:rPr>
            </w:pPr>
            <w:r>
              <w:rPr>
                <w:rFonts w:ascii="Arial" w:cs="Arial" w:eastAsia="Arial" w:hAnsi="Arial"/>
                <w:sz w:val="18"/>
                <w:szCs w:val="18"/>
                <w:color w:val="auto"/>
              </w:rPr>
              <w:t>Total liabilities assumed</w:t>
            </w:r>
          </w:p>
        </w:tc>
        <w:tc>
          <w:tcPr>
            <w:tcW w:w="600" w:type="dxa"/>
            <w:vAlign w:val="bottom"/>
            <w:tcBorders>
              <w:top w:val="single" w:sz="8" w:color="auto"/>
              <w:bottom w:val="single" w:sz="8" w:color="auto"/>
            </w:tcBorders>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w w:val="99"/>
              </w:rPr>
              <w:t>$</w:t>
            </w:r>
          </w:p>
        </w:tc>
        <w:tc>
          <w:tcPr>
            <w:tcW w:w="25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(97,439</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6860" w:type="dxa"/>
            <w:vAlign w:val="bottom"/>
          </w:tcPr>
          <w:p>
            <w:pPr>
              <w:spacing w:after="0" w:line="182" w:lineRule="exact"/>
              <w:rPr>
                <w:sz w:val="20"/>
                <w:szCs w:val="20"/>
                <w:color w:val="auto"/>
              </w:rPr>
            </w:pPr>
            <w:r>
              <w:rPr>
                <w:rFonts w:ascii="Arial" w:cs="Arial" w:eastAsia="Arial" w:hAnsi="Arial"/>
                <w:sz w:val="18"/>
                <w:szCs w:val="18"/>
                <w:color w:val="auto"/>
              </w:rPr>
              <w:t>Total consideration transferred</w:t>
            </w:r>
          </w:p>
        </w:tc>
        <w:tc>
          <w:tcPr>
            <w:tcW w:w="600" w:type="dxa"/>
            <w:vAlign w:val="bottom"/>
            <w:tcBorders>
              <w:bottom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w w:val="99"/>
              </w:rPr>
              <w:t>$</w:t>
            </w:r>
          </w:p>
        </w:tc>
        <w:tc>
          <w:tcPr>
            <w:tcW w:w="25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317,940</w:t>
            </w:r>
          </w:p>
        </w:tc>
        <w:tc>
          <w:tcPr>
            <w:tcW w:w="100" w:type="dxa"/>
            <w:vAlign w:val="bottom"/>
          </w:tcPr>
          <w:p>
            <w:pPr>
              <w:spacing w:after="0"/>
              <w:rPr>
                <w:sz w:val="17"/>
                <w:szCs w:val="17"/>
                <w:color w:val="auto"/>
              </w:rPr>
            </w:pPr>
          </w:p>
        </w:tc>
      </w:tr>
      <w:tr>
        <w:trPr>
          <w:trHeight w:val="20"/>
        </w:trPr>
        <w:tc>
          <w:tcPr>
            <w:tcW w:w="68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-690880</wp:posOffset>
            </wp:positionV>
            <wp:extent cx="6032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55"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Amounts assigned to identifiable intangible assets are preliminary and are being amortized on a straight-line basis over their estimated useful lives (which approximates the economic pattern of benefit) and are as follows as of April 30, 2021:</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700" w:type="dxa"/>
            <w:vAlign w:val="bottom"/>
          </w:tcPr>
          <w:p>
            <w:pPr>
              <w:jc w:val="center"/>
              <w:ind w:left="601"/>
              <w:spacing w:after="0"/>
              <w:rPr>
                <w:sz w:val="20"/>
                <w:szCs w:val="20"/>
                <w:color w:val="auto"/>
              </w:rPr>
            </w:pPr>
            <w:r>
              <w:rPr>
                <w:rFonts w:ascii="Arial" w:cs="Arial" w:eastAsia="Arial" w:hAnsi="Arial"/>
                <w:sz w:val="14"/>
                <w:szCs w:val="14"/>
                <w:b w:val="1"/>
                <w:bCs w:val="1"/>
                <w:color w:val="auto"/>
              </w:rPr>
              <w:t>Preliminary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Estimated Weighted</w:t>
            </w:r>
          </w:p>
        </w:tc>
        <w:tc>
          <w:tcPr>
            <w:tcW w:w="80" w:type="dxa"/>
            <w:vAlign w:val="bottom"/>
          </w:tcPr>
          <w:p>
            <w:pPr>
              <w:spacing w:after="0"/>
              <w:rPr>
                <w:sz w:val="16"/>
                <w:szCs w:val="16"/>
                <w:color w:val="auto"/>
              </w:rPr>
            </w:pPr>
          </w:p>
        </w:tc>
      </w:tr>
      <w:tr>
        <w:trPr>
          <w:trHeight w:val="201"/>
        </w:trPr>
        <w:tc>
          <w:tcPr>
            <w:tcW w:w="5120" w:type="dxa"/>
            <w:vAlign w:val="bottom"/>
          </w:tcPr>
          <w:p>
            <w:pPr>
              <w:spacing w:after="0"/>
              <w:rPr>
                <w:sz w:val="17"/>
                <w:szCs w:val="17"/>
                <w:color w:val="auto"/>
              </w:rPr>
            </w:pPr>
          </w:p>
        </w:tc>
        <w:tc>
          <w:tcPr>
            <w:tcW w:w="1700" w:type="dxa"/>
            <w:vAlign w:val="bottom"/>
          </w:tcPr>
          <w:p>
            <w:pPr>
              <w:jc w:val="center"/>
              <w:ind w:left="581"/>
              <w:spacing w:after="0"/>
              <w:rPr>
                <w:sz w:val="20"/>
                <w:szCs w:val="20"/>
                <w:color w:val="auto"/>
              </w:rPr>
            </w:pPr>
            <w:r>
              <w:rPr>
                <w:rFonts w:ascii="Arial" w:cs="Arial" w:eastAsia="Arial" w:hAnsi="Arial"/>
                <w:sz w:val="14"/>
                <w:szCs w:val="14"/>
                <w:b w:val="1"/>
                <w:bCs w:val="1"/>
                <w:color w:val="auto"/>
              </w:rPr>
              <w:t>Fair Value</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Average Useful Life</w:t>
            </w:r>
          </w:p>
        </w:tc>
        <w:tc>
          <w:tcPr>
            <w:tcW w:w="80" w:type="dxa"/>
            <w:vAlign w:val="bottom"/>
          </w:tcPr>
          <w:p>
            <w:pPr>
              <w:spacing w:after="0"/>
              <w:rPr>
                <w:sz w:val="17"/>
                <w:szCs w:val="17"/>
                <w:color w:val="auto"/>
              </w:rPr>
            </w:pPr>
          </w:p>
        </w:tc>
      </w:tr>
      <w:tr>
        <w:trPr>
          <w:trHeight w:val="189"/>
        </w:trPr>
        <w:tc>
          <w:tcPr>
            <w:tcW w:w="5120" w:type="dxa"/>
            <w:vAlign w:val="bottom"/>
          </w:tcPr>
          <w:p>
            <w:pPr>
              <w:spacing w:after="0"/>
              <w:rPr>
                <w:sz w:val="16"/>
                <w:szCs w:val="16"/>
                <w:color w:val="auto"/>
              </w:rPr>
            </w:pPr>
          </w:p>
        </w:tc>
        <w:tc>
          <w:tcPr>
            <w:tcW w:w="1700" w:type="dxa"/>
            <w:vAlign w:val="bottom"/>
            <w:tcBorders>
              <w:bottom w:val="single" w:sz="8" w:color="auto"/>
            </w:tcBorders>
          </w:tcPr>
          <w:p>
            <w:pPr>
              <w:jc w:val="center"/>
              <w:ind w:left="601"/>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80" w:type="dxa"/>
            <w:vAlign w:val="bottom"/>
          </w:tcPr>
          <w:p>
            <w:pPr>
              <w:spacing w:after="0"/>
              <w:rPr>
                <w:sz w:val="16"/>
                <w:szCs w:val="16"/>
                <w:color w:val="auto"/>
              </w:rPr>
            </w:pPr>
          </w:p>
        </w:tc>
      </w:tr>
      <w:tr>
        <w:trPr>
          <w:trHeight w:val="196"/>
        </w:trPr>
        <w:tc>
          <w:tcPr>
            <w:tcW w:w="5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Technology</w:t>
            </w:r>
          </w:p>
        </w:tc>
        <w:tc>
          <w:tcPr>
            <w:tcW w:w="1700" w:type="dxa"/>
            <w:vAlign w:val="bottom"/>
            <w:shd w:val="clear" w:color="auto" w:fill="CFF0FC"/>
          </w:tcPr>
          <w:p>
            <w:pPr>
              <w:jc w:val="right"/>
              <w:ind w:right="1501"/>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85,440</w:t>
            </w:r>
          </w:p>
        </w:tc>
        <w:tc>
          <w:tcPr>
            <w:tcW w:w="220" w:type="dxa"/>
            <w:vAlign w:val="bottom"/>
            <w:shd w:val="clear" w:color="auto" w:fill="CFF0FC"/>
          </w:tcPr>
          <w:p>
            <w:pPr>
              <w:spacing w:after="0"/>
              <w:rPr>
                <w:sz w:val="17"/>
                <w:szCs w:val="17"/>
                <w:color w:val="auto"/>
              </w:rPr>
            </w:pPr>
          </w:p>
        </w:tc>
        <w:tc>
          <w:tcPr>
            <w:tcW w:w="2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7"/>
                <w:szCs w:val="17"/>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17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101,920</w:t>
            </w:r>
          </w:p>
        </w:tc>
        <w:tc>
          <w:tcPr>
            <w:tcW w:w="2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w:t>
            </w:r>
          </w:p>
        </w:tc>
        <w:tc>
          <w:tcPr>
            <w:tcW w:w="80" w:type="dxa"/>
            <w:vAlign w:val="bottom"/>
          </w:tcPr>
          <w:p>
            <w:pPr>
              <w:spacing w:after="0"/>
              <w:rPr>
                <w:sz w:val="17"/>
                <w:szCs w:val="17"/>
                <w:color w:val="auto"/>
              </w:rPr>
            </w:pPr>
          </w:p>
        </w:tc>
      </w:tr>
      <w:tr>
        <w:trPr>
          <w:trHeight w:val="203"/>
        </w:trPr>
        <w:tc>
          <w:tcPr>
            <w:tcW w:w="5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Trade name</w:t>
            </w:r>
          </w:p>
        </w:tc>
        <w:tc>
          <w:tcPr>
            <w:tcW w:w="17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25,540</w:t>
            </w:r>
          </w:p>
        </w:tc>
        <w:tc>
          <w:tcPr>
            <w:tcW w:w="25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7"/>
                <w:szCs w:val="17"/>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7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8,640</w:t>
            </w:r>
          </w:p>
        </w:tc>
        <w:tc>
          <w:tcPr>
            <w:tcW w:w="2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w:t>
            </w:r>
          </w:p>
        </w:tc>
        <w:tc>
          <w:tcPr>
            <w:tcW w:w="80" w:type="dxa"/>
            <w:vAlign w:val="bottom"/>
          </w:tcPr>
          <w:p>
            <w:pPr>
              <w:spacing w:after="0"/>
              <w:rPr>
                <w:sz w:val="17"/>
                <w:szCs w:val="17"/>
                <w:color w:val="auto"/>
              </w:rPr>
            </w:pPr>
          </w:p>
        </w:tc>
      </w:tr>
      <w:tr>
        <w:trPr>
          <w:trHeight w:val="236"/>
        </w:trPr>
        <w:tc>
          <w:tcPr>
            <w:tcW w:w="51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identifiable intangible assets</w:t>
            </w:r>
          </w:p>
        </w:tc>
        <w:tc>
          <w:tcPr>
            <w:tcW w:w="1700" w:type="dxa"/>
            <w:vAlign w:val="bottom"/>
            <w:tcBorders>
              <w:bottom w:val="single" w:sz="8" w:color="auto"/>
            </w:tcBorders>
            <w:shd w:val="clear" w:color="auto" w:fill="CFF0FC"/>
          </w:tcPr>
          <w:p>
            <w:pPr>
              <w:jc w:val="right"/>
              <w:ind w:right="1501"/>
              <w:spacing w:after="0" w:line="182"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8"/>
              </w:rPr>
              <w:t>221,540</w:t>
            </w:r>
          </w:p>
        </w:tc>
        <w:tc>
          <w:tcPr>
            <w:tcW w:w="254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10</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-24765</wp:posOffset>
            </wp:positionV>
            <wp:extent cx="514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514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5"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In connection with the acquisition, the Company assumed a contingent liability associated with a RigNet predecessor subsidiary of approximately $13.8 million, which represented the maximum amount payable under the terms of the agreement. As of December 31, 2021, no amount remains payable as the maximum amount payable was paid during the first and second quarters of fiscal year 2022.</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3"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The condensed consolidated financial statements include the operating results of RigNet from the date of acquisition. Since the acquisition date, the Company recorded approximately $52.2 million and $131.4 million in revenue for the three and nine months ended December 31, 2021, respectively, and $7.0 million and $23.2 million of net losses for the three and nine months ended December 31, 2021, respectively, with respect to the RigNet business primarily in the Company’s satellite services segment (with a portion included in its commercial networks segment) in the condensed consolidated statements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8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unaudited financial information in the table below summarizes the combined results of operations for the Company and RigNet on a pro forma basis, as though the companies had been combined as of the beginning of the prior fiscal year, April 1, 2020. The pro forma information is presented for informational purposes only and may not be indicative of the results of operations that would have been achieved if the acquisition had taken place at the beginning of the related fiscal periods. The pro forma financial information for the three-month and nine-month periods ended December 31, 2021, and December 31, 2020 include the business combination accounting effects primarily related to the amortization and depreciation changes from acquired intangible and tangible assets, acquisition-related transaction costs and related tax effects.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75"/>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916"/>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3"/>
        </w:trPr>
        <w:tc>
          <w:tcPr>
            <w:tcW w:w="5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Pr>
          <w:p>
            <w:pPr>
              <w:spacing w:after="0"/>
              <w:rPr>
                <w:sz w:val="15"/>
                <w:szCs w:val="15"/>
                <w:color w:val="auto"/>
              </w:rPr>
            </w:pPr>
          </w:p>
        </w:tc>
        <w:tc>
          <w:tcPr>
            <w:tcW w:w="158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96"/>
        </w:trPr>
        <w:tc>
          <w:tcPr>
            <w:tcW w:w="5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80" w:type="dxa"/>
            <w:vAlign w:val="bottom"/>
            <w:gridSpan w:val="4"/>
          </w:tcPr>
          <w:p>
            <w:pPr>
              <w:jc w:val="right"/>
              <w:ind w:right="1099"/>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Total revenues</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719,717</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575"/>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622,606</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2,097,548</w:t>
            </w:r>
          </w:p>
        </w:tc>
        <w:tc>
          <w:tcPr>
            <w:tcW w:w="3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1,809,485</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175"/>
        </w:trPr>
        <w:tc>
          <w:tcPr>
            <w:tcW w:w="580" w:type="dxa"/>
            <w:vAlign w:val="bottom"/>
          </w:tcPr>
          <w:p>
            <w:pPr>
              <w:spacing w:after="0"/>
              <w:rPr>
                <w:sz w:val="15"/>
                <w:szCs w:val="15"/>
                <w:color w:val="auto"/>
              </w:rPr>
            </w:pPr>
          </w:p>
        </w:tc>
        <w:tc>
          <w:tcPr>
            <w:tcW w:w="3120" w:type="dxa"/>
            <w:vAlign w:val="bottom"/>
          </w:tcPr>
          <w:p>
            <w:pPr>
              <w:spacing w:after="0" w:line="175" w:lineRule="exact"/>
              <w:rPr>
                <w:sz w:val="20"/>
                <w:szCs w:val="20"/>
                <w:color w:val="auto"/>
              </w:rPr>
            </w:pPr>
            <w:r>
              <w:rPr>
                <w:rFonts w:ascii="Arial" w:cs="Arial" w:eastAsia="Arial" w:hAnsi="Arial"/>
                <w:sz w:val="18"/>
                <w:szCs w:val="18"/>
                <w:color w:val="auto"/>
              </w:rPr>
              <w:t>Net (loss) income attributable</w:t>
            </w: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17"/>
        </w:trPr>
        <w:tc>
          <w:tcPr>
            <w:tcW w:w="58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to Viasat, Inc.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(6,613 )</w:t>
            </w:r>
          </w:p>
        </w:tc>
        <w:tc>
          <w:tcPr>
            <w:tcW w:w="760" w:type="dxa"/>
            <w:vAlign w:val="bottom"/>
          </w:tcPr>
          <w:p>
            <w:pPr>
              <w:jc w:val="right"/>
              <w:ind w:right="57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(4,308 )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9,222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(47,628 )</w:t>
            </w:r>
          </w:p>
        </w:tc>
        <w:tc>
          <w:tcPr>
            <w:tcW w:w="560" w:type="dxa"/>
            <w:vAlign w:val="bottom"/>
          </w:tcPr>
          <w:p>
            <w:pPr>
              <w:spacing w:after="0"/>
              <w:rPr>
                <w:sz w:val="18"/>
                <w:szCs w:val="18"/>
                <w:color w:val="auto"/>
              </w:rPr>
            </w:pPr>
          </w:p>
        </w:tc>
      </w:tr>
      <w:tr>
        <w:trPr>
          <w:trHeight w:val="621"/>
        </w:trPr>
        <w:tc>
          <w:tcPr>
            <w:tcW w:w="5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435"/>
              <w:spacing w:after="0"/>
              <w:rPr>
                <w:sz w:val="20"/>
                <w:szCs w:val="20"/>
                <w:color w:val="auto"/>
              </w:rPr>
            </w:pPr>
            <w:r>
              <w:rPr>
                <w:rFonts w:ascii="Arial" w:cs="Arial" w:eastAsia="Arial" w:hAnsi="Arial"/>
                <w:sz w:val="18"/>
                <w:szCs w:val="18"/>
                <w:color w:val="auto"/>
              </w:rPr>
              <w:t>35</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ind w:right="2980"/>
        <w:spacing w:after="0" w:line="34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the proposed Inmarsat Transaction (as defined below) and any statements regarding the expected timing, benefits, synergies, growth opportunities and other financial and operating benefits thereof, the closing of the Inmarsat Transaction and timing or satisfaction of regulatory and other closing conditions, or the anticipated operations, financial position, liquidity, performance, prospects or growth and scale opportunities of the combined company; the impact of the novel coronavirus (COVID-19) pandemic on our business; our expectations regarding an end to the pandemic and a lessening of its effects on our business, including expectations for increased airline passenger traffic and in-flight connectivity (IFC) growth; projections of earnings, revenue, costs or other financial items; anticipated growth and trends in our business or key markets; future economic conditions and performance; the anticipated benefits of our acquisitions of RigNet, Inc. (RigNet) and Euro Broadband Infrastructure Sàrl (EBI); the development, customer acceptance and anticipated performance of technologies, products or services; satellite construction and launch activities; the performance and anticipated benefits of our ViaSat-2 and ViaSat-3 class satellites and any future satellite we may construct or acquire; the expected completion, capacity, service, coverage, service speeds and other features of our satellites, and the timing, cost, economics and other benefits associated therewith; anticipated subscriber growth; plans, objectives and strategies for future operations; international growth opportunities; the number of additional aircraft under existing contracts with commercial airlines anticipated to be put into service with our IFC systems;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risks and uncertainties related to the Inmarsat Transaction, including the failure to obtain, or delays in obtaining, required regulatory approvals or clearances; the risk that any such approval may result in the imposition of conditions that could adversely affect Viasat, the combined company or the expected benefits of the Inmarsat Transaction; the failure to satisfy any of the closing conditions to the Inmarsat Transaction on a timely basis or at all; any adverse impact on the business of Viasat or Inmarsat as a result of uncertainty surrounding the Inmarsat Transaction; the nature, cost and outcome of any legal proceedings related to the Inmarsat Transaction; the occurrence of any event, change or other circumstances that could give rise to the termination of the definitive agreement for the Inmarsat Transaction, including in circumstances requiring Viasat to pay a termination fee; the risk that Viasat’s stock price may decline significantly if the Inmarsat Transaction is not consummated; the failure to obtain the necessary debt financing arrangements set forth in the commitment letters received in connection with the Inmarsat Transaction; risks that the Inmarsat Transaction disrupts current plans and operations or diverts management’s attention from its ongoing business; the effect of the announcement of the Inmarsat Transaction on the ability of Viasat to retain and hire key personnel and maintain relationships with its customers, suppliers and others with whom it does business; the ability of Viasat to successfully integrate Inmarsat operations, technologies and employees; the ability to realize anticipated benefits and synergies of the Inmarsat Transaction, including the expectation of enhancements to Viasat’s products and services, greater revenue or growth opportunities, operating efficiencies and cost savings; the ability to ensure continued performance and market growth of the combined company’s business; our ability to realize the anticipated benefits of the ViaSat-2 and ViaSat-3 class satellites and any future satellite we may construct or acquire; unexpected expenses related to our satellite projects; our ability to successfully implement our business plan for our broadband services on our anticipated timeline or at all; capacity constraints in our business in the lead-up to the launch of services on our ViaSat-3 satellites; risks associated with the construction, launch and operation of satellites, including the effect of any anomaly, operational failure or degradation in satellite performance; the impact of the COVID-19 pandemic on our business, suppliers, consumers, customers, and employees or the overall economy; our ability to realize the anticipated benefits of our acquisitions or strategic partnering arrangements, including the RigNet and EBI acquisitions;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(including changes affecting spectrum availability or permitted uses) on our ability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36" w:name="page37"/>
    <w:bookmarkEnd w:id="36"/>
    <w:p>
      <w:pPr>
        <w:ind w:right="40"/>
        <w:spacing w:after="0" w:line="236" w:lineRule="auto"/>
        <w:rPr>
          <w:sz w:val="20"/>
          <w:szCs w:val="20"/>
          <w:color w:val="auto"/>
        </w:rPr>
      </w:pPr>
      <w:r>
        <w:rPr>
          <w:rFonts w:ascii="Arial" w:cs="Arial" w:eastAsia="Arial" w:hAnsi="Arial"/>
          <w:sz w:val="18"/>
          <w:szCs w:val="18"/>
          <w:color w:val="auto"/>
        </w:rPr>
        <w:t>sell or deploy our products and services; changes in the way others use spectrum; our inability to access additional spectrum, use spectrum for additional purposes, and/or operate satellites at additional orbital locations; competing uses of the same spectrum or orbital locations that we utilize or seek to utilize; the effect of recent changes to U.S. tax laws;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our Annual Report on Form 10-K for the fiscal year ended March 31, 2021,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are an innovator in communications technologies and services, focused on making connectivity accessible, available and secure for all. Our end-to-end platform of high-capacity Ka-band satellites, ground infrastructure and user terminals enables us to provide cost-effective, high-speed, high-quality broadband solutions to enterprises, consumers, military and government users around the globe, whether on the ground, in the air or at sea. In addition, our government business includes a market-leading portfolio of military tactical data link systems, satellite communication products and services, and cybersecurity and information assurance products and services. We believe that our diversification strategy—anchored in a broad portfolio of products and services—our vertical integration approach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 Viasat, Inc. was incorporated in California in 1986, and reincorporated as a Delaware corporation in 1996.</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Inmarsat Acquisition</w:t>
      </w:r>
    </w:p>
    <w:p>
      <w:pPr>
        <w:spacing w:after="0" w:line="99"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On November 8, 2021, we entered into a Share Purchase Agreement to combine with Connect Topco Limited, a private company limited by shares and incorporated in Guernsey (Inmarsat), with the shareholders of Inmarsat and certain management and employees who hold options and shares of a subsidiary of Inmarsat whose options and shares will be exchanged for shares of Inmarsat prior to closing (collectively, the Sellers). Pursuant to the Share Purchase Agreement, we will purchase all of the issued and outstanding shares of Inmarsat from the Sellers upon the terms and subject to the conditions set forth therein (the Inmarsat Transaction). Our board of directors has unanimously approved the Share Purchase Agreement and the proposed Inmarsat Transaction.</w:t>
      </w:r>
    </w:p>
    <w:p>
      <w:pPr>
        <w:spacing w:after="0" w:line="151"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The total consideration payable by us under the Share Purchase Agreement consists of $850.0 million in cash, subject to adjustments, and approximately 46.36 million unregistered shares of our common stock.</w:t>
      </w:r>
    </w:p>
    <w:p>
      <w:pPr>
        <w:spacing w:after="0" w:line="143"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The closing of the Inmarsat Transaction is subject to customary closing conditions, including receipt of regulatory approvals and clearances, and approval by our stockholders of the issuance of shares in the Inmarsat Transaction and an amendment to our certificate of incorporation to increase the number of shares of common stock authorized for issuance. The Share Purchase Agreement contains certain termination rights for both us and certain of the Sellers and further provides that, upon termination of the Share Purchase Agreement under certain circumstances, we may be obligated to pay a termination fee of up to $200.0 million or to reimburse certain out-of-pocket expenses of certain Sellers up to $40.0 million.</w:t>
      </w:r>
    </w:p>
    <w:p>
      <w:pPr>
        <w:spacing w:after="0" w:line="151"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We have obtained financing commitments for $2.3 billion of new debt facilities in connection with the Inmarsat Transaction (which may be secured and/or unsecured), a portion of which is to be raised between the signing and closing of the Inmarsat Transaction to fund our standalone growth expenditures. We also plan to assume $2.1 billion in principal amount of Inmarsat senior secured bonds and the outstanding indebtedness under Inmarsat’s $2.4 billion senior secured credit facilities. We had also obtained commitments of $ 3.2 billion to backstop certain amendments required under the Revolving Credit Facility and Ex-Im Credit Facility and Inmarsat’s $2.4 billion senior secured credit facilities, which amendments had been obtained under the Revolving Credit Facility and Inmarsat’s $2.4 billion senior secured credit facilities as of the date of this report.</w:t>
      </w:r>
    </w:p>
    <w:p>
      <w:pPr>
        <w:spacing w:after="0" w:line="14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For more detail about the Inmarsat Transaction, please see our Current Report on Form 8-K filed with the SEC on November 8, 2021.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Other Acquisitions</w:t>
      </w:r>
    </w:p>
    <w:p>
      <w:pPr>
        <w:spacing w:after="0" w:line="99"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On April 30, 2021, we completed our acquisition of the remaining 51% interest in EBI, a satellite broadband internet service provider in Europe, Middle East and Africa (EMEA), from Eutelsat. The acquisition is expected to facilitate the diversification of our business portfolio in Europe, while establishing operations, distribution and sales of satellite-based broadband services, ahead of the anticipated ViaSat-3 (EMEA) satellite launch. We paid approximately $ 167.0 million in cash, net of what is currently estimated to be an immaterial amount of estimated purchase price consideration (resulting in a cash outlay of approximately $51.0 million, net of approximately $121.7 million of EBI’s cash on hand) and the fair value of previously held equity method investment of approximately $160.4 million. In connection with the acquisition, we remeasured the previously held equity method investment to its fair value as of the date of the acquisition, recognized previously unrecognized foreign currency gain and settlement of insignificant preexisting relationships, and as a result recorded an insignificant total net gain included in other income, net in the condensed consolidated statements of operations and comprehensive income (loss).</w:t>
      </w:r>
    </w:p>
    <w:p>
      <w:pPr>
        <w:spacing w:after="0" w:line="152" w:lineRule="exact"/>
        <w:rPr>
          <w:sz w:val="20"/>
          <w:szCs w:val="20"/>
          <w:color w:val="auto"/>
        </w:rPr>
      </w:pPr>
    </w:p>
    <w:p>
      <w:pPr>
        <w:ind w:right="340" w:firstLine="509"/>
        <w:spacing w:after="0" w:line="238" w:lineRule="auto"/>
        <w:rPr>
          <w:sz w:val="20"/>
          <w:szCs w:val="20"/>
          <w:color w:val="auto"/>
        </w:rPr>
      </w:pPr>
      <w:r>
        <w:rPr>
          <w:rFonts w:ascii="Arial" w:cs="Arial" w:eastAsia="Arial" w:hAnsi="Arial"/>
          <w:sz w:val="18"/>
          <w:szCs w:val="18"/>
          <w:color w:val="auto"/>
        </w:rPr>
        <w:t>On April 30, 2021, we completed our acquisition of RigNet, a leading provider of ultra-secure, intelligent networking solutions and specialized applications. In connection with the acquisition, we issued approximately 4.0 million shares of our common stock to RigNet former shareholders, paid down $107.3 million of outstanding borrowings of RigNet’s revolving credit facility, paid a de minimis amount of cash in respect of fractional shares and paid an insignificant amount of other consideration. We retained approximately $20.6 million of RigNet’s cash on hand.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99" w:lineRule="exact"/>
        <w:rPr>
          <w:sz w:val="20"/>
          <w:szCs w:val="20"/>
          <w:color w:val="auto"/>
        </w:rPr>
      </w:pPr>
    </w:p>
    <w:p>
      <w:pPr>
        <w:ind w:right="200" w:firstLine="509"/>
        <w:spacing w:after="0" w:line="236" w:lineRule="auto"/>
        <w:rPr>
          <w:sz w:val="20"/>
          <w:szCs w:val="20"/>
          <w:color w:val="auto"/>
        </w:rPr>
      </w:pPr>
      <w:r>
        <w:rPr>
          <w:rFonts w:ascii="Arial" w:cs="Arial" w:eastAsia="Arial" w:hAnsi="Arial"/>
          <w:sz w:val="18"/>
          <w:szCs w:val="18"/>
          <w:color w:val="auto"/>
        </w:rPr>
        <w:t>In March 2020, the global outbreak of COVID-19 was declared a pandemic by the World Health Organization and a national emergency by the U.S. Government. The COVID-19 pandemic and attempts to contain it, such as mandatory closures, “shelter-in-place” orders and travel restrictions, have caused significant disruptions and adverse effects on U.S. and global economies, including impacts to supply chains, customer demand and financial markets. We have taken measures to protect the health and safety of our employees and to work with our customers, employees, suppliers, subcontractors, distributors, resellers and communities to address the disruptions from the pandemic. Although our financial results for the three and nine months ended December 31, 2021 were impacted by the pandemic, the impact was not material to our financial position, results of operations or cash flows in such periods, with continued negative impacts particularly in our commercial aviation business offset by strong demand in our fixed broadband services business and other parts of our business. We continue to expect our diversified businesses to provide resiliency for the remainder of fiscal year 2022.</w:t>
      </w:r>
    </w:p>
    <w:p>
      <w:pPr>
        <w:spacing w:after="0" w:line="153" w:lineRule="exact"/>
        <w:rPr>
          <w:sz w:val="20"/>
          <w:szCs w:val="20"/>
          <w:color w:val="auto"/>
        </w:rPr>
      </w:pPr>
    </w:p>
    <w:p>
      <w:pPr>
        <w:ind w:right="240" w:firstLine="509"/>
        <w:spacing w:after="0" w:line="238" w:lineRule="auto"/>
        <w:rPr>
          <w:sz w:val="20"/>
          <w:szCs w:val="20"/>
          <w:color w:val="auto"/>
        </w:rPr>
      </w:pPr>
      <w:r>
        <w:rPr>
          <w:rFonts w:ascii="Arial" w:cs="Arial" w:eastAsia="Arial" w:hAnsi="Arial"/>
          <w:sz w:val="18"/>
          <w:szCs w:val="18"/>
          <w:color w:val="auto"/>
        </w:rPr>
        <w:t>Our government systems segment, which represented 38% and 39% of our total revenues during the three and nine months ended December 31, 2021, respectively, continued to perform in line with our expectations. Demand for products and services in our government systems segment remained strong despite the COVID-19 pandemic, although our government business continued to experience some administrative delays on certain contractual vehicles reflecting the challenges inherent in the remote work environment resulting from the COVID-19 pandemic.</w:t>
      </w:r>
    </w:p>
    <w:p>
      <w:pPr>
        <w:spacing w:after="0" w:line="148"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During the pandemic, we experienced increased demand for our premium high-speed plans in our fixed broadband services business, reflecting customers’ increased bandwidth needs in a remote working/distance schooling environment. However, the pandemic also caused a severe decline in global air traffic, which reduced demand for our in-flight services and IFC systems in our satellite services and commercial networks segments, respectively. While domestic airline traffic increased during calendar year 2021 (with increased planes in service and higher passenger volumes), global airline traffic is still a fraction of pre-pandemic activity. We expect to continue to see negative impacts on revenues and operating cash flows from our IFC businesses in the remainder of fiscal year 2022 and potentially beyond, but for the effects to continue to lessen over time with increases in passenger air traffic and the return to service of additional currently inactive aircraft. In fiscal year 2020, prior to the pandemic, less than 10% of our total revenues were generated by services and products provided to commercial airlines reported in our satellite services and commercial networks segments.</w:t>
      </w:r>
    </w:p>
    <w:p>
      <w:pPr>
        <w:spacing w:after="0" w:line="153"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The extent of the impact of the COVID-19 pandemic on our business in the remainder of fiscal year 2022 and beyond will depend on many factors, including the duration and scope of the public health emergency, the extent, duration and effectiveness of containment actions taken, the efficacy and extent of vaccination programs, the extent of disruption to important global, regional and local supply chains and economic markets, and the impact of the pandemic on overall supply and demand, global air travel, consumer confidence, discretionary spending levels and levels of economic activity.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Satellite Services</w:t>
      </w:r>
    </w:p>
    <w:p>
      <w:pPr>
        <w:spacing w:after="0" w:line="99" w:lineRule="exact"/>
        <w:rPr>
          <w:sz w:val="20"/>
          <w:szCs w:val="20"/>
          <w:color w:val="auto"/>
        </w:rPr>
      </w:pPr>
    </w:p>
    <w:p>
      <w:pPr>
        <w:ind w:right="80" w:firstLine="509"/>
        <w:spacing w:after="0" w:line="236" w:lineRule="auto"/>
        <w:rPr>
          <w:sz w:val="20"/>
          <w:szCs w:val="20"/>
          <w:color w:val="auto"/>
        </w:rPr>
      </w:pPr>
      <w:r>
        <w:rPr>
          <w:rFonts w:ascii="Arial" w:cs="Arial" w:eastAsia="Arial" w:hAnsi="Arial"/>
          <w:sz w:val="18"/>
          <w:szCs w:val="18"/>
          <w:color w:val="auto"/>
        </w:rPr>
        <w:t>Our satellite services segment uses our proprietary technology platform to provide satellite-based high -speed broadband services around the globe for use in commercial applications. Our proprietary Ka-band satellites are at the core of our technology platform, and we also have access to a number of Ka-band and Ku-band satellites in service globally. We own three Ka-band satellites in service over North America, including our second-generation ViaSat-2 satellite (launched in 2017), our first-generation ViaSat-1 satellite (launched in 2011) and the WildBlue-1 satellite (launched in 2007), and we own the KA-SAT satellite over EMEA. In addition, we have lifetime leases of Ka-band capacity on two satellites—one over North America and a second one over EMEA. We also have a global constellation of three third-generation ViaSat-3 class satellites under construction. We expect our ViaSat-3 constellation, once in service, to enable us to deliver affordable connectivity across most of the world.</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104" w:lineRule="exact"/>
        <w:rPr>
          <w:sz w:val="20"/>
          <w:szCs w:val="20"/>
          <w:color w:val="auto"/>
        </w:rPr>
      </w:pPr>
    </w:p>
    <w:p>
      <w:pPr>
        <w:ind w:left="1020" w:right="2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Fixed broadband services, which provide consumers and businesses with high-speed, high-quality broadband internet access and Voice over Internet Protocol (VoIP) services, primarily in the United States as well as in various countries in Europe and Latin America.</w:t>
      </w:r>
    </w:p>
    <w:p>
      <w:pPr>
        <w:spacing w:after="0" w:line="94" w:lineRule="exact"/>
        <w:rPr>
          <w:rFonts w:ascii="Arial" w:cs="Arial" w:eastAsia="Arial" w:hAnsi="Arial"/>
          <w:sz w:val="18"/>
          <w:szCs w:val="18"/>
          <w:color w:val="auto"/>
        </w:rPr>
      </w:pPr>
    </w:p>
    <w:p>
      <w:pPr>
        <w:ind w:left="1020" w:right="80" w:hanging="503"/>
        <w:spacing w:after="0" w:line="236"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In-flight services, which provide industry-leading IFC, wireless in-flight entertainment and aviation software services. As of December 31, 2021, we had our IFC systems installed and in service on approximately 1,880 commercial aircraft, of which, due to impacts of the COVID-19 pandemic approximately 80 were inactive at quarter end. We anticipate that approximately 860 additional commercial aircraft under existing customer agreements with commercial airlines will be put into service with our IFC systems. However, the timing of installation and entry into service for additional aircraft under existing customer agreements may be delayed due to COVID-19 impacts. Additionally, due to the nature of commercial airline contracts, there can be no assurance that anticipated IFC services will be activated on all such additional commercial aircraft. See the section entitled “COVID-19” above for a discussion of the impact of the COVID-19 pandemic on our in-flight services business.</w:t>
      </w:r>
    </w:p>
    <w:p>
      <w:pPr>
        <w:spacing w:after="0" w:line="126"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Community Internet services, which offer innovative, affordable, satellite-based connectivity in communities that have little, or no, access to the internet. The services help foster digital inclusion by enabling millions of people to connect to affordable high-quality internet services via a centralized community hotspot connected to the internet via satellite. Since launch, our Community Internet services have reached approximately 2 million people living and working in thousands of rural, suburban and urban communities in Mexico. We are trialing services in advance of full commercial launch in other countries, including Brazil, Guatemala and Nigeria.</w:t>
      </w:r>
    </w:p>
    <w:p>
      <w:pPr>
        <w:spacing w:after="0" w:line="94" w:lineRule="exact"/>
        <w:rPr>
          <w:rFonts w:ascii="Arial" w:cs="Arial" w:eastAsia="Arial" w:hAnsi="Arial"/>
          <w:sz w:val="18"/>
          <w:szCs w:val="18"/>
          <w:color w:val="auto"/>
        </w:rPr>
      </w:pPr>
    </w:p>
    <w:p>
      <w:pPr>
        <w:ind w:left="1020" w:right="220" w:hanging="503"/>
        <w:spacing w:after="0" w:line="23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mobile broadband services, which include high-speed, satellite-based internet services to seagoing vessels (such as energy offshore vessels, cruise ships, consumer ferries and yachts), as well as L-band managed services enabling real-time machine-to-machine (M2M) position tracking, management of remote assets and operations, and visibility into critical areas of the supply chain.</w:t>
      </w:r>
    </w:p>
    <w:p>
      <w:pPr>
        <w:spacing w:after="0" w:line="96" w:lineRule="exact"/>
        <w:rPr>
          <w:rFonts w:ascii="Arial" w:cs="Arial" w:eastAsia="Arial" w:hAnsi="Arial"/>
          <w:sz w:val="18"/>
          <w:szCs w:val="18"/>
          <w:color w:val="auto"/>
        </w:rPr>
      </w:pPr>
    </w:p>
    <w:p>
      <w:pPr>
        <w:ind w:left="1020" w:right="380" w:hanging="503"/>
        <w:spacing w:after="0" w:line="23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Advanced software and communication infrastructure services, which include ultra-secure solutions spanning global IP connectivity, bandwidth-optimized over-the-top applications, industrial Internet-of-Things big data enablement and industry-leading machine learning analytics. These services support the evolution of digital enablement, and primarily result from our acquisition of RigNet in the first quarter of fiscal year 2022.</w:t>
      </w:r>
    </w:p>
    <w:p>
      <w:pPr>
        <w:spacing w:after="0" w:line="151"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The assets and results of operations of our recent acquisitions, EBI and RigNet, are primarily included in our satellite services segment (with insignificant amounts included in our commercial networks segment).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w:t>
      </w:r>
    </w:p>
    <w:p>
      <w:pPr>
        <w:spacing w:after="0" w:line="99" w:lineRule="exact"/>
        <w:rPr>
          <w:sz w:val="20"/>
          <w:szCs w:val="20"/>
          <w:color w:val="auto"/>
        </w:rPr>
      </w:pPr>
    </w:p>
    <w:p>
      <w:pPr>
        <w:jc w:val="both"/>
        <w:ind w:right="60" w:firstLine="509"/>
        <w:spacing w:after="0" w:line="238" w:lineRule="auto"/>
        <w:rPr>
          <w:sz w:val="20"/>
          <w:szCs w:val="20"/>
          <w:color w:val="auto"/>
        </w:rPr>
      </w:pPr>
      <w:r>
        <w:rPr>
          <w:rFonts w:ascii="Arial" w:cs="Arial" w:eastAsia="Arial" w:hAnsi="Arial"/>
          <w:sz w:val="18"/>
          <w:szCs w:val="18"/>
          <w:color w:val="auto"/>
        </w:rPr>
        <w:t>Our commercial networks segment develops and sells a wide array of advanced satellite and wireless products, antenna systems and terminal solutions that support or enable the provision of high-speed fixed and mobile broadband services. We design, develop and produce space system solutions for multiple orbital regimes, including geostationary (GEO), medium earth orbit (MEO) and low earth orbit (LEO). The primary products, systems, solutions and services offered by our commercial networks segment are comprised of:</w:t>
      </w:r>
    </w:p>
    <w:p>
      <w:pPr>
        <w:spacing w:after="0" w:line="97"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seagoing vessels and land-mobile systems.</w:t>
      </w:r>
    </w:p>
    <w:p>
      <w:pPr>
        <w:spacing w:after="0" w:line="103" w:lineRule="exact"/>
        <w:rPr>
          <w:rFonts w:ascii="Arial" w:cs="Arial" w:eastAsia="Arial" w:hAnsi="Arial"/>
          <w:sz w:val="18"/>
          <w:szCs w:val="18"/>
          <w:color w:val="auto"/>
        </w:rPr>
      </w:pPr>
    </w:p>
    <w:p>
      <w:pPr>
        <w:ind w:left="1020" w:right="720" w:hanging="503"/>
        <w:spacing w:after="0" w:line="24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Fixed broadband satellite communication systems, including next-generation satellite network infrastructure and ground terminals.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39" w:name="page40"/>
    <w:bookmarkEnd w:id="39"/>
    <w:p>
      <w:pPr>
        <w:ind w:left="1020" w:right="260" w:hanging="503"/>
        <w:spacing w:after="0" w:line="24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Antenna systems, including state-of-the-art ground and airborne terminals, antennas and gateways for terrestrial and satellite customer applications, mobile satellite communication, Ka-band earth stations and other multi-band antennas.</w:t>
      </w:r>
    </w:p>
    <w:p>
      <w:pPr>
        <w:spacing w:after="0" w:line="88" w:lineRule="exact"/>
        <w:rPr>
          <w:rFonts w:ascii="Arial" w:cs="Arial" w:eastAsia="Arial" w:hAnsi="Arial"/>
          <w:sz w:val="18"/>
          <w:szCs w:val="18"/>
          <w:color w:val="auto"/>
        </w:rPr>
      </w:pPr>
    </w:p>
    <w:p>
      <w:pPr>
        <w:ind w:left="1020" w:right="760" w:hanging="503"/>
        <w:spacing w:after="0" w:line="24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Satellite networking development, including specialized design and technology services covering all aspects of satellite communication system architecture and technology.</w:t>
      </w:r>
    </w:p>
    <w:p>
      <w:pPr>
        <w:spacing w:after="0" w:line="88" w:lineRule="exact"/>
        <w:rPr>
          <w:rFonts w:ascii="Arial" w:cs="Arial" w:eastAsia="Arial" w:hAnsi="Arial"/>
          <w:sz w:val="18"/>
          <w:szCs w:val="18"/>
          <w:color w:val="auto"/>
        </w:rPr>
      </w:pPr>
    </w:p>
    <w:p>
      <w:pPr>
        <w:ind w:left="1020" w:right="60" w:hanging="503"/>
        <w:spacing w:after="0" w:line="24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Space systems, including the design and development of high-capacity Ka-band satellites and associated payload technologies for our own satellite fleet as well as for third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99" w:lineRule="exact"/>
        <w:rPr>
          <w:sz w:val="20"/>
          <w:szCs w:val="20"/>
          <w:color w:val="auto"/>
        </w:rPr>
      </w:pPr>
    </w:p>
    <w:p>
      <w:pPr>
        <w:jc w:val="both"/>
        <w:ind w:right="20" w:firstLine="509"/>
        <w:spacing w:after="0"/>
        <w:rPr>
          <w:sz w:val="20"/>
          <w:szCs w:val="20"/>
          <w:color w:val="auto"/>
        </w:rPr>
      </w:pPr>
      <w:r>
        <w:rPr>
          <w:rFonts w:ascii="Arial" w:cs="Arial" w:eastAsia="Arial" w:hAnsi="Arial"/>
          <w:sz w:val="18"/>
          <w:szCs w:val="18"/>
          <w:color w:val="auto"/>
        </w:rPr>
        <w:t>Our government systems segment offers a broad array of products and services designed to enable the collection and transmission of secure real-time digital information and communications between fixed and mobile command centers, intelligence and defense platforms and individuals in the field. The primary products and services of our government systems segment include:</w:t>
      </w:r>
    </w:p>
    <w:p>
      <w:pPr>
        <w:spacing w:after="0" w:line="95" w:lineRule="exact"/>
        <w:rPr>
          <w:sz w:val="20"/>
          <w:szCs w:val="20"/>
          <w:color w:val="auto"/>
        </w:rPr>
      </w:pPr>
    </w:p>
    <w:p>
      <w:pPr>
        <w:jc w:val="both"/>
        <w:ind w:left="1020" w:right="10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 mobile broadband products and services, which provide military and government users with high-speed, real-time, broadband and multimedia connectivity in key regions of the world, as well as line-of-sight and beyond-line-of-sight Intelligence Surveillance and Reconnaissance missions.</w:t>
      </w:r>
    </w:p>
    <w:p>
      <w:pPr>
        <w:spacing w:after="0" w:line="94" w:lineRule="exact"/>
        <w:rPr>
          <w:rFonts w:ascii="Arial" w:cs="Arial" w:eastAsia="Arial" w:hAnsi="Arial"/>
          <w:sz w:val="18"/>
          <w:szCs w:val="18"/>
          <w:color w:val="auto"/>
        </w:rPr>
      </w:pPr>
    </w:p>
    <w:p>
      <w:pPr>
        <w:ind w:left="1020" w:right="6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 satellite communication systems, which offer an array of portable, mobile and fixed broadband modems, terminals, network access control systems and antenna systems, and include products designed for manpacks, aircraft, unmanned aerial vehicles, seagoing vessels, ground-mobile vehicles and fixed applications.</w:t>
      </w:r>
    </w:p>
    <w:p>
      <w:pPr>
        <w:spacing w:after="0" w:line="94" w:lineRule="exact"/>
        <w:rPr>
          <w:rFonts w:ascii="Arial" w:cs="Arial" w:eastAsia="Arial" w:hAnsi="Arial"/>
          <w:sz w:val="18"/>
          <w:szCs w:val="18"/>
          <w:color w:val="auto"/>
        </w:rPr>
      </w:pPr>
    </w:p>
    <w:p>
      <w:pPr>
        <w:ind w:left="1020" w:right="220" w:hanging="503"/>
        <w:spacing w:after="0" w:line="220"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Secure networking, cybersecurity and information assurance products and services, which provide advanced, high-speed IP-based “Type 1” and High Assurance Internet Protocol Encryption (HAIPE</w:t>
      </w:r>
      <w:r>
        <w:rPr>
          <w:rFonts w:ascii="Arial" w:cs="Arial" w:eastAsia="Arial" w:hAnsi="Arial"/>
          <w:sz w:val="24"/>
          <w:szCs w:val="24"/>
          <w:color w:val="auto"/>
          <w:vertAlign w:val="superscript"/>
        </w:rPr>
        <w:t>®</w:t>
      </w:r>
      <w:r>
        <w:rPr>
          <w:rFonts w:ascii="Arial" w:cs="Arial" w:eastAsia="Arial" w:hAnsi="Arial"/>
          <w:sz w:val="18"/>
          <w:szCs w:val="18"/>
          <w:color w:val="auto"/>
        </w:rPr>
        <w:t>)-compliant encryption solutions that enable military and government users to communicate information securely over networks, and that protect the integrity of data stored on computers and storage devices.</w:t>
      </w:r>
    </w:p>
    <w:p>
      <w:pPr>
        <w:spacing w:after="0" w:line="95" w:lineRule="exact"/>
        <w:rPr>
          <w:rFonts w:ascii="Arial" w:cs="Arial" w:eastAsia="Arial" w:hAnsi="Arial"/>
          <w:sz w:val="18"/>
          <w:szCs w:val="18"/>
          <w:color w:val="auto"/>
        </w:rPr>
      </w:pPr>
    </w:p>
    <w:p>
      <w:pPr>
        <w:ind w:left="1020" w:right="20" w:hanging="503"/>
        <w:spacing w:after="0" w:line="23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Tactical data links, including our Battlefield Awareness and Targeting System — Dismounted (BATS-D) handheld Link 16 radios, our Small Tactical Terminal (STT) 2-channel radios for manned and unmanned applications, “disposable” defense data links, and our Multifunctional Information Distribution System (MIDS) and MIDS Joint Tactical Radio Systems (MIDS-JTRS) terminals for military fighter jets.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99" w:lineRule="exact"/>
        <w:rPr>
          <w:sz w:val="20"/>
          <w:szCs w:val="20"/>
          <w:color w:val="auto"/>
        </w:rPr>
      </w:pPr>
    </w:p>
    <w:p>
      <w:pPr>
        <w:ind w:right="480" w:firstLine="509"/>
        <w:spacing w:after="0" w:line="246" w:lineRule="auto"/>
        <w:rPr>
          <w:sz w:val="20"/>
          <w:szCs w:val="20"/>
          <w:color w:val="auto"/>
        </w:rPr>
      </w:pPr>
      <w:r>
        <w:rPr>
          <w:rFonts w:ascii="Arial" w:cs="Arial" w:eastAsia="Arial" w:hAnsi="Arial"/>
          <w:sz w:val="18"/>
          <w:szCs w:val="18"/>
          <w:color w:val="auto"/>
        </w:rPr>
        <w:t>Our satellite services segment revenues are primarily derived from our fixed broadband services, in-flight services and advanced software and communication infrastructure services (acquired through the RigNet acquisition).</w:t>
      </w:r>
    </w:p>
    <w:p>
      <w:pPr>
        <w:spacing w:after="0" w:line="143"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Revenues in our commercial networks and government systems segments are primarily derived from three types of contracts: fixed-price, cost-reimbursement and time-and-materials contracts. Fixed-price contracts (which require us to provide products and services under a contract at a specified price) comprised approximately 91% of our total revenues for these segments for both the three months ended December 31, 2021 and 2020, and approximately 90% and 88% of our total revenues for these segments for the nine months ended December 31, 2021 and 2020, respectively. The remainder of our revenues in these segments for such periods was derived primarily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153"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51" w:lineRule="exact"/>
        <w:rPr>
          <w:sz w:val="20"/>
          <w:szCs w:val="20"/>
          <w:color w:val="auto"/>
        </w:rPr>
      </w:pPr>
    </w:p>
    <w:p>
      <w:pPr>
        <w:ind w:right="240" w:firstLine="509"/>
        <w:spacing w:after="0" w:line="238" w:lineRule="auto"/>
        <w:rPr>
          <w:sz w:val="20"/>
          <w:szCs w:val="20"/>
          <w:color w:val="auto"/>
        </w:rPr>
      </w:pPr>
      <w:r>
        <w:rPr>
          <w:rFonts w:ascii="Arial" w:cs="Arial" w:eastAsia="Arial" w:hAnsi="Arial"/>
          <w:sz w:val="18"/>
          <w:szCs w:val="18"/>
          <w:color w:val="auto"/>
        </w:rPr>
        <w:t>Historically, a significant portion of our revenues in our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development from our customer contracts were approximately 24% and 20% of our</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40" w:name="page41"/>
    <w:bookmarkEnd w:id="40"/>
    <w:p>
      <w:pPr>
        <w:ind w:right="80"/>
        <w:spacing w:after="0" w:line="246" w:lineRule="auto"/>
        <w:rPr>
          <w:sz w:val="20"/>
          <w:szCs w:val="20"/>
          <w:color w:val="auto"/>
        </w:rPr>
      </w:pPr>
      <w:r>
        <w:rPr>
          <w:rFonts w:ascii="Arial" w:cs="Arial" w:eastAsia="Arial" w:hAnsi="Arial"/>
          <w:sz w:val="18"/>
          <w:szCs w:val="18"/>
          <w:color w:val="auto"/>
        </w:rPr>
        <w:t>total revenues for the three months ended December 31, 2021 and 2020, respectively, and approximately 23% of our total revenues for both the nine months ended December 31, 2021 and 2020.</w:t>
      </w:r>
    </w:p>
    <w:p>
      <w:pPr>
        <w:spacing w:after="0" w:line="143"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also incur independent research and development (IR&amp;D) expenses, which are not directly funded by a third party. IR&amp;D expenses consist primarily of salaries and other personnel-related expenses, supplies, prototype materials, testing and certification related to research and development (R&amp;D) projects. IR&amp;D expenses were approximately 5% of total revenues during both the three months ended December 31, 2021 and 2020, and approximately 5% of total revenues during both the nine months ended December 31, 2021 and 2020. As a government contractor, we are able to recover a portion of our IR&amp;D expenses pursuant to our government contracts.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9"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9" w:lineRule="exact"/>
        <w:rPr>
          <w:sz w:val="20"/>
          <w:szCs w:val="20"/>
          <w:color w:val="auto"/>
        </w:rPr>
      </w:pPr>
    </w:p>
    <w:p>
      <w:pPr>
        <w:ind w:right="140" w:firstLine="509"/>
        <w:spacing w:after="0" w:line="237" w:lineRule="auto"/>
        <w:rPr>
          <w:sz w:val="20"/>
          <w:szCs w:val="20"/>
          <w:color w:val="auto"/>
        </w:rPr>
      </w:pPr>
      <w:r>
        <w:rPr>
          <w:rFonts w:ascii="Arial" w:cs="Arial" w:eastAsia="Arial" w:hAnsi="Arial"/>
          <w:sz w:val="18"/>
          <w:szCs w:val="18"/>
          <w:color w:val="auto"/>
        </w:rPr>
        <w:t>We apply the five-step revenue recognition model under Accounting Standards Update (ASU) 2014-09, Revenue from Contracts with Customers (commonly referred to as Accounting Standards Codification (ASC) 606) to our contracts with our customers. Under this model, we (1) identify the contract with the customer, (2) identify our performance obligations in the contract, (3) determine the transaction price for the contract, (4) allocate the transaction price to our performance obligations and (5) recognize revenue when or as we satisfy our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spacing w:after="0" w:line="162" w:lineRule="exact"/>
        <w:rPr>
          <w:sz w:val="20"/>
          <w:szCs w:val="20"/>
          <w:color w:val="auto"/>
        </w:rPr>
      </w:pPr>
    </w:p>
    <w:p>
      <w:pPr>
        <w:ind w:right="160" w:firstLine="509"/>
        <w:spacing w:after="0" w:line="236" w:lineRule="auto"/>
        <w:rPr>
          <w:sz w:val="20"/>
          <w:szCs w:val="20"/>
          <w:color w:val="auto"/>
        </w:rPr>
      </w:pPr>
      <w:r>
        <w:rPr>
          <w:rFonts w:ascii="Arial" w:cs="Arial" w:eastAsia="Arial" w:hAnsi="Arial"/>
          <w:sz w:val="18"/>
          <w:szCs w:val="18"/>
          <w:color w:val="auto"/>
        </w:rPr>
        <w:t>The timing of satisfaction of performance obligations may require judgment. We derive a substantial portion of our revenues from contracts with customers for services, primarily consisting of connectivity services. These contracts typically require advance or recurring monthly payments by the customer. Our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We evaluate whether broadband equipment provided to our customer as part of the delivery of connectivity services represents a lease in accordance with ASC 842. As discussed in Note 1 – Basis of Presentation – Leases to our condensed consolidated financial statements, for broadband equipment leased to fixed broadband customers in conjunction with the delivery of connectivity services, we account for the lease and non-lease components of connectivity services arrangement as a single performance obligation as the connectivity services represent the predominant component.</w:t>
      </w:r>
    </w:p>
    <w:p>
      <w:pPr>
        <w:spacing w:after="0" w:line="153"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We also derive a portion of our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we consider indicators that include, but are not limited to, whether (1) we have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62" w:lineRule="exact"/>
        <w:rPr>
          <w:sz w:val="20"/>
          <w:szCs w:val="20"/>
          <w:color w:val="auto"/>
        </w:rPr>
      </w:pPr>
    </w:p>
    <w:p>
      <w:pPr>
        <w:ind w:right="120" w:firstLine="509"/>
        <w:spacing w:after="0" w:line="237" w:lineRule="auto"/>
        <w:rPr>
          <w:sz w:val="20"/>
          <w:szCs w:val="20"/>
          <w:color w:val="auto"/>
        </w:rPr>
      </w:pPr>
      <w:r>
        <w:rPr>
          <w:rFonts w:ascii="Arial" w:cs="Arial" w:eastAsia="Arial" w:hAnsi="Arial"/>
          <w:sz w:val="18"/>
          <w:szCs w:val="18"/>
          <w:color w:val="auto"/>
        </w:rPr>
        <w:t>The vast majority of our revenues from long-term contracts to develop and deliver complex equipment built to customer specifications are derived from contracts with the U.S. Government (including foreign military sales contracted through the U.S. Government). Our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1" w:name="page42"/>
    <w:bookmarkEnd w:id="41"/>
    <w:p>
      <w:pPr>
        <w:spacing w:after="0" w:line="236" w:lineRule="auto"/>
        <w:rPr>
          <w:sz w:val="20"/>
          <w:szCs w:val="20"/>
          <w:color w:val="auto"/>
        </w:rPr>
      </w:pPr>
      <w:r>
        <w:rPr>
          <w:rFonts w:ascii="Arial" w:cs="Arial" w:eastAsia="Arial" w:hAnsi="Arial"/>
          <w:sz w:val="18"/>
          <w:szCs w:val="18"/>
          <w:color w:val="auto"/>
        </w:rPr>
        <w:t>each customer. Under the typical payment terms of our U.S. Government fixed-price contracts, the customer pays us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our U.S. Government fixed-price contracts generally result in revenue recognized in excess of billings which we present as unbilled accounts receivable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our U.S. Government cost-type contracts, the customer generally pays us for our actual costs incurred within a short period of time. For non-U.S. Government contracts, we typically receive interim payments as work progresses, although for some contracts, we may be entitled to receive an advance payment. We recognize a liability for these advance payments in excess of revenue recognized and present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spacing w:after="0" w:line="162" w:lineRule="exact"/>
        <w:rPr>
          <w:sz w:val="20"/>
          <w:szCs w:val="20"/>
          <w:color w:val="auto"/>
        </w:rPr>
      </w:pPr>
    </w:p>
    <w:p>
      <w:pPr>
        <w:ind w:right="80" w:firstLine="509"/>
        <w:spacing w:after="0" w:line="236"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us and we have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that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 A one percent variance in our future cost estimates on open fixed-price contracts as of December 31, 2021 would change our income (loss) before income taxes by an insignificant amount.</w:t>
      </w:r>
    </w:p>
    <w:p>
      <w:pPr>
        <w:spacing w:after="0" w:line="162"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our performance obligations, the estimation of total revenue, and where applicable the cost at completion, is complex, subject to many variables and requires significant judgment. Our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We estimate variable consideration at the amount to which we expect to be entitled.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In the event an agreement includes embedded financing components, we recognize interest expense or interest income on the embedded financing components using the effective interest method. This methodology uses an implied interest rate which reflects the incremental borrowing rate which would be expected to be obtained in a separate financing transaction. We have elected the practical expedient not to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spacing w:after="0" w:line="173"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we utilize the observable price of a good or service when we sell that good or service separately in similar circumstances and to similar customers. If a standalone selling price is not directly observable, we estimate the standalone selling price by considering all information (including market conditions, specific factors, and information about the customer or class of customer) that is reasonably available.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9"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 We periodically review the remaining estimated useful life of our satellites to determine if revisions to the estimated useful lives are necessary.</w:t>
      </w:r>
    </w:p>
    <w:p>
      <w:pPr>
        <w:spacing w:after="0" w:line="15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own three satellites in service over North America (ViaSat-2, ViaSat-1 and WildBlue-1) and, after acquiring the remaining interest in EBI in the first quarter of fiscal year 2022, we also own the KA-SAT satellite over EMEA. In addition, we have lifetime leases of Ka-band capacity on two satellites. We also have a global constellation of three third-generation ViaSat-3 class satellites under construction. In addition, we own related earth stations and networking equipment for all of our satellites. Property, equipment and satellites, net also includes the customer premise equipment units leased to subscribers under a retail leasing program as part of our satellite services segment.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99" w:lineRule="exact"/>
        <w:rPr>
          <w:sz w:val="20"/>
          <w:szCs w:val="20"/>
          <w:color w:val="auto"/>
        </w:rPr>
      </w:pPr>
    </w:p>
    <w:p>
      <w:pPr>
        <w:ind w:right="140" w:firstLine="509"/>
        <w:spacing w:after="0" w:line="234" w:lineRule="auto"/>
        <w:rPr>
          <w:sz w:val="20"/>
          <w:szCs w:val="20"/>
          <w:color w:val="auto"/>
        </w:rPr>
      </w:pPr>
      <w:r>
        <w:rPr>
          <w:rFonts w:ascii="Arial" w:cs="Arial" w:eastAsia="Arial" w:hAnsi="Arial"/>
          <w:sz w:val="18"/>
          <w:szCs w:val="18"/>
          <w:color w:val="auto"/>
        </w:rPr>
        <w:t>For contracts entered into on or after April 1, 2019, we assess at contract inception whether the contract is, or contains, a lease. Generally, we determine that a lease exists when (1) the contract involves the use of a distinct identified asset, (2) we obtain the right to substantially all economic benefits from use of the asset, and (3) we have the right to direct the use of the asset. A lease is classified as a finance lease when one or more of the following criteria are met: (1) the lease transfers ownership of the asset by the end of the lease term,</w:t>
      </w:r>
    </w:p>
    <w:p>
      <w:pPr>
        <w:spacing w:after="0" w:line="3" w:lineRule="exact"/>
        <w:rPr>
          <w:sz w:val="20"/>
          <w:szCs w:val="20"/>
          <w:color w:val="auto"/>
        </w:rPr>
      </w:pPr>
    </w:p>
    <w:p>
      <w:pPr>
        <w:ind w:right="20" w:firstLine="8"/>
        <w:spacing w:after="0" w:line="238" w:lineRule="auto"/>
        <w:tabs>
          <w:tab w:leader="none" w:pos="27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p>
    <w:p>
      <w:pPr>
        <w:spacing w:after="0" w:line="151"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At the lease commencement date, we recognize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our incremental borrowing rate for a collateralized loan with the same term as the underlying leases.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 included in the measurement of lease liabilities consist of (1) fixed lease payments for the noncancelable lease term,</w:t>
      </w:r>
    </w:p>
    <w:p>
      <w:pPr>
        <w:ind w:left="280" w:hanging="272"/>
        <w:spacing w:after="0" w:line="234" w:lineRule="auto"/>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fixed lease payments for optional renewal periods where it is reasonably certain the renewal option will be exercised, and (3) variable</w:t>
      </w:r>
    </w:p>
    <w:p>
      <w:pPr>
        <w:ind w:right="120"/>
        <w:spacing w:after="0"/>
        <w:rPr>
          <w:rFonts w:ascii="Arial" w:cs="Arial" w:eastAsia="Arial" w:hAnsi="Arial"/>
          <w:sz w:val="18"/>
          <w:szCs w:val="18"/>
          <w:color w:val="auto"/>
        </w:rPr>
      </w:pPr>
      <w:r>
        <w:rPr>
          <w:rFonts w:ascii="Arial" w:cs="Arial" w:eastAsia="Arial" w:hAnsi="Arial"/>
          <w:sz w:val="18"/>
          <w:szCs w:val="18"/>
          <w:color w:val="auto"/>
        </w:rPr>
        <w:t>lease payments that depend on an underlying index or rate, based on the index or rate in effect at lease commencement. Certain of our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43" w:name="page44"/>
    <w:bookmarkEnd w:id="43"/>
    <w:p>
      <w:pPr>
        <w:jc w:val="both"/>
        <w:ind w:right="100" w:firstLine="509"/>
        <w:spacing w:after="0" w:line="238"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151"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For broadband equipment leased to fixed broadband customers in conjunction with the delivery of connectivity services, we have made an accounting policy election not to separate the broadband equipment from the related connectivity services. The connectivity services are the predominant component of these arrangements. The connectivity services are accounted for in accordance ASC 606. We are also a lessor for certain insignificant communications equipment. These leases meet the criteria for operating lease classification. Lease income associated with these leases is not material.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99"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and nine months ended December 31, 2021 and 2020.</w:t>
      </w:r>
    </w:p>
    <w:p>
      <w:pPr>
        <w:spacing w:after="0" w:line="14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account for our goodwill under the authoritative guidance for goodwill and other intangible assets (ASC 350) and the provisions of ASU 2017-04, Simplifying the Test for Goodwill Impairment, which we early adopted in fiscal year 2020. Current authoritative guidance allows us to first assess qualitative factors to determine whether it is necessary to perform the quantitative goodwill impairment test. If, after completing the qualitative assessment, we determine that it is more likely than not that the estimated fair value is greater than the carrying value, we conclude that no impairment exists. Alternatively, if we determine in the qualitative assessment that it is more likely than not that the fair value is less than its carrying value, then we perform a quantitative goodwill impairment test to identify both the existence of an impairment and the amount of impairment loss, by comparing the fair value of the reporting unit with its carrying amount, including goodwill. If the estimated fair value of the reporting unit is less than the carrying value, then a goodwill impairment charge will be recognized in the amount by which the carrying amount exceeds the fair value, limited to the total amount of goodwill allocated to that reporting unit. We test goodwill for impairment during the fourth quarter every fiscal year and when an event occurs or circumstances change such that it is reasonably possible that an impairment may exist.</w:t>
      </w:r>
    </w:p>
    <w:p>
      <w:pPr>
        <w:spacing w:after="0" w:line="15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In accordance with ASC 350, we assess qualitative factors to determine whether goodwill is impaired. 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51"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Based on our qualitative assessment performed during the fourth quarter of fiscal year 2021, we concluded that it was more likely than not that the estimated fair value of our reporting units exceeded their carrying value as of March 31, 2021, and therefore, determined it was not necessary to perform a quantitative goodwill impairment test.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 Our valuation allowance against deferred tax assets increased from $47.1 million at March 31, 2021 to $74.5 million at December 31, 2021. The valuation allowance relates to state and foreign net operating loss carryforwards, state R&amp;D tax credit carryforwards and foreign tax credit carryforwards.</w:t>
      </w:r>
    </w:p>
    <w:p>
      <w:pPr>
        <w:spacing w:after="0" w:line="154"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analysis of the need for a valuation allowance on deferred tax assets considered historical as well as forecasted future operating results. In addition, our evaluation considered other factors, including our contractual backlog, our history of positive earnings, current earnings trends assuming our satellite services segment continues to grow, taxable income adjusted for certain items, and forecasted income by jurisdiction. We also considered the period over which these net deferred tax assets can be realized and our history of not having federal tax loss carryforwards expire unused.</w:t>
      </w:r>
    </w:p>
    <w:p>
      <w:pPr>
        <w:spacing w:after="0" w:line="148"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spacing w:after="0" w:line="149"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900" w:type="dxa"/>
            <w:vAlign w:val="bottom"/>
            <w:gridSpan w:val="4"/>
          </w:tcPr>
          <w:p>
            <w:pPr>
              <w:jc w:val="right"/>
              <w:ind w:right="870"/>
              <w:spacing w:after="0"/>
              <w:rPr>
                <w:sz w:val="20"/>
                <w:szCs w:val="20"/>
                <w:color w:val="auto"/>
              </w:rPr>
            </w:pPr>
            <w:r>
              <w:rPr>
                <w:rFonts w:ascii="Arial" w:cs="Arial" w:eastAsia="Arial" w:hAnsi="Arial"/>
                <w:sz w:val="13"/>
                <w:szCs w:val="13"/>
                <w:b w:val="1"/>
                <w:bCs w:val="1"/>
                <w:color w:val="auto"/>
              </w:rPr>
              <w:t>Three Months Ended</w:t>
            </w:r>
          </w:p>
        </w:tc>
        <w:tc>
          <w:tcPr>
            <w:tcW w:w="2800" w:type="dxa"/>
            <w:vAlign w:val="bottom"/>
            <w:gridSpan w:val="4"/>
          </w:tcPr>
          <w:p>
            <w:pPr>
              <w:jc w:val="right"/>
              <w:ind w:right="850"/>
              <w:spacing w:after="0"/>
              <w:rPr>
                <w:sz w:val="20"/>
                <w:szCs w:val="20"/>
                <w:color w:val="auto"/>
              </w:rPr>
            </w:pPr>
            <w:r>
              <w:rPr>
                <w:rFonts w:ascii="Arial" w:cs="Arial" w:eastAsia="Arial" w:hAnsi="Arial"/>
                <w:sz w:val="13"/>
                <w:szCs w:val="13"/>
                <w:b w:val="1"/>
                <w:bCs w:val="1"/>
                <w:color w:val="auto"/>
              </w:rPr>
              <w:t>Nine Months Ended</w:t>
            </w:r>
          </w:p>
        </w:tc>
        <w:tc>
          <w:tcPr>
            <w:tcW w:w="560" w:type="dxa"/>
            <w:vAlign w:val="bottom"/>
          </w:tcPr>
          <w:p>
            <w:pPr>
              <w:spacing w:after="0"/>
              <w:rPr>
                <w:sz w:val="14"/>
                <w:szCs w:val="14"/>
                <w:color w:val="auto"/>
              </w:rPr>
            </w:pPr>
          </w:p>
        </w:tc>
      </w:tr>
      <w:tr>
        <w:trPr>
          <w:trHeight w:val="104"/>
        </w:trPr>
        <w:tc>
          <w:tcPr>
            <w:tcW w:w="580" w:type="dxa"/>
            <w:vAlign w:val="bottom"/>
          </w:tcPr>
          <w:p>
            <w:pPr>
              <w:spacing w:after="0"/>
              <w:rPr>
                <w:sz w:val="9"/>
                <w:szCs w:val="9"/>
                <w:color w:val="auto"/>
              </w:rPr>
            </w:pPr>
          </w:p>
        </w:tc>
        <w:tc>
          <w:tcPr>
            <w:tcW w:w="4400" w:type="dxa"/>
            <w:vAlign w:val="bottom"/>
          </w:tcPr>
          <w:p>
            <w:pPr>
              <w:spacing w:after="0"/>
              <w:rPr>
                <w:sz w:val="9"/>
                <w:szCs w:val="9"/>
                <w:color w:val="auto"/>
              </w:rPr>
            </w:pPr>
          </w:p>
        </w:tc>
        <w:tc>
          <w:tcPr>
            <w:tcW w:w="1460" w:type="dxa"/>
            <w:vAlign w:val="bottom"/>
            <w:tcBorders>
              <w:top w:val="single" w:sz="8" w:color="auto"/>
            </w:tcBorders>
            <w:gridSpan w:val="2"/>
          </w:tcPr>
          <w:p>
            <w:pPr>
              <w:jc w:val="right"/>
              <w:ind w:right="370"/>
              <w:spacing w:after="0" w:line="104" w:lineRule="exact"/>
              <w:rPr>
                <w:sz w:val="20"/>
                <w:szCs w:val="20"/>
                <w:color w:val="auto"/>
              </w:rPr>
            </w:pPr>
            <w:r>
              <w:rPr>
                <w:rFonts w:ascii="Arial" w:cs="Arial" w:eastAsia="Arial" w:hAnsi="Arial"/>
                <w:sz w:val="12"/>
                <w:szCs w:val="12"/>
                <w:b w:val="1"/>
                <w:bCs w:val="1"/>
                <w:color w:val="auto"/>
              </w:rPr>
              <w:t>December 31,</w:t>
            </w:r>
          </w:p>
        </w:tc>
        <w:tc>
          <w:tcPr>
            <w:tcW w:w="1180" w:type="dxa"/>
            <w:vAlign w:val="bottom"/>
            <w:tcBorders>
              <w:top w:val="single" w:sz="8" w:color="auto"/>
            </w:tcBorders>
          </w:tcPr>
          <w:p>
            <w:pPr>
              <w:jc w:val="right"/>
              <w:ind w:right="94"/>
              <w:spacing w:after="0" w:line="104" w:lineRule="exact"/>
              <w:rPr>
                <w:sz w:val="20"/>
                <w:szCs w:val="20"/>
                <w:color w:val="auto"/>
              </w:rPr>
            </w:pPr>
            <w:r>
              <w:rPr>
                <w:rFonts w:ascii="Arial" w:cs="Arial" w:eastAsia="Arial" w:hAnsi="Arial"/>
                <w:sz w:val="12"/>
                <w:szCs w:val="12"/>
                <w:b w:val="1"/>
                <w:bCs w:val="1"/>
                <w:color w:val="auto"/>
              </w:rPr>
              <w:t>December 31,</w:t>
            </w:r>
          </w:p>
        </w:tc>
        <w:tc>
          <w:tcPr>
            <w:tcW w:w="260" w:type="dxa"/>
            <w:vAlign w:val="bottom"/>
          </w:tcPr>
          <w:p>
            <w:pPr>
              <w:spacing w:after="0"/>
              <w:rPr>
                <w:sz w:val="9"/>
                <w:szCs w:val="9"/>
                <w:color w:val="auto"/>
              </w:rPr>
            </w:pPr>
          </w:p>
        </w:tc>
        <w:tc>
          <w:tcPr>
            <w:tcW w:w="1400" w:type="dxa"/>
            <w:vAlign w:val="bottom"/>
            <w:tcBorders>
              <w:top w:val="single" w:sz="8" w:color="auto"/>
            </w:tcBorders>
            <w:gridSpan w:val="2"/>
          </w:tcPr>
          <w:p>
            <w:pPr>
              <w:jc w:val="right"/>
              <w:ind w:right="330"/>
              <w:spacing w:after="0" w:line="104" w:lineRule="exact"/>
              <w:rPr>
                <w:sz w:val="20"/>
                <w:szCs w:val="20"/>
                <w:color w:val="auto"/>
              </w:rPr>
            </w:pPr>
            <w:r>
              <w:rPr>
                <w:rFonts w:ascii="Arial" w:cs="Arial" w:eastAsia="Arial" w:hAnsi="Arial"/>
                <w:sz w:val="12"/>
                <w:szCs w:val="12"/>
                <w:b w:val="1"/>
                <w:bCs w:val="1"/>
                <w:color w:val="auto"/>
              </w:rPr>
              <w:t>December 31,</w:t>
            </w:r>
          </w:p>
        </w:tc>
        <w:tc>
          <w:tcPr>
            <w:tcW w:w="1140" w:type="dxa"/>
            <w:vAlign w:val="bottom"/>
            <w:tcBorders>
              <w:top w:val="single" w:sz="8" w:color="auto"/>
            </w:tcBorders>
          </w:tcPr>
          <w:p>
            <w:pPr>
              <w:jc w:val="right"/>
              <w:ind w:right="74"/>
              <w:spacing w:after="0" w:line="104" w:lineRule="exact"/>
              <w:rPr>
                <w:sz w:val="20"/>
                <w:szCs w:val="20"/>
                <w:color w:val="auto"/>
              </w:rPr>
            </w:pPr>
            <w:r>
              <w:rPr>
                <w:rFonts w:ascii="Arial" w:cs="Arial" w:eastAsia="Arial" w:hAnsi="Arial"/>
                <w:sz w:val="12"/>
                <w:szCs w:val="12"/>
                <w:b w:val="1"/>
                <w:bCs w:val="1"/>
                <w:color w:val="auto"/>
              </w:rPr>
              <w:t>December 31,</w:t>
            </w: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62"/>
        </w:trPr>
        <w:tc>
          <w:tcPr>
            <w:tcW w:w="5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180" w:type="dxa"/>
            <w:vAlign w:val="bottom"/>
            <w:tcBorders>
              <w:bottom w:val="single" w:sz="8" w:color="auto"/>
            </w:tcBorders>
          </w:tcPr>
          <w:p>
            <w:pPr>
              <w:jc w:val="right"/>
              <w:ind w:right="355"/>
              <w:spacing w:after="0"/>
              <w:rPr>
                <w:sz w:val="20"/>
                <w:szCs w:val="20"/>
                <w:color w:val="auto"/>
              </w:rPr>
            </w:pPr>
            <w:r>
              <w:rPr>
                <w:rFonts w:ascii="Arial" w:cs="Arial" w:eastAsia="Arial" w:hAnsi="Arial"/>
                <w:sz w:val="13"/>
                <w:szCs w:val="13"/>
                <w:b w:val="1"/>
                <w:bCs w:val="1"/>
                <w:color w:val="auto"/>
              </w:rPr>
              <w:t>2021</w:t>
            </w:r>
          </w:p>
        </w:tc>
        <w:tc>
          <w:tcPr>
            <w:tcW w:w="280" w:type="dxa"/>
            <w:vAlign w:val="bottom"/>
          </w:tcPr>
          <w:p>
            <w:pPr>
              <w:spacing w:after="0"/>
              <w:rPr>
                <w:sz w:val="14"/>
                <w:szCs w:val="14"/>
                <w:color w:val="auto"/>
              </w:rPr>
            </w:pP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4"/>
                <w:szCs w:val="14"/>
                <w:color w:val="auto"/>
              </w:rPr>
            </w:pPr>
          </w:p>
        </w:tc>
        <w:tc>
          <w:tcPr>
            <w:tcW w:w="1140" w:type="dxa"/>
            <w:vAlign w:val="bottom"/>
            <w:tcBorders>
              <w:bottom w:val="single" w:sz="8" w:color="auto"/>
            </w:tcBorders>
          </w:tcPr>
          <w:p>
            <w:pPr>
              <w:jc w:val="right"/>
              <w:ind w:right="335"/>
              <w:spacing w:after="0"/>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4"/>
                <w:szCs w:val="14"/>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96"/>
        </w:trPr>
        <w:tc>
          <w:tcPr>
            <w:tcW w:w="580" w:type="dxa"/>
            <w:vAlign w:val="bottom"/>
          </w:tcPr>
          <w:p>
            <w:pPr>
              <w:spacing w:after="0"/>
              <w:rPr>
                <w:sz w:val="17"/>
                <w:szCs w:val="17"/>
                <w:color w:val="auto"/>
              </w:rPr>
            </w:pPr>
          </w:p>
        </w:tc>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Revenues:</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c>
          <w:tcPr>
            <w:tcW w:w="2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c>
          <w:tcPr>
            <w:tcW w:w="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c>
          <w:tcPr>
            <w:tcW w:w="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c>
          <w:tcPr>
            <w:tcW w:w="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400" w:type="dxa"/>
            <w:vAlign w:val="bottom"/>
          </w:tcPr>
          <w:p>
            <w:pPr>
              <w:ind w:left="260"/>
              <w:spacing w:after="0" w:line="202" w:lineRule="exact"/>
              <w:rPr>
                <w:sz w:val="20"/>
                <w:szCs w:val="20"/>
                <w:color w:val="auto"/>
              </w:rPr>
            </w:pPr>
            <w:r>
              <w:rPr>
                <w:rFonts w:ascii="Arial" w:cs="Arial" w:eastAsia="Arial" w:hAnsi="Arial"/>
                <w:sz w:val="18"/>
                <w:szCs w:val="18"/>
                <w:color w:val="auto"/>
              </w:rPr>
              <w:t>Product revenues</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2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40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Service revenues</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w:t>
            </w: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w:t>
            </w:r>
          </w:p>
        </w:tc>
        <w:tc>
          <w:tcPr>
            <w:tcW w:w="26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40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Cost of product revenues</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w:t>
            </w: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w:t>
            </w:r>
          </w:p>
        </w:tc>
        <w:tc>
          <w:tcPr>
            <w:tcW w:w="26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400" w:type="dxa"/>
            <w:vAlign w:val="bottom"/>
          </w:tcPr>
          <w:p>
            <w:pPr>
              <w:ind w:left="260"/>
              <w:spacing w:after="0" w:line="202" w:lineRule="exact"/>
              <w:rPr>
                <w:sz w:val="20"/>
                <w:szCs w:val="20"/>
                <w:color w:val="auto"/>
              </w:rPr>
            </w:pPr>
            <w:r>
              <w:rPr>
                <w:rFonts w:ascii="Arial" w:cs="Arial" w:eastAsia="Arial" w:hAnsi="Arial"/>
                <w:sz w:val="18"/>
                <w:szCs w:val="18"/>
                <w:color w:val="auto"/>
              </w:rPr>
              <w:t>Cost of service revenues</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2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40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Selling, general and administrative</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w:t>
            </w: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26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4400" w:type="dxa"/>
            <w:vAlign w:val="bottom"/>
          </w:tcPr>
          <w:p>
            <w:pPr>
              <w:ind w:left="260"/>
              <w:spacing w:after="0" w:line="202" w:lineRule="exact"/>
              <w:rPr>
                <w:sz w:val="20"/>
                <w:szCs w:val="20"/>
                <w:color w:val="auto"/>
              </w:rPr>
            </w:pPr>
            <w:r>
              <w:rPr>
                <w:rFonts w:ascii="Arial" w:cs="Arial" w:eastAsia="Arial" w:hAnsi="Arial"/>
                <w:sz w:val="18"/>
                <w:szCs w:val="18"/>
                <w:color w:val="auto"/>
              </w:rPr>
              <w:t>Independent research and development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40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Amortization of acquired intangible assets</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4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Income from operations</w:t>
            </w:r>
          </w:p>
        </w:tc>
        <w:tc>
          <w:tcPr>
            <w:tcW w:w="1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280" w:type="dxa"/>
            <w:vAlign w:val="bottom"/>
            <w:tcBorders>
              <w:top w:val="single" w:sz="8" w:color="CFF0FC"/>
            </w:tcBorders>
          </w:tcPr>
          <w:p>
            <w:pPr>
              <w:spacing w:after="0"/>
              <w:rPr>
                <w:sz w:val="17"/>
                <w:szCs w:val="17"/>
                <w:color w:val="auto"/>
              </w:rPr>
            </w:pPr>
          </w:p>
        </w:tc>
        <w:tc>
          <w:tcPr>
            <w:tcW w:w="1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w:t>
            </w:r>
          </w:p>
        </w:tc>
        <w:tc>
          <w:tcPr>
            <w:tcW w:w="260" w:type="dxa"/>
            <w:vAlign w:val="bottom"/>
            <w:tcBorders>
              <w:top w:val="single" w:sz="8" w:color="CFF0FC"/>
            </w:tcBorders>
          </w:tcPr>
          <w:p>
            <w:pPr>
              <w:spacing w:after="0"/>
              <w:rPr>
                <w:sz w:val="17"/>
                <w:szCs w:val="17"/>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260" w:type="dxa"/>
            <w:vAlign w:val="bottom"/>
            <w:tcBorders>
              <w:top w:val="single" w:sz="8" w:color="CFF0FC"/>
            </w:tcBorders>
          </w:tcPr>
          <w:p>
            <w:pPr>
              <w:spacing w:after="0"/>
              <w:rPr>
                <w:sz w:val="17"/>
                <w:szCs w:val="17"/>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260" w:type="dxa"/>
            <w:vAlign w:val="bottom"/>
            <w:tcBorders>
              <w:top w:val="single" w:sz="8" w:color="CFF0FC"/>
            </w:tcBorders>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40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Interest expense, net</w:t>
            </w:r>
          </w:p>
        </w:tc>
        <w:tc>
          <w:tcPr>
            <w:tcW w:w="146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(1 )</w:t>
            </w:r>
          </w:p>
        </w:tc>
        <w:tc>
          <w:tcPr>
            <w:tcW w:w="144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(1 )</w:t>
            </w:r>
          </w:p>
        </w:tc>
        <w:tc>
          <w:tcPr>
            <w:tcW w:w="14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(1 )</w:t>
            </w:r>
          </w:p>
        </w:tc>
        <w:tc>
          <w:tcPr>
            <w:tcW w:w="14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(2 )</w:t>
            </w: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4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(Loss) income before income taxes</w:t>
            </w:r>
          </w:p>
        </w:tc>
        <w:tc>
          <w:tcPr>
            <w:tcW w:w="1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tcPr>
          <w:p>
            <w:pPr>
              <w:spacing w:after="0"/>
              <w:rPr>
                <w:sz w:val="17"/>
                <w:szCs w:val="17"/>
                <w:color w:val="auto"/>
              </w:rPr>
            </w:pPr>
          </w:p>
        </w:tc>
        <w:tc>
          <w:tcPr>
            <w:tcW w:w="1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260" w:type="dxa"/>
            <w:vAlign w:val="bottom"/>
            <w:tcBorders>
              <w:top w:val="single" w:sz="8" w:color="CFF0FC"/>
            </w:tcBorders>
          </w:tcPr>
          <w:p>
            <w:pPr>
              <w:spacing w:after="0"/>
              <w:rPr>
                <w:sz w:val="17"/>
                <w:szCs w:val="17"/>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260" w:type="dxa"/>
            <w:vAlign w:val="bottom"/>
            <w:tcBorders>
              <w:top w:val="single" w:sz="8" w:color="CFF0FC"/>
            </w:tcBorders>
          </w:tcPr>
          <w:p>
            <w:pPr>
              <w:spacing w:after="0"/>
              <w:rPr>
                <w:sz w:val="17"/>
                <w:szCs w:val="17"/>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(Provision for) benefit from income taxes</w:t>
            </w:r>
          </w:p>
        </w:tc>
        <w:tc>
          <w:tcPr>
            <w:tcW w:w="146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(1 )</w:t>
            </w:r>
          </w:p>
        </w:tc>
        <w:tc>
          <w:tcPr>
            <w:tcW w:w="140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Net (loss) income</w:t>
            </w:r>
          </w:p>
        </w:tc>
        <w:tc>
          <w:tcPr>
            <w:tcW w:w="14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(1 )</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7"/>
                <w:szCs w:val="17"/>
                <w:color w:val="auto"/>
              </w:rPr>
            </w:pPr>
          </w:p>
        </w:tc>
        <w:tc>
          <w:tcPr>
            <w:tcW w:w="14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(loss) income attributable to Viasat, Inc.</w:t>
            </w:r>
          </w:p>
        </w:tc>
        <w:tc>
          <w:tcPr>
            <w:tcW w:w="146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(1 )</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r>
      <w:tr>
        <w:trPr>
          <w:trHeight w:val="635"/>
        </w:trPr>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180" w:type="dxa"/>
            <w:vAlign w:val="bottom"/>
          </w:tcPr>
          <w:p>
            <w:pPr>
              <w:jc w:val="right"/>
              <w:ind w:right="355"/>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4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-1264920</wp:posOffset>
            </wp:positionV>
            <wp:extent cx="163195"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-1264920</wp:posOffset>
            </wp:positionV>
            <wp:extent cx="154305"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-1264920</wp:posOffset>
            </wp:positionV>
            <wp:extent cx="154305"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-1264920</wp:posOffset>
            </wp:positionV>
            <wp:extent cx="154305"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-999490</wp:posOffset>
            </wp:positionV>
            <wp:extent cx="163195"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-999490</wp:posOffset>
            </wp:positionV>
            <wp:extent cx="154305"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-999490</wp:posOffset>
            </wp:positionV>
            <wp:extent cx="154305"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-999490</wp:posOffset>
            </wp:positionV>
            <wp:extent cx="154305"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45" w:name="page46"/>
    <w:bookmarkEnd w:id="45"/>
    <w:p>
      <w:pPr>
        <w:ind w:right="3900"/>
        <w:spacing w:after="0" w:line="365" w:lineRule="auto"/>
        <w:rPr>
          <w:sz w:val="20"/>
          <w:szCs w:val="20"/>
          <w:color w:val="auto"/>
        </w:rPr>
      </w:pPr>
      <w:r>
        <w:rPr>
          <w:rFonts w:ascii="Arial" w:cs="Arial" w:eastAsia="Arial" w:hAnsi="Arial"/>
          <w:sz w:val="18"/>
          <w:szCs w:val="18"/>
          <w:b w:val="1"/>
          <w:bCs w:val="1"/>
          <w:color w:val="auto"/>
        </w:rPr>
        <w:t xml:space="preserve">Three Months Ended December 31, 2021 vs. Three Months Ended December 31, 2020 </w:t>
      </w:r>
      <w:r>
        <w:rPr>
          <w:rFonts w:ascii="Arial" w:cs="Arial" w:eastAsia="Arial" w:hAnsi="Arial"/>
          <w:sz w:val="18"/>
          <w:szCs w:val="18"/>
          <w:i w:val="1"/>
          <w:iCs w:val="1"/>
          <w:color w:val="auto"/>
        </w:rPr>
        <w:t>Revenues</w:t>
      </w:r>
    </w:p>
    <w:p>
      <w:pPr>
        <w:spacing w:after="0" w:line="42"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140" w:type="dxa"/>
            <w:vAlign w:val="bottom"/>
          </w:tcPr>
          <w:p>
            <w:pPr>
              <w:spacing w:after="0"/>
              <w:rPr>
                <w:sz w:val="16"/>
                <w:szCs w:val="16"/>
                <w:color w:val="auto"/>
              </w:rPr>
            </w:pPr>
          </w:p>
        </w:tc>
        <w:tc>
          <w:tcPr>
            <w:tcW w:w="12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1"/>
                <w:szCs w:val="11"/>
                <w:color w:val="auto"/>
              </w:rPr>
            </w:pPr>
          </w:p>
        </w:tc>
        <w:tc>
          <w:tcPr>
            <w:tcW w:w="1100" w:type="dxa"/>
            <w:vAlign w:val="bottom"/>
          </w:tcPr>
          <w:p>
            <w:pPr>
              <w:jc w:val="right"/>
              <w:ind w:right="59"/>
              <w:spacing w:after="0" w:line="12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79"/>
              <w:spacing w:after="0" w:line="129" w:lineRule="exact"/>
              <w:rPr>
                <w:sz w:val="20"/>
                <w:szCs w:val="20"/>
                <w:color w:val="auto"/>
              </w:rPr>
            </w:pPr>
            <w:r>
              <w:rPr>
                <w:rFonts w:ascii="Arial" w:cs="Arial" w:eastAsia="Arial" w:hAnsi="Arial"/>
                <w:sz w:val="14"/>
                <w:szCs w:val="14"/>
                <w:b w:val="1"/>
                <w:bCs w:val="1"/>
                <w:color w:val="auto"/>
              </w:rPr>
              <w:t>Increase</w:t>
            </w:r>
          </w:p>
        </w:tc>
        <w:tc>
          <w:tcPr>
            <w:tcW w:w="140" w:type="dxa"/>
            <w:vAlign w:val="bottom"/>
          </w:tcPr>
          <w:p>
            <w:pPr>
              <w:spacing w:after="0"/>
              <w:rPr>
                <w:sz w:val="11"/>
                <w:szCs w:val="11"/>
                <w:color w:val="auto"/>
              </w:rPr>
            </w:pPr>
          </w:p>
        </w:tc>
        <w:tc>
          <w:tcPr>
            <w:tcW w:w="1280" w:type="dxa"/>
            <w:vAlign w:val="bottom"/>
            <w:gridSpan w:val="2"/>
          </w:tcPr>
          <w:p>
            <w:pPr>
              <w:jc w:val="center"/>
              <w:ind w:right="17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4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140" w:type="dxa"/>
            <w:vAlign w:val="bottom"/>
          </w:tcPr>
          <w:p>
            <w:pPr>
              <w:spacing w:after="0"/>
              <w:rPr>
                <w:sz w:val="16"/>
                <w:szCs w:val="16"/>
                <w:color w:val="auto"/>
              </w:rPr>
            </w:pPr>
          </w:p>
        </w:tc>
        <w:tc>
          <w:tcPr>
            <w:tcW w:w="12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472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Product revenues</w:t>
            </w: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316.1</w:t>
            </w:r>
          </w:p>
        </w:tc>
        <w:tc>
          <w:tcPr>
            <w:tcW w:w="1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266.5</w:t>
            </w:r>
          </w:p>
        </w:tc>
        <w:tc>
          <w:tcPr>
            <w:tcW w:w="1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49.6</w:t>
            </w:r>
          </w:p>
        </w:tc>
        <w:tc>
          <w:tcPr>
            <w:tcW w:w="14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w:t>
            </w:r>
          </w:p>
        </w:tc>
        <w:tc>
          <w:tcPr>
            <w:tcW w:w="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Service revenues</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403.6</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309.0</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94.5</w:t>
            </w:r>
          </w:p>
        </w:tc>
        <w:tc>
          <w:tcPr>
            <w:tcW w:w="1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196"/>
        </w:trPr>
        <w:tc>
          <w:tcPr>
            <w:tcW w:w="48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revenues</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719.7</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575.6</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144.2</w:t>
            </w:r>
          </w:p>
        </w:tc>
        <w:tc>
          <w:tcPr>
            <w:tcW w:w="142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firstLine="509"/>
        <w:spacing w:after="0" w:line="238" w:lineRule="auto"/>
        <w:rPr>
          <w:sz w:val="20"/>
          <w:szCs w:val="20"/>
          <w:color w:val="auto"/>
        </w:rPr>
      </w:pPr>
      <w:r>
        <w:rPr>
          <w:rFonts w:ascii="Arial" w:cs="Arial" w:eastAsia="Arial" w:hAnsi="Arial"/>
          <w:sz w:val="18"/>
          <w:szCs w:val="18"/>
          <w:color w:val="auto"/>
        </w:rPr>
        <w:t>Our total revenues increased by $144.2 million as a result of a $94.5 million increase in service revenues and a $49.6 million increase in product revenues. The service revenue increase was driven by increases of $88.9 million in our satellite services segment, $3.4 million in our government systems segment and $2.2 million in our commercial networks segment. The product revenue increase was driven primarily by a $47.4 million increase in our commercial networks segment and a $2.3 million increase in our government systems segment.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140" w:type="dxa"/>
            <w:vAlign w:val="bottom"/>
          </w:tcPr>
          <w:p>
            <w:pPr>
              <w:spacing w:after="0"/>
              <w:rPr>
                <w:sz w:val="16"/>
                <w:szCs w:val="16"/>
                <w:color w:val="auto"/>
              </w:rPr>
            </w:pPr>
          </w:p>
        </w:tc>
        <w:tc>
          <w:tcPr>
            <w:tcW w:w="12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1"/>
                <w:szCs w:val="11"/>
                <w:color w:val="auto"/>
              </w:rPr>
            </w:pPr>
          </w:p>
        </w:tc>
        <w:tc>
          <w:tcPr>
            <w:tcW w:w="1100" w:type="dxa"/>
            <w:vAlign w:val="bottom"/>
          </w:tcPr>
          <w:p>
            <w:pPr>
              <w:jc w:val="right"/>
              <w:ind w:right="59"/>
              <w:spacing w:after="0" w:line="12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79"/>
              <w:spacing w:after="0" w:line="129" w:lineRule="exact"/>
              <w:rPr>
                <w:sz w:val="20"/>
                <w:szCs w:val="20"/>
                <w:color w:val="auto"/>
              </w:rPr>
            </w:pPr>
            <w:r>
              <w:rPr>
                <w:rFonts w:ascii="Arial" w:cs="Arial" w:eastAsia="Arial" w:hAnsi="Arial"/>
                <w:sz w:val="14"/>
                <w:szCs w:val="14"/>
                <w:b w:val="1"/>
                <w:bCs w:val="1"/>
                <w:color w:val="auto"/>
              </w:rPr>
              <w:t>Increase</w:t>
            </w:r>
          </w:p>
        </w:tc>
        <w:tc>
          <w:tcPr>
            <w:tcW w:w="140" w:type="dxa"/>
            <w:vAlign w:val="bottom"/>
          </w:tcPr>
          <w:p>
            <w:pPr>
              <w:spacing w:after="0"/>
              <w:rPr>
                <w:sz w:val="11"/>
                <w:szCs w:val="11"/>
                <w:color w:val="auto"/>
              </w:rPr>
            </w:pPr>
          </w:p>
        </w:tc>
        <w:tc>
          <w:tcPr>
            <w:tcW w:w="1280" w:type="dxa"/>
            <w:vAlign w:val="bottom"/>
            <w:gridSpan w:val="2"/>
          </w:tcPr>
          <w:p>
            <w:pPr>
              <w:jc w:val="center"/>
              <w:ind w:right="17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4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140" w:type="dxa"/>
            <w:vAlign w:val="bottom"/>
          </w:tcPr>
          <w:p>
            <w:pPr>
              <w:spacing w:after="0"/>
              <w:rPr>
                <w:sz w:val="16"/>
                <w:szCs w:val="16"/>
                <w:color w:val="auto"/>
              </w:rPr>
            </w:pPr>
          </w:p>
        </w:tc>
        <w:tc>
          <w:tcPr>
            <w:tcW w:w="12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472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Cost of product revenues</w:t>
            </w: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237.5</w:t>
            </w:r>
          </w:p>
        </w:tc>
        <w:tc>
          <w:tcPr>
            <w:tcW w:w="1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196.9</w:t>
            </w:r>
          </w:p>
        </w:tc>
        <w:tc>
          <w:tcPr>
            <w:tcW w:w="1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40.6</w:t>
            </w:r>
          </w:p>
        </w:tc>
        <w:tc>
          <w:tcPr>
            <w:tcW w:w="14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w:t>
            </w:r>
          </w:p>
        </w:tc>
        <w:tc>
          <w:tcPr>
            <w:tcW w:w="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Cost of service revenues</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262.6</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194.4</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68.2</w:t>
            </w:r>
          </w:p>
        </w:tc>
        <w:tc>
          <w:tcPr>
            <w:tcW w:w="1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196"/>
        </w:trPr>
        <w:tc>
          <w:tcPr>
            <w:tcW w:w="48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cost of revenues</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500.1</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391.3</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108.8</w:t>
            </w:r>
          </w:p>
        </w:tc>
        <w:tc>
          <w:tcPr>
            <w:tcW w:w="142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Cost of revenues increased $108.8 million due to increases of $ 68.2 million in cost of service revenues and $40.6 million in cost of product revenues. The cost of service revenue increase was primarily due to increased service revenues, mainly from our satellite services segment, causing a $59.5 million increase in cost of service revenues on a constant margin basis. The increase in cost of service revenues was also driven by lower margins, primarily in fixed broadband services in our satellite services segment. The increase in cost of product revenues was mostly driven by increased product revenues, causing a $36.7 million increase in cost of product revenues on a constant margin basis, mainly in our mobile broadband satellite communication systems products in our commercial networks segment.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2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64"/>
              <w:spacing w:after="0"/>
              <w:rPr>
                <w:sz w:val="20"/>
                <w:szCs w:val="20"/>
                <w:color w:val="auto"/>
              </w:rPr>
            </w:pPr>
            <w:r>
              <w:rPr>
                <w:rFonts w:ascii="Arial" w:cs="Arial" w:eastAsia="Arial" w:hAnsi="Arial"/>
                <w:sz w:val="14"/>
                <w:szCs w:val="14"/>
                <w:b w:val="1"/>
                <w:bCs w:val="1"/>
                <w:color w:val="auto"/>
              </w:rPr>
              <w:t>Dollar</w:t>
            </w:r>
          </w:p>
        </w:tc>
        <w:tc>
          <w:tcPr>
            <w:tcW w:w="140" w:type="dxa"/>
            <w:vAlign w:val="bottom"/>
          </w:tcPr>
          <w:p>
            <w:pPr>
              <w:spacing w:after="0"/>
              <w:rPr>
                <w:sz w:val="16"/>
                <w:szCs w:val="16"/>
                <w:color w:val="auto"/>
              </w:rPr>
            </w:pPr>
          </w:p>
        </w:tc>
        <w:tc>
          <w:tcPr>
            <w:tcW w:w="12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Pr>
          <w:p>
            <w:pPr>
              <w:spacing w:after="0"/>
              <w:rPr>
                <w:sz w:val="11"/>
                <w:szCs w:val="11"/>
                <w:color w:val="auto"/>
              </w:rPr>
            </w:pPr>
          </w:p>
        </w:tc>
        <w:tc>
          <w:tcPr>
            <w:tcW w:w="1100" w:type="dxa"/>
            <w:vAlign w:val="bottom"/>
          </w:tcPr>
          <w:p>
            <w:pPr>
              <w:jc w:val="center"/>
              <w:ind w:right="44"/>
              <w:spacing w:after="0" w:line="12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84"/>
              <w:spacing w:after="0" w:line="129" w:lineRule="exact"/>
              <w:rPr>
                <w:sz w:val="20"/>
                <w:szCs w:val="20"/>
                <w:color w:val="auto"/>
              </w:rPr>
            </w:pPr>
            <w:r>
              <w:rPr>
                <w:rFonts w:ascii="Arial" w:cs="Arial" w:eastAsia="Arial" w:hAnsi="Arial"/>
                <w:sz w:val="14"/>
                <w:szCs w:val="14"/>
                <w:b w:val="1"/>
                <w:bCs w:val="1"/>
                <w:color w:val="auto"/>
              </w:rPr>
              <w:t>Increase</w:t>
            </w:r>
          </w:p>
        </w:tc>
        <w:tc>
          <w:tcPr>
            <w:tcW w:w="140" w:type="dxa"/>
            <w:vAlign w:val="bottom"/>
          </w:tcPr>
          <w:p>
            <w:pPr>
              <w:spacing w:after="0"/>
              <w:rPr>
                <w:sz w:val="11"/>
                <w:szCs w:val="11"/>
                <w:color w:val="auto"/>
              </w:rPr>
            </w:pPr>
          </w:p>
        </w:tc>
        <w:tc>
          <w:tcPr>
            <w:tcW w:w="1280" w:type="dxa"/>
            <w:vAlign w:val="bottom"/>
            <w:gridSpan w:val="2"/>
          </w:tcPr>
          <w:p>
            <w:pPr>
              <w:jc w:val="center"/>
              <w:ind w:right="17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4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8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6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140" w:type="dxa"/>
            <w:vAlign w:val="bottom"/>
          </w:tcPr>
          <w:p>
            <w:pPr>
              <w:spacing w:after="0"/>
              <w:rPr>
                <w:sz w:val="16"/>
                <w:szCs w:val="16"/>
                <w:color w:val="auto"/>
              </w:rPr>
            </w:pPr>
          </w:p>
        </w:tc>
        <w:tc>
          <w:tcPr>
            <w:tcW w:w="12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474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170.2</w:t>
            </w:r>
          </w:p>
        </w:tc>
        <w:tc>
          <w:tcPr>
            <w:tcW w:w="1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132.4</w:t>
            </w:r>
          </w:p>
        </w:tc>
        <w:tc>
          <w:tcPr>
            <w:tcW w:w="1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37.8</w:t>
            </w:r>
          </w:p>
        </w:tc>
        <w:tc>
          <w:tcPr>
            <w:tcW w:w="14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w:t>
            </w:r>
          </w:p>
        </w:tc>
        <w:tc>
          <w:tcPr>
            <w:tcW w:w="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$37.8 million increase in selling, general and administrative (SG&amp;A) expenses reflected an increase in support costs of $26.3 million, driven primarily by acquisition-related expenses of approximately $11.8 million related to the Inmarsat Transaction as well as support costs related to RigNet, which was acquired during the first quarter of fiscal year 2022. The increase in SG&amp;A expenses was also driven by $10.7 million of higher selling costs, reflected primarily in our satellite services and government systems segments. SG&amp;A expenses consisted primarily of personnel costs and expenses for business development, marketing and sales, bid and proposal, facilities, finance, contract administration and general management.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2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64"/>
              <w:spacing w:after="0"/>
              <w:rPr>
                <w:sz w:val="20"/>
                <w:szCs w:val="20"/>
                <w:color w:val="auto"/>
              </w:rPr>
            </w:pPr>
            <w:r>
              <w:rPr>
                <w:rFonts w:ascii="Arial" w:cs="Arial" w:eastAsia="Arial" w:hAnsi="Arial"/>
                <w:sz w:val="14"/>
                <w:szCs w:val="14"/>
                <w:b w:val="1"/>
                <w:bCs w:val="1"/>
                <w:color w:val="auto"/>
              </w:rPr>
              <w:t>Dollar</w:t>
            </w:r>
          </w:p>
        </w:tc>
        <w:tc>
          <w:tcPr>
            <w:tcW w:w="140" w:type="dxa"/>
            <w:vAlign w:val="bottom"/>
          </w:tcPr>
          <w:p>
            <w:pPr>
              <w:spacing w:after="0"/>
              <w:rPr>
                <w:sz w:val="16"/>
                <w:szCs w:val="16"/>
                <w:color w:val="auto"/>
              </w:rPr>
            </w:pPr>
          </w:p>
        </w:tc>
        <w:tc>
          <w:tcPr>
            <w:tcW w:w="12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Pr>
          <w:p>
            <w:pPr>
              <w:spacing w:after="0"/>
              <w:rPr>
                <w:sz w:val="11"/>
                <w:szCs w:val="11"/>
                <w:color w:val="auto"/>
              </w:rPr>
            </w:pPr>
          </w:p>
        </w:tc>
        <w:tc>
          <w:tcPr>
            <w:tcW w:w="1100" w:type="dxa"/>
            <w:vAlign w:val="bottom"/>
          </w:tcPr>
          <w:p>
            <w:pPr>
              <w:jc w:val="center"/>
              <w:ind w:right="44"/>
              <w:spacing w:after="0" w:line="12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84"/>
              <w:spacing w:after="0" w:line="129" w:lineRule="exact"/>
              <w:rPr>
                <w:sz w:val="20"/>
                <w:szCs w:val="20"/>
                <w:color w:val="auto"/>
              </w:rPr>
            </w:pPr>
            <w:r>
              <w:rPr>
                <w:rFonts w:ascii="Arial" w:cs="Arial" w:eastAsia="Arial" w:hAnsi="Arial"/>
                <w:sz w:val="14"/>
                <w:szCs w:val="14"/>
                <w:b w:val="1"/>
                <w:bCs w:val="1"/>
                <w:color w:val="auto"/>
              </w:rPr>
              <w:t>Increase</w:t>
            </w:r>
          </w:p>
        </w:tc>
        <w:tc>
          <w:tcPr>
            <w:tcW w:w="140" w:type="dxa"/>
            <w:vAlign w:val="bottom"/>
          </w:tcPr>
          <w:p>
            <w:pPr>
              <w:spacing w:after="0"/>
              <w:rPr>
                <w:sz w:val="11"/>
                <w:szCs w:val="11"/>
                <w:color w:val="auto"/>
              </w:rPr>
            </w:pPr>
          </w:p>
        </w:tc>
        <w:tc>
          <w:tcPr>
            <w:tcW w:w="1280" w:type="dxa"/>
            <w:vAlign w:val="bottom"/>
            <w:gridSpan w:val="2"/>
          </w:tcPr>
          <w:p>
            <w:pPr>
              <w:jc w:val="center"/>
              <w:ind w:right="17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4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8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6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140" w:type="dxa"/>
            <w:vAlign w:val="bottom"/>
          </w:tcPr>
          <w:p>
            <w:pPr>
              <w:spacing w:after="0"/>
              <w:rPr>
                <w:sz w:val="16"/>
                <w:szCs w:val="16"/>
                <w:color w:val="auto"/>
              </w:rPr>
            </w:pPr>
          </w:p>
        </w:tc>
        <w:tc>
          <w:tcPr>
            <w:tcW w:w="12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474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Independent research and development</w:t>
            </w:r>
          </w:p>
        </w:tc>
        <w:tc>
          <w:tcPr>
            <w:tcW w:w="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37.3</w:t>
            </w:r>
          </w:p>
        </w:tc>
        <w:tc>
          <w:tcPr>
            <w:tcW w:w="1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28.8</w:t>
            </w:r>
          </w:p>
        </w:tc>
        <w:tc>
          <w:tcPr>
            <w:tcW w:w="1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w:t>
            </w:r>
          </w:p>
        </w:tc>
        <w:tc>
          <w:tcPr>
            <w:tcW w:w="14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w:t>
            </w:r>
          </w:p>
        </w:tc>
        <w:tc>
          <w:tcPr>
            <w:tcW w:w="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The $8.5 million increase in IR&amp;D expenses was primarily the result of a $5.9 million increase in our commercial networks segment (primarily related to next-generation satellite payload technologies and commercial aeronautical broadband programs) and a $2.6 million increase in our government systems segment (primarily related to the development of next-generation dual band mobility solutions and the advancement of integrated government satellite communications platforms).</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73" w:right="41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95"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20 years. The $6.2 million increase in amortization of acquired intangible assets in the third quarter of fiscal year 2022 compared to the prior year period was primarily related to the amortization of new intangibles acquired as a result of the acquisition of RigNet and of the remaining 51% interest in EBI in April 2021. The current and expected amortization expense for acquired intangible assets for each of the following periods is as follows:</w:t>
      </w:r>
    </w:p>
    <w:p>
      <w:pPr>
        <w:sectPr>
          <w:pgSz w:w="11900" w:h="16838" w:orient="portrait"/>
          <w:cols w:equalWidth="0" w:num="1">
            <w:col w:w="11240"/>
          </w:cols>
          <w:pgMar w:left="320" w:top="539"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For the nine months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-123190</wp:posOffset>
            </wp:positionV>
            <wp:extent cx="6412230" cy="1289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Expected for the remainder of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289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580"/>
        <w:spacing w:after="0" w:line="234" w:lineRule="auto"/>
        <w:rPr>
          <w:sz w:val="20"/>
          <w:szCs w:val="20"/>
          <w:color w:val="auto"/>
        </w:rPr>
      </w:pPr>
      <w:r>
        <w:rPr>
          <w:rFonts w:ascii="Arial" w:cs="Arial" w:eastAsia="Arial" w:hAnsi="Arial"/>
          <w:sz w:val="18"/>
          <w:szCs w:val="18"/>
          <w:color w:val="auto"/>
        </w:rPr>
        <w:t>Expected for fiscal year 2023</w:t>
      </w:r>
    </w:p>
    <w:p>
      <w:pPr>
        <w:ind w:left="580"/>
        <w:spacing w:after="0" w:line="235" w:lineRule="auto"/>
        <w:rPr>
          <w:sz w:val="20"/>
          <w:szCs w:val="20"/>
          <w:color w:val="auto"/>
        </w:rPr>
      </w:pPr>
      <w:r>
        <w:rPr>
          <w:rFonts w:ascii="Arial" w:cs="Arial" w:eastAsia="Arial" w:hAnsi="Arial"/>
          <w:sz w:val="18"/>
          <w:szCs w:val="18"/>
          <w:color w:val="auto"/>
        </w:rPr>
        <w:t>Expected for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-127000</wp:posOffset>
            </wp:positionV>
            <wp:extent cx="6412230" cy="1289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580"/>
        <w:spacing w:after="0" w:line="235" w:lineRule="auto"/>
        <w:rPr>
          <w:sz w:val="20"/>
          <w:szCs w:val="20"/>
          <w:color w:val="auto"/>
        </w:rPr>
      </w:pPr>
      <w:r>
        <w:rPr>
          <w:rFonts w:ascii="Arial" w:cs="Arial" w:eastAsia="Arial" w:hAnsi="Arial"/>
          <w:sz w:val="18"/>
          <w:szCs w:val="18"/>
          <w:color w:val="auto"/>
        </w:rPr>
        <w:t>Expected for fiscal year 2025</w:t>
      </w:r>
    </w:p>
    <w:p>
      <w:pPr>
        <w:ind w:left="580"/>
        <w:spacing w:after="0" w:line="235" w:lineRule="auto"/>
        <w:rPr>
          <w:sz w:val="20"/>
          <w:szCs w:val="20"/>
          <w:color w:val="auto"/>
        </w:rPr>
      </w:pPr>
      <w:r>
        <w:rPr>
          <w:rFonts w:ascii="Arial" w:cs="Arial" w:eastAsia="Arial" w:hAnsi="Arial"/>
          <w:sz w:val="18"/>
          <w:szCs w:val="18"/>
          <w:color w:val="auto"/>
        </w:rPr>
        <w:t>Expected for fiscal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-127000</wp:posOffset>
            </wp:positionV>
            <wp:extent cx="6412230" cy="1289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6350</wp:posOffset>
            </wp:positionV>
            <wp:extent cx="6412230" cy="1543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11569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9"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(In thousands)</w:t>
      </w:r>
    </w:p>
    <w:p>
      <w:pPr>
        <w:spacing w:after="0" w:line="26" w:lineRule="exact"/>
        <w:rPr>
          <w:sz w:val="20"/>
          <w:szCs w:val="20"/>
          <w:color w:val="auto"/>
        </w:rPr>
      </w:pPr>
    </w:p>
    <w:p>
      <w:pPr>
        <w:ind w:left="1240" w:hanging="1237"/>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20,859</w:t>
      </w:r>
    </w:p>
    <w:p>
      <w:pPr>
        <w:spacing w:after="0" w:line="194" w:lineRule="exact"/>
        <w:rPr>
          <w:sz w:val="20"/>
          <w:szCs w:val="20"/>
          <w:color w:val="auto"/>
        </w:rPr>
      </w:pPr>
    </w:p>
    <w:p>
      <w:pPr>
        <w:ind w:left="1340" w:hanging="1337"/>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7,532</w:t>
      </w:r>
    </w:p>
    <w:p>
      <w:pPr>
        <w:ind w:left="1240"/>
        <w:spacing w:after="0" w:line="234" w:lineRule="auto"/>
        <w:rPr>
          <w:rFonts w:ascii="Arial" w:cs="Arial" w:eastAsia="Arial" w:hAnsi="Arial"/>
          <w:sz w:val="18"/>
          <w:szCs w:val="18"/>
          <w:color w:val="auto"/>
        </w:rPr>
      </w:pPr>
      <w:r>
        <w:rPr>
          <w:rFonts w:ascii="Arial" w:cs="Arial" w:eastAsia="Arial" w:hAnsi="Arial"/>
          <w:sz w:val="18"/>
          <w:szCs w:val="18"/>
          <w:color w:val="auto"/>
        </w:rPr>
        <w:t>30,128</w:t>
      </w:r>
    </w:p>
    <w:p>
      <w:pPr>
        <w:ind w:left="1240"/>
        <w:spacing w:after="0" w:line="234" w:lineRule="auto"/>
        <w:rPr>
          <w:rFonts w:ascii="Arial" w:cs="Arial" w:eastAsia="Arial" w:hAnsi="Arial"/>
          <w:sz w:val="18"/>
          <w:szCs w:val="18"/>
          <w:color w:val="auto"/>
        </w:rPr>
      </w:pPr>
      <w:r>
        <w:rPr>
          <w:rFonts w:ascii="Arial" w:cs="Arial" w:eastAsia="Arial" w:hAnsi="Arial"/>
          <w:sz w:val="18"/>
          <w:szCs w:val="18"/>
          <w:color w:val="auto"/>
        </w:rPr>
        <w:t>28,678</w:t>
      </w:r>
    </w:p>
    <w:p>
      <w:pPr>
        <w:ind w:left="1240"/>
        <w:spacing w:after="0" w:line="234" w:lineRule="auto"/>
        <w:rPr>
          <w:rFonts w:ascii="Arial" w:cs="Arial" w:eastAsia="Arial" w:hAnsi="Arial"/>
          <w:sz w:val="18"/>
          <w:szCs w:val="18"/>
          <w:color w:val="auto"/>
        </w:rPr>
      </w:pPr>
      <w:r>
        <w:rPr>
          <w:rFonts w:ascii="Arial" w:cs="Arial" w:eastAsia="Arial" w:hAnsi="Arial"/>
          <w:sz w:val="18"/>
          <w:szCs w:val="18"/>
          <w:color w:val="auto"/>
        </w:rPr>
        <w:t>26,540</w:t>
      </w:r>
    </w:p>
    <w:p>
      <w:pPr>
        <w:ind w:left="1240"/>
        <w:spacing w:after="0" w:line="234" w:lineRule="auto"/>
        <w:rPr>
          <w:rFonts w:ascii="Arial" w:cs="Arial" w:eastAsia="Arial" w:hAnsi="Arial"/>
          <w:sz w:val="18"/>
          <w:szCs w:val="18"/>
          <w:color w:val="auto"/>
        </w:rPr>
      </w:pPr>
      <w:r>
        <w:rPr>
          <w:rFonts w:ascii="Arial" w:cs="Arial" w:eastAsia="Arial" w:hAnsi="Arial"/>
          <w:sz w:val="18"/>
          <w:szCs w:val="18"/>
          <w:color w:val="auto"/>
        </w:rPr>
        <w:t>26,388</w:t>
      </w:r>
    </w:p>
    <w:p>
      <w:pPr>
        <w:spacing w:after="0" w:line="1"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118,584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-1905</wp:posOffset>
            </wp:positionV>
            <wp:extent cx="11569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ind w:left="1140" w:hanging="1137"/>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237,850</w:t>
      </w:r>
    </w:p>
    <w:p>
      <w:pPr>
        <w:spacing w:after="0" w:line="576" w:lineRule="exact"/>
        <w:rPr>
          <w:sz w:val="20"/>
          <w:szCs w:val="20"/>
          <w:color w:val="auto"/>
        </w:rPr>
      </w:pPr>
    </w:p>
    <w:p>
      <w:pPr>
        <w:sectPr>
          <w:pgSz w:w="11900" w:h="16838" w:orient="portrait"/>
          <w:cols w:equalWidth="0" w:num="2">
            <w:col w:w="8060" w:space="720"/>
            <w:col w:w="2460"/>
          </w:cols>
          <w:pgMar w:left="320" w:top="539" w:right="339" w:bottom="1440" w:gutter="0" w:footer="0" w:header="0"/>
          <w:type w:val="continuous"/>
        </w:sectPr>
      </w:pPr>
    </w:p>
    <w:p>
      <w:pPr>
        <w:ind w:left="520"/>
        <w:spacing w:after="0"/>
        <w:rPr>
          <w:sz w:val="20"/>
          <w:szCs w:val="20"/>
          <w:color w:val="auto"/>
        </w:rPr>
      </w:pPr>
      <w:r>
        <w:rPr>
          <w:rFonts w:ascii="Arial" w:cs="Arial" w:eastAsia="Arial" w:hAnsi="Arial"/>
          <w:sz w:val="18"/>
          <w:szCs w:val="18"/>
          <w:color w:val="auto"/>
        </w:rPr>
        <w:t>Interest income for the three months ended December 31, 2021 was relatively flat compared to the prior year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5"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The $2.5 million decrease in interest expense for the three months ended December 31, 2021 compared to the prior year period was primarily the result of an increase in the amount of interest capitalized during the third quarter of fiscal year 2022 compared to the prior year period, partially offset by an increase in interest expense attributable to higher borrowings under our Revolving Credit Facility compared to the prior year period.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5"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For the three months ended December 31, 2021, we recorded an income tax provision of $3.5 million, resulting in an effective tax rate of negative 701%. For the three months ended December 31, 2020, we recorded an income tax provision of $ 7.0 million, resulting in an effective tax rate of 50%. The effective tax rates for such periods differed from the U.S. statutory rate primarily due to the benefit of federal and state R&amp;D tax credits and the expense for tax deficiencies upon settlement of stock-based compensation during the periods.</w:t>
      </w:r>
    </w:p>
    <w:p>
      <w:pPr>
        <w:spacing w:after="0" w:line="151"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Ordinarily, the effective tax rate at the end of an interim period is calculated using an estimate of the annual effective tax rate expected to be applicable for the full fiscal year. However, when a reliable estimate cannot be made, we compute our provision for income taxes using the actual effective tax rate (discrete method) for the year-to-date period. Our effective tax rate is highly influenced by the amount of our R&amp;D tax credits. A small change in estimated annual pretax income (loss) can produce a significant variance in the annual effective tax rate given our expected amount of R&amp;D tax credits. This variability provides an unreliable estimate of the annual effective tax rate. As a result, and in accordance with the authoritative guidance for accounting for income taxes in interim periods, we have computed our provision for income taxes for the three months ended December 31, 2021 and 2020 by applying the actual effective tax rates to the (loss) income for the three-month periods.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December 31, 2021 vs. Three Months Ended December 31, 2020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140" w:type="dxa"/>
            <w:vAlign w:val="bottom"/>
          </w:tcPr>
          <w:p>
            <w:pPr>
              <w:spacing w:after="0"/>
              <w:rPr>
                <w:sz w:val="16"/>
                <w:szCs w:val="16"/>
                <w:color w:val="auto"/>
              </w:rPr>
            </w:pPr>
          </w:p>
        </w:tc>
        <w:tc>
          <w:tcPr>
            <w:tcW w:w="12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Percentage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1"/>
                <w:szCs w:val="11"/>
                <w:color w:val="auto"/>
              </w:rPr>
            </w:pPr>
          </w:p>
        </w:tc>
        <w:tc>
          <w:tcPr>
            <w:tcW w:w="1100" w:type="dxa"/>
            <w:vAlign w:val="bottom"/>
          </w:tcPr>
          <w:p>
            <w:pPr>
              <w:jc w:val="right"/>
              <w:ind w:right="58"/>
              <w:spacing w:after="0" w:line="12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79"/>
              <w:spacing w:after="0" w:line="129" w:lineRule="exact"/>
              <w:rPr>
                <w:sz w:val="20"/>
                <w:szCs w:val="20"/>
                <w:color w:val="auto"/>
              </w:rPr>
            </w:pPr>
            <w:r>
              <w:rPr>
                <w:rFonts w:ascii="Arial" w:cs="Arial" w:eastAsia="Arial" w:hAnsi="Arial"/>
                <w:sz w:val="14"/>
                <w:szCs w:val="14"/>
                <w:b w:val="1"/>
                <w:bCs w:val="1"/>
                <w:color w:val="auto"/>
              </w:rPr>
              <w:t>Increase</w:t>
            </w:r>
          </w:p>
        </w:tc>
        <w:tc>
          <w:tcPr>
            <w:tcW w:w="140" w:type="dxa"/>
            <w:vAlign w:val="bottom"/>
          </w:tcPr>
          <w:p>
            <w:pPr>
              <w:spacing w:after="0"/>
              <w:rPr>
                <w:sz w:val="11"/>
                <w:szCs w:val="11"/>
                <w:color w:val="auto"/>
              </w:rPr>
            </w:pPr>
          </w:p>
        </w:tc>
        <w:tc>
          <w:tcPr>
            <w:tcW w:w="1280" w:type="dxa"/>
            <w:vAlign w:val="bottom"/>
            <w:gridSpan w:val="2"/>
          </w:tcPr>
          <w:p>
            <w:pPr>
              <w:jc w:val="center"/>
              <w:ind w:right="170"/>
              <w:spacing w:after="0" w:line="129" w:lineRule="exact"/>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140" w:type="dxa"/>
            <w:vAlign w:val="bottom"/>
          </w:tcPr>
          <w:p>
            <w:pPr>
              <w:spacing w:after="0"/>
              <w:rPr>
                <w:sz w:val="16"/>
                <w:szCs w:val="16"/>
                <w:color w:val="auto"/>
              </w:rPr>
            </w:pPr>
          </w:p>
        </w:tc>
        <w:tc>
          <w:tcPr>
            <w:tcW w:w="12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(Decrease)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72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Segment product revenues</w:t>
            </w: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309.7</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220.8</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88.9</w:t>
            </w:r>
          </w:p>
        </w:tc>
        <w:tc>
          <w:tcPr>
            <w:tcW w:w="1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40 %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8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segment revenues</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309.7</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220.8</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88.9</w:t>
            </w:r>
          </w:p>
        </w:tc>
        <w:tc>
          <w:tcPr>
            <w:tcW w:w="142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40 %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4"/>
        </w:trPr>
        <w:tc>
          <w:tcPr>
            <w:tcW w:w="5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818"/>
              <w:spacing w:after="0"/>
              <w:rPr>
                <w:sz w:val="20"/>
                <w:szCs w:val="20"/>
                <w:color w:val="auto"/>
              </w:rPr>
            </w:pPr>
            <w:r>
              <w:rPr>
                <w:rFonts w:ascii="Arial" w:cs="Arial" w:eastAsia="Arial" w:hAnsi="Arial"/>
                <w:sz w:val="18"/>
                <w:szCs w:val="18"/>
                <w:color w:val="auto"/>
                <w:w w:val="89"/>
              </w:rPr>
              <w:t>47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47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type w:val="continuous"/>
        </w:sectPr>
      </w:pPr>
    </w:p>
    <w:bookmarkStart w:id="47" w:name="page48"/>
    <w:bookmarkEnd w:id="47"/>
    <w:p>
      <w:pPr>
        <w:ind w:right="40" w:firstLine="509"/>
        <w:spacing w:after="0" w:line="236" w:lineRule="auto"/>
        <w:rPr>
          <w:sz w:val="20"/>
          <w:szCs w:val="20"/>
          <w:color w:val="auto"/>
        </w:rPr>
      </w:pPr>
      <w:r>
        <w:rPr>
          <w:rFonts w:ascii="Arial" w:cs="Arial" w:eastAsia="Arial" w:hAnsi="Arial"/>
          <w:sz w:val="18"/>
          <w:szCs w:val="18"/>
          <w:color w:val="auto"/>
        </w:rPr>
        <w:t>Our satellite services segment revenues increased by $88.9 million for the three months ended December 31, 2021 compared to the prior year period due to an increase in service revenues. The increase in service revenues was primarily attributable to the acquisition of RigNet, which closed in the first quarter of fiscal year 2022, as well as increases in our in-flight services and fixed broadband businesses. The acquisition of RigNet contributed approximately $43.1 million of service revenues in the three months ended December 31, 2021. The increase in in-flight service revenue of $ 34.4 million was driven primarily by an increase in the number of commercial aircraft receiving our in-flight services through our IFC systems, as the number of aircraft in service increased, passenger air traffic continued to increase and aircraft that were previously inactive as a result of the COVID-19 pandemic continued to return to service. The increase in fixed broadband service revenues was primarily attributable to the acquisition of the remaining 51% interest in EBI, which also closed during the first quarter of fiscal year 2022, with EBI contributing approximately $10.7 million of service revenues in the third quarter of fiscal year 2022.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60" w:type="dxa"/>
            <w:vAlign w:val="bottom"/>
            <w:gridSpan w:val="5"/>
          </w:tcPr>
          <w:p>
            <w:pPr>
              <w:jc w:val="right"/>
              <w:ind w:right="1040"/>
              <w:spacing w:after="0"/>
              <w:rPr>
                <w:sz w:val="20"/>
                <w:szCs w:val="20"/>
                <w:color w:val="auto"/>
              </w:rPr>
            </w:pPr>
            <w:r>
              <w:rPr>
                <w:rFonts w:ascii="Arial" w:cs="Arial" w:eastAsia="Arial" w:hAnsi="Arial"/>
                <w:sz w:val="13"/>
                <w:szCs w:val="13"/>
                <w:b w:val="1"/>
                <w:bCs w:val="1"/>
                <w:color w:val="auto"/>
              </w:rPr>
              <w:t>Three Months Ended</w:t>
            </w:r>
          </w:p>
        </w:tc>
        <w:tc>
          <w:tcPr>
            <w:tcW w:w="160" w:type="dxa"/>
            <w:vAlign w:val="bottom"/>
          </w:tcPr>
          <w:p>
            <w:pPr>
              <w:spacing w:after="0"/>
              <w:rPr>
                <w:sz w:val="14"/>
                <w:szCs w:val="14"/>
                <w:color w:val="auto"/>
              </w:rPr>
            </w:pPr>
          </w:p>
        </w:tc>
        <w:tc>
          <w:tcPr>
            <w:tcW w:w="860" w:type="dxa"/>
            <w:vAlign w:val="bottom"/>
          </w:tcPr>
          <w:p>
            <w:pPr>
              <w:jc w:val="center"/>
              <w:ind w:right="73"/>
              <w:spacing w:after="0"/>
              <w:rPr>
                <w:sz w:val="20"/>
                <w:szCs w:val="20"/>
                <w:color w:val="auto"/>
              </w:rPr>
            </w:pPr>
            <w:r>
              <w:rPr>
                <w:rFonts w:ascii="Arial" w:cs="Arial" w:eastAsia="Arial" w:hAnsi="Arial"/>
                <w:sz w:val="13"/>
                <w:szCs w:val="13"/>
                <w:b w:val="1"/>
                <w:bCs w:val="1"/>
                <w:color w:val="auto"/>
                <w:w w:val="97"/>
              </w:rPr>
              <w:t>Dollar</w:t>
            </w:r>
          </w:p>
        </w:tc>
        <w:tc>
          <w:tcPr>
            <w:tcW w:w="140" w:type="dxa"/>
            <w:vAlign w:val="bottom"/>
          </w:tcPr>
          <w:p>
            <w:pPr>
              <w:spacing w:after="0"/>
              <w:rPr>
                <w:sz w:val="14"/>
                <w:szCs w:val="14"/>
                <w:color w:val="auto"/>
              </w:rPr>
            </w:pPr>
          </w:p>
        </w:tc>
        <w:tc>
          <w:tcPr>
            <w:tcW w:w="1200" w:type="dxa"/>
            <w:vAlign w:val="bottom"/>
            <w:gridSpan w:val="2"/>
          </w:tcPr>
          <w:p>
            <w:pPr>
              <w:jc w:val="center"/>
              <w:ind w:right="150"/>
              <w:spacing w:after="0"/>
              <w:rPr>
                <w:sz w:val="20"/>
                <w:szCs w:val="20"/>
                <w:color w:val="auto"/>
              </w:rPr>
            </w:pPr>
            <w:r>
              <w:rPr>
                <w:rFonts w:ascii="Arial" w:cs="Arial" w:eastAsia="Arial" w:hAnsi="Arial"/>
                <w:sz w:val="13"/>
                <w:szCs w:val="13"/>
                <w:b w:val="1"/>
                <w:bCs w:val="1"/>
                <w:color w:val="auto"/>
                <w:w w:val="96"/>
              </w:rPr>
              <w:t>Percentage</w:t>
            </w:r>
          </w:p>
        </w:tc>
        <w:tc>
          <w:tcPr>
            <w:tcW w:w="0" w:type="dxa"/>
            <w:vAlign w:val="bottom"/>
          </w:tcPr>
          <w:p>
            <w:pPr>
              <w:spacing w:after="0"/>
              <w:rPr>
                <w:sz w:val="1"/>
                <w:szCs w:val="1"/>
                <w:color w:val="auto"/>
              </w:rPr>
            </w:pPr>
          </w:p>
        </w:tc>
      </w:tr>
      <w:tr>
        <w:trPr>
          <w:trHeight w:val="102"/>
        </w:trPr>
        <w:tc>
          <w:tcPr>
            <w:tcW w:w="4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millions, except percentages)</w:t>
            </w:r>
          </w:p>
        </w:tc>
        <w:tc>
          <w:tcPr>
            <w:tcW w:w="160" w:type="dxa"/>
            <w:vAlign w:val="bottom"/>
            <w:tcBorders>
              <w:top w:val="single" w:sz="8" w:color="auto"/>
            </w:tcBorders>
          </w:tcPr>
          <w:p>
            <w:pPr>
              <w:spacing w:after="0"/>
              <w:rPr>
                <w:sz w:val="8"/>
                <w:szCs w:val="8"/>
                <w:color w:val="auto"/>
              </w:rPr>
            </w:pPr>
          </w:p>
        </w:tc>
        <w:tc>
          <w:tcPr>
            <w:tcW w:w="1360" w:type="dxa"/>
            <w:vAlign w:val="bottom"/>
            <w:tcBorders>
              <w:top w:val="single" w:sz="8" w:color="auto"/>
            </w:tcBorders>
            <w:gridSpan w:val="2"/>
          </w:tcPr>
          <w:p>
            <w:pPr>
              <w:jc w:val="right"/>
              <w:ind w:right="500"/>
              <w:spacing w:after="0" w:line="102" w:lineRule="exact"/>
              <w:rPr>
                <w:sz w:val="20"/>
                <w:szCs w:val="20"/>
                <w:color w:val="auto"/>
              </w:rPr>
            </w:pPr>
            <w:r>
              <w:rPr>
                <w:rFonts w:ascii="Arial" w:cs="Arial" w:eastAsia="Arial" w:hAnsi="Arial"/>
                <w:sz w:val="10"/>
                <w:szCs w:val="10"/>
                <w:b w:val="1"/>
                <w:bCs w:val="1"/>
                <w:color w:val="auto"/>
              </w:rPr>
              <w:t>December 31,</w:t>
            </w:r>
          </w:p>
        </w:tc>
        <w:tc>
          <w:tcPr>
            <w:tcW w:w="16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jc w:val="right"/>
              <w:ind w:right="106"/>
              <w:spacing w:after="0" w:line="102" w:lineRule="exact"/>
              <w:rPr>
                <w:sz w:val="20"/>
                <w:szCs w:val="20"/>
                <w:color w:val="auto"/>
              </w:rPr>
            </w:pPr>
            <w:r>
              <w:rPr>
                <w:rFonts w:ascii="Arial" w:cs="Arial" w:eastAsia="Arial" w:hAnsi="Arial"/>
                <w:sz w:val="10"/>
                <w:szCs w:val="10"/>
                <w:b w:val="1"/>
                <w:bCs w:val="1"/>
                <w:color w:val="auto"/>
              </w:rPr>
              <w:t>December 31,</w:t>
            </w: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jc w:val="center"/>
              <w:ind w:right="73"/>
              <w:spacing w:after="0" w:line="102" w:lineRule="exact"/>
              <w:rPr>
                <w:sz w:val="20"/>
                <w:szCs w:val="20"/>
                <w:color w:val="auto"/>
              </w:rPr>
            </w:pPr>
            <w:r>
              <w:rPr>
                <w:rFonts w:ascii="Arial" w:cs="Arial" w:eastAsia="Arial" w:hAnsi="Arial"/>
                <w:sz w:val="10"/>
                <w:szCs w:val="10"/>
                <w:b w:val="1"/>
                <w:bCs w:val="1"/>
                <w:color w:val="auto"/>
              </w:rPr>
              <w:t>Increase</w:t>
            </w:r>
          </w:p>
        </w:tc>
        <w:tc>
          <w:tcPr>
            <w:tcW w:w="140" w:type="dxa"/>
            <w:vAlign w:val="bottom"/>
          </w:tcPr>
          <w:p>
            <w:pPr>
              <w:spacing w:after="0"/>
              <w:rPr>
                <w:sz w:val="8"/>
                <w:szCs w:val="8"/>
                <w:color w:val="auto"/>
              </w:rPr>
            </w:pPr>
          </w:p>
        </w:tc>
        <w:tc>
          <w:tcPr>
            <w:tcW w:w="1200" w:type="dxa"/>
            <w:vAlign w:val="bottom"/>
            <w:gridSpan w:val="2"/>
          </w:tcPr>
          <w:p>
            <w:pPr>
              <w:jc w:val="center"/>
              <w:ind w:right="170"/>
              <w:spacing w:after="0" w:line="102" w:lineRule="exact"/>
              <w:rPr>
                <w:sz w:val="20"/>
                <w:szCs w:val="20"/>
                <w:color w:val="auto"/>
              </w:rPr>
            </w:pPr>
            <w:r>
              <w:rPr>
                <w:rFonts w:ascii="Arial" w:cs="Arial" w:eastAsia="Arial" w:hAnsi="Arial"/>
                <w:sz w:val="10"/>
                <w:szCs w:val="10"/>
                <w:b w:val="1"/>
                <w:bCs w:val="1"/>
                <w:color w:val="auto"/>
              </w:rPr>
              <w:t>Increase</w:t>
            </w:r>
          </w:p>
        </w:tc>
        <w:tc>
          <w:tcPr>
            <w:tcW w:w="0" w:type="dxa"/>
            <w:vAlign w:val="bottom"/>
          </w:tcPr>
          <w:p>
            <w:pPr>
              <w:spacing w:after="0"/>
              <w:rPr>
                <w:sz w:val="1"/>
                <w:szCs w:val="1"/>
                <w:color w:val="auto"/>
              </w:rPr>
            </w:pPr>
          </w:p>
        </w:tc>
      </w:tr>
      <w:tr>
        <w:trPr>
          <w:trHeight w:val="162"/>
        </w:trPr>
        <w:tc>
          <w:tcPr>
            <w:tcW w:w="4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388"/>
              <w:spacing w:after="0"/>
              <w:rPr>
                <w:sz w:val="20"/>
                <w:szCs w:val="20"/>
                <w:color w:val="auto"/>
              </w:rPr>
            </w:pPr>
            <w:r>
              <w:rPr>
                <w:rFonts w:ascii="Arial" w:cs="Arial" w:eastAsia="Arial" w:hAnsi="Arial"/>
                <w:sz w:val="13"/>
                <w:szCs w:val="13"/>
                <w:b w:val="1"/>
                <w:bCs w:val="1"/>
                <w:color w:val="auto"/>
              </w:rPr>
              <w:t>2021</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386"/>
              <w:spacing w:after="0"/>
              <w:rPr>
                <w:sz w:val="20"/>
                <w:szCs w:val="20"/>
                <w:color w:val="auto"/>
              </w:rPr>
            </w:pPr>
            <w:r>
              <w:rPr>
                <w:rFonts w:ascii="Arial" w:cs="Arial" w:eastAsia="Arial" w:hAnsi="Arial"/>
                <w:sz w:val="13"/>
                <w:szCs w:val="13"/>
                <w:b w:val="1"/>
                <w:bCs w:val="1"/>
                <w:color w:val="auto"/>
              </w:rPr>
              <w:t>2020</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73"/>
              <w:spacing w:after="0"/>
              <w:rPr>
                <w:sz w:val="20"/>
                <w:szCs w:val="20"/>
                <w:color w:val="auto"/>
              </w:rPr>
            </w:pPr>
            <w:r>
              <w:rPr>
                <w:rFonts w:ascii="Arial" w:cs="Arial" w:eastAsia="Arial" w:hAnsi="Arial"/>
                <w:sz w:val="13"/>
                <w:szCs w:val="13"/>
                <w:b w:val="1"/>
                <w:bCs w:val="1"/>
                <w:color w:val="auto"/>
                <w:w w:val="96"/>
              </w:rPr>
              <w:t>(Decrease)</w:t>
            </w:r>
          </w:p>
        </w:tc>
        <w:tc>
          <w:tcPr>
            <w:tcW w:w="140" w:type="dxa"/>
            <w:vAlign w:val="bottom"/>
          </w:tcPr>
          <w:p>
            <w:pPr>
              <w:spacing w:after="0"/>
              <w:rPr>
                <w:sz w:val="14"/>
                <w:szCs w:val="14"/>
                <w:color w:val="auto"/>
              </w:rPr>
            </w:pPr>
          </w:p>
        </w:tc>
        <w:tc>
          <w:tcPr>
            <w:tcW w:w="1200" w:type="dxa"/>
            <w:vAlign w:val="bottom"/>
            <w:gridSpan w:val="2"/>
          </w:tcPr>
          <w:p>
            <w:pPr>
              <w:jc w:val="center"/>
              <w:ind w:right="170"/>
              <w:spacing w:after="0"/>
              <w:rPr>
                <w:sz w:val="20"/>
                <w:szCs w:val="20"/>
                <w:color w:val="auto"/>
              </w:rPr>
            </w:pPr>
            <w:r>
              <w:rPr>
                <w:rFonts w:ascii="Arial" w:cs="Arial" w:eastAsia="Arial" w:hAnsi="Arial"/>
                <w:sz w:val="13"/>
                <w:szCs w:val="13"/>
                <w:b w:val="1"/>
                <w:bCs w:val="1"/>
                <w:color w:val="auto"/>
                <w:w w:val="99"/>
              </w:rPr>
              <w:t>(Decrease)</w:t>
            </w:r>
          </w:p>
        </w:tc>
        <w:tc>
          <w:tcPr>
            <w:tcW w:w="0" w:type="dxa"/>
            <w:vAlign w:val="bottom"/>
          </w:tcPr>
          <w:p>
            <w:pPr>
              <w:spacing w:after="0"/>
              <w:rPr>
                <w:sz w:val="1"/>
                <w:szCs w:val="1"/>
                <w:color w:val="auto"/>
              </w:rPr>
            </w:pPr>
          </w:p>
        </w:tc>
      </w:tr>
      <w:tr>
        <w:trPr>
          <w:trHeight w:val="196"/>
        </w:trPr>
        <w:tc>
          <w:tcPr>
            <w:tcW w:w="466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Segment operating profit</w:t>
            </w:r>
          </w:p>
        </w:tc>
        <w:tc>
          <w:tcPr>
            <w:tcW w:w="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14.2</w:t>
            </w:r>
          </w:p>
        </w:tc>
        <w:tc>
          <w:tcPr>
            <w:tcW w:w="3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w:t>
            </w:r>
          </w:p>
        </w:tc>
        <w:tc>
          <w:tcPr>
            <w:tcW w:w="3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w:t>
            </w:r>
          </w:p>
        </w:tc>
        <w:tc>
          <w:tcPr>
            <w:tcW w:w="14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w:t>
            </w:r>
          </w:p>
        </w:tc>
        <w:tc>
          <w:tcPr>
            <w:tcW w:w="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47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5 %</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5 %</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240" w:firstLine="509"/>
        <w:spacing w:after="0" w:line="238" w:lineRule="auto"/>
        <w:rPr>
          <w:sz w:val="20"/>
          <w:szCs w:val="20"/>
          <w:color w:val="auto"/>
        </w:rPr>
      </w:pPr>
      <w:r>
        <w:rPr>
          <w:rFonts w:ascii="Arial" w:cs="Arial" w:eastAsia="Arial" w:hAnsi="Arial"/>
          <w:sz w:val="18"/>
          <w:szCs w:val="18"/>
          <w:color w:val="auto"/>
        </w:rPr>
        <w:t>The $2.7 million increase in satellite services segment operating profit was driven primarily by higher earnings contributions of $25.4 million, primarily due to an increase in revenues and improved margins from our in-flight services as the business continued to scale. The increase in our satellite services segment operating profit was partially offset by higher SG&amp;A costs of $22.7 million (mainly attributable to RigNet, which was acquired during the first quarter of fiscal year 2022, as well as acquisition-related expenses related to the Inmarsat Transaction).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140" w:type="dxa"/>
            <w:vAlign w:val="bottom"/>
          </w:tcPr>
          <w:p>
            <w:pPr>
              <w:spacing w:after="0"/>
              <w:rPr>
                <w:sz w:val="16"/>
                <w:szCs w:val="16"/>
                <w:color w:val="auto"/>
              </w:rPr>
            </w:pPr>
          </w:p>
        </w:tc>
        <w:tc>
          <w:tcPr>
            <w:tcW w:w="12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1"/>
                <w:szCs w:val="11"/>
                <w:color w:val="auto"/>
              </w:rPr>
            </w:pPr>
          </w:p>
        </w:tc>
        <w:tc>
          <w:tcPr>
            <w:tcW w:w="1100" w:type="dxa"/>
            <w:vAlign w:val="bottom"/>
          </w:tcPr>
          <w:p>
            <w:pPr>
              <w:jc w:val="right"/>
              <w:ind w:right="59"/>
              <w:spacing w:after="0" w:line="12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79"/>
              <w:spacing w:after="0" w:line="129" w:lineRule="exact"/>
              <w:rPr>
                <w:sz w:val="20"/>
                <w:szCs w:val="20"/>
                <w:color w:val="auto"/>
              </w:rPr>
            </w:pPr>
            <w:r>
              <w:rPr>
                <w:rFonts w:ascii="Arial" w:cs="Arial" w:eastAsia="Arial" w:hAnsi="Arial"/>
                <w:sz w:val="14"/>
                <w:szCs w:val="14"/>
                <w:b w:val="1"/>
                <w:bCs w:val="1"/>
                <w:color w:val="auto"/>
              </w:rPr>
              <w:t>Increase</w:t>
            </w:r>
          </w:p>
        </w:tc>
        <w:tc>
          <w:tcPr>
            <w:tcW w:w="140" w:type="dxa"/>
            <w:vAlign w:val="bottom"/>
          </w:tcPr>
          <w:p>
            <w:pPr>
              <w:spacing w:after="0"/>
              <w:rPr>
                <w:sz w:val="11"/>
                <w:szCs w:val="11"/>
                <w:color w:val="auto"/>
              </w:rPr>
            </w:pPr>
          </w:p>
        </w:tc>
        <w:tc>
          <w:tcPr>
            <w:tcW w:w="1280" w:type="dxa"/>
            <w:vAlign w:val="bottom"/>
            <w:gridSpan w:val="2"/>
          </w:tcPr>
          <w:p>
            <w:pPr>
              <w:jc w:val="center"/>
              <w:ind w:right="17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4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140" w:type="dxa"/>
            <w:vAlign w:val="bottom"/>
          </w:tcPr>
          <w:p>
            <w:pPr>
              <w:spacing w:after="0"/>
              <w:rPr>
                <w:sz w:val="16"/>
                <w:szCs w:val="16"/>
                <w:color w:val="auto"/>
              </w:rPr>
            </w:pPr>
          </w:p>
        </w:tc>
        <w:tc>
          <w:tcPr>
            <w:tcW w:w="12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472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Segment product revenues</w:t>
            </w: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123.1</w:t>
            </w:r>
          </w:p>
        </w:tc>
        <w:tc>
          <w:tcPr>
            <w:tcW w:w="1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75.7</w:t>
            </w:r>
          </w:p>
        </w:tc>
        <w:tc>
          <w:tcPr>
            <w:tcW w:w="1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47.4</w:t>
            </w:r>
          </w:p>
        </w:tc>
        <w:tc>
          <w:tcPr>
            <w:tcW w:w="14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w:t>
            </w:r>
          </w:p>
        </w:tc>
        <w:tc>
          <w:tcPr>
            <w:tcW w:w="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w:t>
            </w:r>
          </w:p>
        </w:tc>
        <w:tc>
          <w:tcPr>
            <w:tcW w:w="1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196"/>
        </w:trPr>
        <w:tc>
          <w:tcPr>
            <w:tcW w:w="48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segment revenues</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139.7</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90.1</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49.6</w:t>
            </w:r>
          </w:p>
        </w:tc>
        <w:tc>
          <w:tcPr>
            <w:tcW w:w="142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commercial networks segment revenues increased by $49.6 million, due to a $47.4 million increase in product revenues and a $2.2 million increase in service revenues. The increase in product revenues was primarily due to increases of $32.7 million in mobile broadband satellite communication systems products, related to additional IFC terminal deliveries. There were also increases of $13.3 million in antenna systems products and $9.0 million in RigNet products, partially offset by a $10.0 million decrease in fixed satellite networks products. The increase in service revenues was primarily driven by an increase in mobile broadband satellite communication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0" w:type="dxa"/>
            <w:vAlign w:val="bottom"/>
            <w:gridSpan w:val="5"/>
          </w:tcPr>
          <w:p>
            <w:pPr>
              <w:jc w:val="right"/>
              <w:ind w:right="1050"/>
              <w:spacing w:after="0"/>
              <w:rPr>
                <w:sz w:val="20"/>
                <w:szCs w:val="20"/>
                <w:color w:val="auto"/>
              </w:rPr>
            </w:pPr>
            <w:r>
              <w:rPr>
                <w:rFonts w:ascii="Arial" w:cs="Arial" w:eastAsia="Arial" w:hAnsi="Arial"/>
                <w:sz w:val="13"/>
                <w:szCs w:val="13"/>
                <w:b w:val="1"/>
                <w:bCs w:val="1"/>
                <w:color w:val="auto"/>
              </w:rPr>
              <w:t>Three Months Ended</w:t>
            </w:r>
          </w:p>
        </w:tc>
        <w:tc>
          <w:tcPr>
            <w:tcW w:w="160" w:type="dxa"/>
            <w:vAlign w:val="bottom"/>
          </w:tcPr>
          <w:p>
            <w:pPr>
              <w:spacing w:after="0"/>
              <w:rPr>
                <w:sz w:val="14"/>
                <w:szCs w:val="14"/>
                <w:color w:val="auto"/>
              </w:rPr>
            </w:pPr>
          </w:p>
        </w:tc>
        <w:tc>
          <w:tcPr>
            <w:tcW w:w="940" w:type="dxa"/>
            <w:vAlign w:val="bottom"/>
            <w:gridSpan w:val="2"/>
          </w:tcPr>
          <w:p>
            <w:pPr>
              <w:jc w:val="center"/>
              <w:ind w:right="170"/>
              <w:spacing w:after="0"/>
              <w:rPr>
                <w:sz w:val="20"/>
                <w:szCs w:val="20"/>
                <w:color w:val="auto"/>
              </w:rPr>
            </w:pPr>
            <w:r>
              <w:rPr>
                <w:rFonts w:ascii="Arial" w:cs="Arial" w:eastAsia="Arial" w:hAnsi="Arial"/>
                <w:sz w:val="13"/>
                <w:szCs w:val="13"/>
                <w:b w:val="1"/>
                <w:bCs w:val="1"/>
                <w:color w:val="auto"/>
                <w:w w:val="97"/>
              </w:rPr>
              <w:t>Dollar</w:t>
            </w:r>
          </w:p>
        </w:tc>
        <w:tc>
          <w:tcPr>
            <w:tcW w:w="1300" w:type="dxa"/>
            <w:vAlign w:val="bottom"/>
            <w:gridSpan w:val="2"/>
          </w:tcPr>
          <w:p>
            <w:pPr>
              <w:jc w:val="center"/>
              <w:ind w:right="250"/>
              <w:spacing w:after="0"/>
              <w:rPr>
                <w:sz w:val="20"/>
                <w:szCs w:val="20"/>
                <w:color w:val="auto"/>
              </w:rPr>
            </w:pPr>
            <w:r>
              <w:rPr>
                <w:rFonts w:ascii="Arial" w:cs="Arial" w:eastAsia="Arial" w:hAnsi="Arial"/>
                <w:sz w:val="13"/>
                <w:szCs w:val="13"/>
                <w:b w:val="1"/>
                <w:bCs w:val="1"/>
                <w:color w:val="auto"/>
                <w:w w:val="96"/>
              </w:rPr>
              <w:t>Percentage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5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millions, except percentages)</w:t>
            </w:r>
          </w:p>
        </w:tc>
        <w:tc>
          <w:tcPr>
            <w:tcW w:w="140" w:type="dxa"/>
            <w:vAlign w:val="bottom"/>
            <w:tcBorders>
              <w:top w:val="single" w:sz="8" w:color="auto"/>
            </w:tcBorders>
          </w:tcPr>
          <w:p>
            <w:pPr>
              <w:spacing w:after="0"/>
              <w:rPr>
                <w:sz w:val="8"/>
                <w:szCs w:val="8"/>
                <w:color w:val="auto"/>
              </w:rPr>
            </w:pPr>
          </w:p>
        </w:tc>
        <w:tc>
          <w:tcPr>
            <w:tcW w:w="1440" w:type="dxa"/>
            <w:vAlign w:val="bottom"/>
            <w:tcBorders>
              <w:top w:val="single" w:sz="8" w:color="auto"/>
            </w:tcBorders>
            <w:gridSpan w:val="2"/>
          </w:tcPr>
          <w:p>
            <w:pPr>
              <w:jc w:val="right"/>
              <w:ind w:right="490"/>
              <w:spacing w:after="0" w:line="102" w:lineRule="exact"/>
              <w:rPr>
                <w:sz w:val="20"/>
                <w:szCs w:val="20"/>
                <w:color w:val="auto"/>
              </w:rPr>
            </w:pPr>
            <w:r>
              <w:rPr>
                <w:rFonts w:ascii="Arial" w:cs="Arial" w:eastAsia="Arial" w:hAnsi="Arial"/>
                <w:sz w:val="10"/>
                <w:szCs w:val="10"/>
                <w:b w:val="1"/>
                <w:bCs w:val="1"/>
                <w:color w:val="auto"/>
              </w:rPr>
              <w:t>December 31,</w:t>
            </w:r>
          </w:p>
        </w:tc>
        <w:tc>
          <w:tcPr>
            <w:tcW w:w="14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jc w:val="right"/>
              <w:ind w:right="106"/>
              <w:spacing w:after="0" w:line="102" w:lineRule="exact"/>
              <w:rPr>
                <w:sz w:val="20"/>
                <w:szCs w:val="20"/>
                <w:color w:val="auto"/>
              </w:rPr>
            </w:pPr>
            <w:r>
              <w:rPr>
                <w:rFonts w:ascii="Arial" w:cs="Arial" w:eastAsia="Arial" w:hAnsi="Arial"/>
                <w:sz w:val="10"/>
                <w:szCs w:val="10"/>
                <w:b w:val="1"/>
                <w:bCs w:val="1"/>
                <w:color w:val="auto"/>
              </w:rPr>
              <w:t>December 31,</w:t>
            </w: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tcPr>
          <w:p>
            <w:pPr>
              <w:jc w:val="center"/>
              <w:ind w:right="170"/>
              <w:spacing w:after="0" w:line="102" w:lineRule="exact"/>
              <w:rPr>
                <w:sz w:val="20"/>
                <w:szCs w:val="20"/>
                <w:color w:val="auto"/>
              </w:rPr>
            </w:pPr>
            <w:r>
              <w:rPr>
                <w:rFonts w:ascii="Arial" w:cs="Arial" w:eastAsia="Arial" w:hAnsi="Arial"/>
                <w:sz w:val="10"/>
                <w:szCs w:val="10"/>
                <w:b w:val="1"/>
                <w:bCs w:val="1"/>
                <w:color w:val="auto"/>
              </w:rPr>
              <w:t>(Increase)</w:t>
            </w:r>
          </w:p>
        </w:tc>
        <w:tc>
          <w:tcPr>
            <w:tcW w:w="1300" w:type="dxa"/>
            <w:vAlign w:val="bottom"/>
            <w:gridSpan w:val="2"/>
          </w:tcPr>
          <w:p>
            <w:pPr>
              <w:jc w:val="center"/>
              <w:ind w:right="250"/>
              <w:spacing w:after="0" w:line="102" w:lineRule="exact"/>
              <w:rPr>
                <w:sz w:val="20"/>
                <w:szCs w:val="20"/>
                <w:color w:val="auto"/>
              </w:rPr>
            </w:pPr>
            <w:r>
              <w:rPr>
                <w:rFonts w:ascii="Arial" w:cs="Arial" w:eastAsia="Arial" w:hAnsi="Arial"/>
                <w:sz w:val="10"/>
                <w:szCs w:val="10"/>
                <w:b w:val="1"/>
                <w:bCs w:val="1"/>
                <w:color w:val="auto"/>
              </w:rPr>
              <w:t>(Increase)</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5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65"/>
              <w:spacing w:after="0"/>
              <w:rPr>
                <w:sz w:val="20"/>
                <w:szCs w:val="20"/>
                <w:color w:val="auto"/>
              </w:rPr>
            </w:pPr>
            <w:r>
              <w:rPr>
                <w:rFonts w:ascii="Arial" w:cs="Arial" w:eastAsia="Arial" w:hAnsi="Arial"/>
                <w:sz w:val="13"/>
                <w:szCs w:val="13"/>
                <w:b w:val="1"/>
                <w:bCs w:val="1"/>
                <w:color w:val="auto"/>
              </w:rPr>
              <w:t>2021</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66"/>
              <w:spacing w:after="0"/>
              <w:rPr>
                <w:sz w:val="20"/>
                <w:szCs w:val="20"/>
                <w:color w:val="auto"/>
              </w:rPr>
            </w:pPr>
            <w:r>
              <w:rPr>
                <w:rFonts w:ascii="Arial" w:cs="Arial" w:eastAsia="Arial" w:hAnsi="Arial"/>
                <w:sz w:val="13"/>
                <w:szCs w:val="13"/>
                <w:b w:val="1"/>
                <w:bCs w:val="1"/>
                <w:color w:val="auto"/>
              </w:rPr>
              <w:t>2020</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70"/>
              <w:spacing w:after="0"/>
              <w:rPr>
                <w:sz w:val="20"/>
                <w:szCs w:val="20"/>
                <w:color w:val="auto"/>
              </w:rPr>
            </w:pPr>
            <w:r>
              <w:rPr>
                <w:rFonts w:ascii="Arial" w:cs="Arial" w:eastAsia="Arial" w:hAnsi="Arial"/>
                <w:sz w:val="13"/>
                <w:szCs w:val="13"/>
                <w:b w:val="1"/>
                <w:bCs w:val="1"/>
                <w:color w:val="auto"/>
                <w:w w:val="96"/>
              </w:rPr>
              <w:t>Decrease</w:t>
            </w:r>
          </w:p>
        </w:tc>
        <w:tc>
          <w:tcPr>
            <w:tcW w:w="1300" w:type="dxa"/>
            <w:vAlign w:val="bottom"/>
            <w:gridSpan w:val="2"/>
          </w:tcPr>
          <w:p>
            <w:pPr>
              <w:jc w:val="center"/>
              <w:ind w:right="250"/>
              <w:spacing w:after="0"/>
              <w:rPr>
                <w:sz w:val="20"/>
                <w:szCs w:val="20"/>
                <w:color w:val="auto"/>
              </w:rPr>
            </w:pPr>
            <w:r>
              <w:rPr>
                <w:rFonts w:ascii="Arial" w:cs="Arial" w:eastAsia="Arial" w:hAnsi="Arial"/>
                <w:sz w:val="13"/>
                <w:szCs w:val="13"/>
                <w:b w:val="1"/>
                <w:bCs w:val="1"/>
                <w:color w:val="auto"/>
                <w:w w:val="96"/>
              </w:rPr>
              <w:t>Decrease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52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Segment operating loss</w:t>
            </w:r>
          </w:p>
        </w:tc>
        <w:tc>
          <w:tcPr>
            <w:tcW w:w="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(44.6</w:t>
            </w:r>
          </w:p>
        </w:tc>
        <w:tc>
          <w:tcPr>
            <w:tcW w:w="40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(39.0</w:t>
            </w:r>
          </w:p>
        </w:tc>
        <w:tc>
          <w:tcPr>
            <w:tcW w:w="38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w:t>
            </w:r>
          </w:p>
        </w:tc>
        <w:tc>
          <w:tcPr>
            <w:tcW w:w="3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0"/>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40" w:type="dxa"/>
            <w:vAlign w:val="bottom"/>
          </w:tcPr>
          <w:p>
            <w:pPr>
              <w:spacing w:after="0"/>
              <w:rPr>
                <w:sz w:val="18"/>
                <w:szCs w:val="18"/>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(32 )%</w:t>
            </w:r>
          </w:p>
        </w:tc>
        <w:tc>
          <w:tcPr>
            <w:tcW w:w="140" w:type="dxa"/>
            <w:vAlign w:val="bottom"/>
          </w:tcPr>
          <w:p>
            <w:pPr>
              <w:spacing w:after="0"/>
              <w:rPr>
                <w:sz w:val="18"/>
                <w:szCs w:val="18"/>
                <w:color w:val="auto"/>
              </w:rPr>
            </w:pP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(43 )%</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0"/>
        </w:trPr>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525"/>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5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48" w:name="page49"/>
    <w:bookmarkEnd w:id="48"/>
    <w:p>
      <w:pPr>
        <w:ind w:right="40" w:firstLine="509"/>
        <w:spacing w:after="0" w:line="238" w:lineRule="auto"/>
        <w:rPr>
          <w:sz w:val="20"/>
          <w:szCs w:val="20"/>
          <w:color w:val="auto"/>
        </w:rPr>
      </w:pPr>
      <w:r>
        <w:rPr>
          <w:rFonts w:ascii="Arial" w:cs="Arial" w:eastAsia="Arial" w:hAnsi="Arial"/>
          <w:sz w:val="18"/>
          <w:szCs w:val="18"/>
          <w:color w:val="auto"/>
        </w:rPr>
        <w:t>The $5.5 million increase in commercial networks segment operating loss was driven by a $5.9 million increase in IR&amp;D expenses (primarily related to next-generation satellite payload technologies and commercial aeronautical broadband programs) and a $3.7 million increase in SG&amp;A costs. The increase in commercial networks segment operating loss was partially offset by higher earnings contributions of $4.0 million, primarily due to higher revenues and improved margins in our mobile broadband satellite communication products.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140" w:type="dxa"/>
            <w:vAlign w:val="bottom"/>
          </w:tcPr>
          <w:p>
            <w:pPr>
              <w:spacing w:after="0"/>
              <w:rPr>
                <w:sz w:val="16"/>
                <w:szCs w:val="16"/>
                <w:color w:val="auto"/>
              </w:rPr>
            </w:pPr>
          </w:p>
        </w:tc>
        <w:tc>
          <w:tcPr>
            <w:tcW w:w="12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1"/>
                <w:szCs w:val="11"/>
                <w:color w:val="auto"/>
              </w:rPr>
            </w:pPr>
          </w:p>
        </w:tc>
        <w:tc>
          <w:tcPr>
            <w:tcW w:w="1100" w:type="dxa"/>
            <w:vAlign w:val="bottom"/>
          </w:tcPr>
          <w:p>
            <w:pPr>
              <w:jc w:val="right"/>
              <w:ind w:right="59"/>
              <w:spacing w:after="0" w:line="12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79"/>
              <w:spacing w:after="0" w:line="129" w:lineRule="exact"/>
              <w:rPr>
                <w:sz w:val="20"/>
                <w:szCs w:val="20"/>
                <w:color w:val="auto"/>
              </w:rPr>
            </w:pPr>
            <w:r>
              <w:rPr>
                <w:rFonts w:ascii="Arial" w:cs="Arial" w:eastAsia="Arial" w:hAnsi="Arial"/>
                <w:sz w:val="14"/>
                <w:szCs w:val="14"/>
                <w:b w:val="1"/>
                <w:bCs w:val="1"/>
                <w:color w:val="auto"/>
              </w:rPr>
              <w:t>Increase</w:t>
            </w:r>
          </w:p>
        </w:tc>
        <w:tc>
          <w:tcPr>
            <w:tcW w:w="140" w:type="dxa"/>
            <w:vAlign w:val="bottom"/>
          </w:tcPr>
          <w:p>
            <w:pPr>
              <w:spacing w:after="0"/>
              <w:rPr>
                <w:sz w:val="11"/>
                <w:szCs w:val="11"/>
                <w:color w:val="auto"/>
              </w:rPr>
            </w:pPr>
          </w:p>
        </w:tc>
        <w:tc>
          <w:tcPr>
            <w:tcW w:w="1280" w:type="dxa"/>
            <w:vAlign w:val="bottom"/>
            <w:gridSpan w:val="2"/>
          </w:tcPr>
          <w:p>
            <w:pPr>
              <w:jc w:val="center"/>
              <w:ind w:right="17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4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140" w:type="dxa"/>
            <w:vAlign w:val="bottom"/>
          </w:tcPr>
          <w:p>
            <w:pPr>
              <w:spacing w:after="0"/>
              <w:rPr>
                <w:sz w:val="16"/>
                <w:szCs w:val="16"/>
                <w:color w:val="auto"/>
              </w:rPr>
            </w:pPr>
          </w:p>
        </w:tc>
        <w:tc>
          <w:tcPr>
            <w:tcW w:w="12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472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Segment product revenues</w:t>
            </w: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193.1</w:t>
            </w:r>
          </w:p>
        </w:tc>
        <w:tc>
          <w:tcPr>
            <w:tcW w:w="1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190.8</w:t>
            </w:r>
          </w:p>
        </w:tc>
        <w:tc>
          <w:tcPr>
            <w:tcW w:w="1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77.2</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73.8</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w:t>
            </w:r>
          </w:p>
        </w:tc>
        <w:tc>
          <w:tcPr>
            <w:tcW w:w="1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196"/>
        </w:trPr>
        <w:tc>
          <w:tcPr>
            <w:tcW w:w="48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segment revenues</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270.3</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264.7</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w:t>
            </w:r>
          </w:p>
        </w:tc>
        <w:tc>
          <w:tcPr>
            <w:tcW w:w="142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government systems segment revenues increased by $5.7 million due to a $3.4 million increase in service revenues and a $2.3</w:t>
      </w:r>
    </w:p>
    <w:p>
      <w:pPr>
        <w:spacing w:after="0" w:line="234" w:lineRule="auto"/>
        <w:rPr>
          <w:sz w:val="20"/>
          <w:szCs w:val="20"/>
          <w:color w:val="auto"/>
        </w:rPr>
      </w:pPr>
      <w:r>
        <w:rPr>
          <w:rFonts w:ascii="Arial" w:cs="Arial" w:eastAsia="Arial" w:hAnsi="Arial"/>
          <w:sz w:val="18"/>
          <w:szCs w:val="18"/>
          <w:color w:val="auto"/>
        </w:rPr>
        <w:t>million increase in product revenues. The service revenue increase was primarily due to a $5.9 million increase in government satellite</w:t>
      </w:r>
    </w:p>
    <w:p>
      <w:pPr>
        <w:spacing w:after="0" w:line="235" w:lineRule="auto"/>
        <w:rPr>
          <w:sz w:val="20"/>
          <w:szCs w:val="20"/>
          <w:color w:val="auto"/>
        </w:rPr>
      </w:pPr>
      <w:r>
        <w:rPr>
          <w:rFonts w:ascii="Arial" w:cs="Arial" w:eastAsia="Arial" w:hAnsi="Arial"/>
          <w:sz w:val="18"/>
          <w:szCs w:val="18"/>
          <w:color w:val="auto"/>
        </w:rPr>
        <w:t>communication systems services and a $1.7 million increase in cybersecurity and information assurance services, offset by decreases of</w:t>
      </w:r>
    </w:p>
    <w:p>
      <w:pPr>
        <w:spacing w:after="0" w:line="235" w:lineRule="auto"/>
        <w:rPr>
          <w:sz w:val="20"/>
          <w:szCs w:val="20"/>
          <w:color w:val="auto"/>
        </w:rPr>
      </w:pPr>
      <w:r>
        <w:rPr>
          <w:rFonts w:ascii="Arial" w:cs="Arial" w:eastAsia="Arial" w:hAnsi="Arial"/>
          <w:sz w:val="18"/>
          <w:szCs w:val="18"/>
          <w:color w:val="auto"/>
        </w:rPr>
        <w:t>$3.4 million in tactical data link services and $1.3 million in tactical satcom radio services. The increase in product revenues was mainly due</w:t>
      </w:r>
    </w:p>
    <w:p>
      <w:pPr>
        <w:spacing w:after="0" w:line="235" w:lineRule="auto"/>
        <w:rPr>
          <w:sz w:val="20"/>
          <w:szCs w:val="20"/>
          <w:color w:val="auto"/>
        </w:rPr>
      </w:pPr>
      <w:r>
        <w:rPr>
          <w:rFonts w:ascii="Arial" w:cs="Arial" w:eastAsia="Arial" w:hAnsi="Arial"/>
          <w:sz w:val="18"/>
          <w:szCs w:val="18"/>
          <w:color w:val="auto"/>
        </w:rPr>
        <w:t>to a $7.2 million increase in tactical satcom radio products and a $3.0 million increase in tactical data link products, offset by a $6.4 million</w:t>
      </w:r>
    </w:p>
    <w:p>
      <w:pPr>
        <w:spacing w:after="0" w:line="235" w:lineRule="auto"/>
        <w:rPr>
          <w:sz w:val="20"/>
          <w:szCs w:val="20"/>
          <w:color w:val="auto"/>
        </w:rPr>
      </w:pPr>
      <w:r>
        <w:rPr>
          <w:rFonts w:ascii="Arial" w:cs="Arial" w:eastAsia="Arial" w:hAnsi="Arial"/>
          <w:sz w:val="18"/>
          <w:szCs w:val="18"/>
          <w:color w:val="auto"/>
        </w:rPr>
        <w:t>decrease in government mobile broadband products and a $1.9 million decrease in cybersecurity and information assurance products. Our</w:t>
      </w:r>
    </w:p>
    <w:p>
      <w:pPr>
        <w:spacing w:after="0" w:line="234" w:lineRule="auto"/>
        <w:rPr>
          <w:sz w:val="20"/>
          <w:szCs w:val="20"/>
          <w:color w:val="auto"/>
        </w:rPr>
      </w:pPr>
      <w:r>
        <w:rPr>
          <w:rFonts w:ascii="Arial" w:cs="Arial" w:eastAsia="Arial" w:hAnsi="Arial"/>
          <w:sz w:val="18"/>
          <w:szCs w:val="18"/>
          <w:color w:val="auto"/>
        </w:rPr>
        <w:t>government systems segment continued to show some impacts from the COVID-19 pandemic, due to complications in product</w:t>
      </w:r>
    </w:p>
    <w:p>
      <w:pPr>
        <w:spacing w:after="0" w:line="235" w:lineRule="auto"/>
        <w:rPr>
          <w:sz w:val="20"/>
          <w:szCs w:val="20"/>
          <w:color w:val="auto"/>
        </w:rPr>
      </w:pPr>
      <w:r>
        <w:rPr>
          <w:rFonts w:ascii="Arial" w:cs="Arial" w:eastAsia="Arial" w:hAnsi="Arial"/>
          <w:sz w:val="18"/>
          <w:szCs w:val="18"/>
          <w:color w:val="auto"/>
        </w:rPr>
        <w:t>manufacturing and shipments, but new government systems segment awards remained strong through the end of the third quarter of fiscal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year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4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40" w:type="dxa"/>
            <w:vAlign w:val="bottom"/>
            <w:gridSpan w:val="5"/>
          </w:tcPr>
          <w:p>
            <w:pPr>
              <w:jc w:val="right"/>
              <w:ind w:right="1020"/>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4"/>
                <w:szCs w:val="14"/>
                <w:color w:val="auto"/>
              </w:rPr>
            </w:pPr>
          </w:p>
        </w:tc>
        <w:tc>
          <w:tcPr>
            <w:tcW w:w="980" w:type="dxa"/>
            <w:vAlign w:val="bottom"/>
            <w:gridSpan w:val="2"/>
          </w:tcPr>
          <w:p>
            <w:pPr>
              <w:jc w:val="center"/>
              <w:ind w:right="170"/>
              <w:spacing w:after="0"/>
              <w:rPr>
                <w:sz w:val="20"/>
                <w:szCs w:val="20"/>
                <w:color w:val="auto"/>
              </w:rPr>
            </w:pPr>
            <w:r>
              <w:rPr>
                <w:rFonts w:ascii="Arial" w:cs="Arial" w:eastAsia="Arial" w:hAnsi="Arial"/>
                <w:sz w:val="13"/>
                <w:szCs w:val="13"/>
                <w:b w:val="1"/>
                <w:bCs w:val="1"/>
                <w:color w:val="auto"/>
                <w:w w:val="97"/>
              </w:rPr>
              <w:t>Dollar</w:t>
            </w:r>
          </w:p>
        </w:tc>
        <w:tc>
          <w:tcPr>
            <w:tcW w:w="1300" w:type="dxa"/>
            <w:vAlign w:val="bottom"/>
            <w:gridSpan w:val="2"/>
          </w:tcPr>
          <w:p>
            <w:pPr>
              <w:jc w:val="center"/>
              <w:ind w:right="250"/>
              <w:spacing w:after="0"/>
              <w:rPr>
                <w:sz w:val="20"/>
                <w:szCs w:val="20"/>
                <w:color w:val="auto"/>
              </w:rPr>
            </w:pPr>
            <w:r>
              <w:rPr>
                <w:rFonts w:ascii="Arial" w:cs="Arial" w:eastAsia="Arial" w:hAnsi="Arial"/>
                <w:sz w:val="13"/>
                <w:szCs w:val="13"/>
                <w:b w:val="1"/>
                <w:bCs w:val="1"/>
                <w:color w:val="auto"/>
                <w:w w:val="96"/>
              </w:rPr>
              <w:t>Percentage</w:t>
            </w:r>
          </w:p>
        </w:tc>
        <w:tc>
          <w:tcPr>
            <w:tcW w:w="0" w:type="dxa"/>
            <w:vAlign w:val="bottom"/>
          </w:tcPr>
          <w:p>
            <w:pPr>
              <w:spacing w:after="0"/>
              <w:rPr>
                <w:sz w:val="1"/>
                <w:szCs w:val="1"/>
                <w:color w:val="auto"/>
              </w:rPr>
            </w:pPr>
          </w:p>
        </w:tc>
      </w:tr>
      <w:tr>
        <w:trPr>
          <w:trHeight w:val="101"/>
        </w:trPr>
        <w:tc>
          <w:tcPr>
            <w:tcW w:w="46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millions, except percentages)</w:t>
            </w:r>
          </w:p>
        </w:tc>
        <w:tc>
          <w:tcPr>
            <w:tcW w:w="160" w:type="dxa"/>
            <w:vAlign w:val="bottom"/>
            <w:tcBorders>
              <w:top w:val="single" w:sz="8" w:color="auto"/>
            </w:tcBorders>
          </w:tcPr>
          <w:p>
            <w:pPr>
              <w:spacing w:after="0"/>
              <w:rPr>
                <w:sz w:val="8"/>
                <w:szCs w:val="8"/>
                <w:color w:val="auto"/>
              </w:rPr>
            </w:pPr>
          </w:p>
        </w:tc>
        <w:tc>
          <w:tcPr>
            <w:tcW w:w="1360" w:type="dxa"/>
            <w:vAlign w:val="bottom"/>
            <w:tcBorders>
              <w:top w:val="single" w:sz="8" w:color="auto"/>
            </w:tcBorders>
            <w:gridSpan w:val="2"/>
          </w:tcPr>
          <w:p>
            <w:pPr>
              <w:jc w:val="right"/>
              <w:ind w:right="520"/>
              <w:spacing w:after="0" w:line="102" w:lineRule="exact"/>
              <w:rPr>
                <w:sz w:val="20"/>
                <w:szCs w:val="20"/>
                <w:color w:val="auto"/>
              </w:rPr>
            </w:pPr>
            <w:r>
              <w:rPr>
                <w:rFonts w:ascii="Arial" w:cs="Arial" w:eastAsia="Arial" w:hAnsi="Arial"/>
                <w:sz w:val="10"/>
                <w:szCs w:val="10"/>
                <w:b w:val="1"/>
                <w:bCs w:val="1"/>
                <w:color w:val="auto"/>
              </w:rPr>
              <w:t>December 31,</w:t>
            </w:r>
          </w:p>
        </w:tc>
        <w:tc>
          <w:tcPr>
            <w:tcW w:w="14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jc w:val="right"/>
              <w:ind w:right="126"/>
              <w:spacing w:after="0" w:line="102" w:lineRule="exact"/>
              <w:rPr>
                <w:sz w:val="20"/>
                <w:szCs w:val="20"/>
                <w:color w:val="auto"/>
              </w:rPr>
            </w:pPr>
            <w:r>
              <w:rPr>
                <w:rFonts w:ascii="Arial" w:cs="Arial" w:eastAsia="Arial" w:hAnsi="Arial"/>
                <w:sz w:val="10"/>
                <w:szCs w:val="10"/>
                <w:b w:val="1"/>
                <w:bCs w:val="1"/>
                <w:color w:val="auto"/>
              </w:rPr>
              <w:t>December 31,</w:t>
            </w: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tcPr>
          <w:p>
            <w:pPr>
              <w:jc w:val="center"/>
              <w:ind w:right="170"/>
              <w:spacing w:after="0" w:line="102" w:lineRule="exact"/>
              <w:rPr>
                <w:sz w:val="20"/>
                <w:szCs w:val="20"/>
                <w:color w:val="auto"/>
              </w:rPr>
            </w:pPr>
            <w:r>
              <w:rPr>
                <w:rFonts w:ascii="Arial" w:cs="Arial" w:eastAsia="Arial" w:hAnsi="Arial"/>
                <w:sz w:val="10"/>
                <w:szCs w:val="10"/>
                <w:b w:val="1"/>
                <w:bCs w:val="1"/>
                <w:color w:val="auto"/>
              </w:rPr>
              <w:t>Increase</w:t>
            </w:r>
          </w:p>
        </w:tc>
        <w:tc>
          <w:tcPr>
            <w:tcW w:w="1300" w:type="dxa"/>
            <w:vAlign w:val="bottom"/>
            <w:gridSpan w:val="2"/>
          </w:tcPr>
          <w:p>
            <w:pPr>
              <w:jc w:val="center"/>
              <w:ind w:right="250"/>
              <w:spacing w:after="0" w:line="102" w:lineRule="exact"/>
              <w:rPr>
                <w:sz w:val="20"/>
                <w:szCs w:val="20"/>
                <w:color w:val="auto"/>
              </w:rPr>
            </w:pPr>
            <w:r>
              <w:rPr>
                <w:rFonts w:ascii="Arial" w:cs="Arial" w:eastAsia="Arial" w:hAnsi="Arial"/>
                <w:sz w:val="10"/>
                <w:szCs w:val="10"/>
                <w:b w:val="1"/>
                <w:bCs w:val="1"/>
                <w:color w:val="auto"/>
              </w:rPr>
              <w:t>Increase</w:t>
            </w:r>
          </w:p>
        </w:tc>
        <w:tc>
          <w:tcPr>
            <w:tcW w:w="0" w:type="dxa"/>
            <w:vAlign w:val="bottom"/>
          </w:tcPr>
          <w:p>
            <w:pPr>
              <w:spacing w:after="0"/>
              <w:rPr>
                <w:sz w:val="1"/>
                <w:szCs w:val="1"/>
                <w:color w:val="auto"/>
              </w:rPr>
            </w:pPr>
          </w:p>
        </w:tc>
      </w:tr>
      <w:tr>
        <w:trPr>
          <w:trHeight w:val="162"/>
        </w:trPr>
        <w:tc>
          <w:tcPr>
            <w:tcW w:w="4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388"/>
              <w:spacing w:after="0"/>
              <w:rPr>
                <w:sz w:val="20"/>
                <w:szCs w:val="20"/>
                <w:color w:val="auto"/>
              </w:rPr>
            </w:pPr>
            <w:r>
              <w:rPr>
                <w:rFonts w:ascii="Arial" w:cs="Arial" w:eastAsia="Arial" w:hAnsi="Arial"/>
                <w:sz w:val="13"/>
                <w:szCs w:val="13"/>
                <w:b w:val="1"/>
                <w:bCs w:val="1"/>
                <w:color w:val="auto"/>
              </w:rPr>
              <w:t>2021</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386"/>
              <w:spacing w:after="0"/>
              <w:rPr>
                <w:sz w:val="20"/>
                <w:szCs w:val="20"/>
                <w:color w:val="auto"/>
              </w:rPr>
            </w:pPr>
            <w:r>
              <w:rPr>
                <w:rFonts w:ascii="Arial" w:cs="Arial" w:eastAsia="Arial" w:hAnsi="Arial"/>
                <w:sz w:val="13"/>
                <w:szCs w:val="13"/>
                <w:b w:val="1"/>
                <w:bCs w:val="1"/>
                <w:color w:val="auto"/>
              </w:rPr>
              <w:t>2020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170"/>
              <w:spacing w:after="0"/>
              <w:rPr>
                <w:sz w:val="20"/>
                <w:szCs w:val="20"/>
                <w:color w:val="auto"/>
              </w:rPr>
            </w:pPr>
            <w:r>
              <w:rPr>
                <w:rFonts w:ascii="Arial" w:cs="Arial" w:eastAsia="Arial" w:hAnsi="Arial"/>
                <w:sz w:val="13"/>
                <w:szCs w:val="13"/>
                <w:b w:val="1"/>
                <w:bCs w:val="1"/>
                <w:color w:val="auto"/>
                <w:w w:val="96"/>
              </w:rPr>
              <w:t>(Decrease)</w:t>
            </w:r>
          </w:p>
        </w:tc>
        <w:tc>
          <w:tcPr>
            <w:tcW w:w="1300" w:type="dxa"/>
            <w:vAlign w:val="bottom"/>
            <w:gridSpan w:val="2"/>
          </w:tcPr>
          <w:p>
            <w:pPr>
              <w:jc w:val="center"/>
              <w:ind w:right="250"/>
              <w:spacing w:after="0"/>
              <w:rPr>
                <w:sz w:val="20"/>
                <w:szCs w:val="20"/>
                <w:color w:val="auto"/>
              </w:rPr>
            </w:pPr>
            <w:r>
              <w:rPr>
                <w:rFonts w:ascii="Arial" w:cs="Arial" w:eastAsia="Arial" w:hAnsi="Arial"/>
                <w:sz w:val="13"/>
                <w:szCs w:val="13"/>
                <w:b w:val="1"/>
                <w:bCs w:val="1"/>
                <w:color w:val="auto"/>
                <w:w w:val="96"/>
              </w:rPr>
              <w:t>(Decrease)</w:t>
            </w:r>
          </w:p>
        </w:tc>
        <w:tc>
          <w:tcPr>
            <w:tcW w:w="0" w:type="dxa"/>
            <w:vAlign w:val="bottom"/>
          </w:tcPr>
          <w:p>
            <w:pPr>
              <w:spacing w:after="0"/>
              <w:rPr>
                <w:sz w:val="1"/>
                <w:szCs w:val="1"/>
                <w:color w:val="auto"/>
              </w:rPr>
            </w:pPr>
          </w:p>
        </w:tc>
      </w:tr>
      <w:tr>
        <w:trPr>
          <w:trHeight w:val="196"/>
        </w:trPr>
        <w:tc>
          <w:tcPr>
            <w:tcW w:w="462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Segment operating profit</w:t>
            </w:r>
          </w:p>
        </w:tc>
        <w:tc>
          <w:tcPr>
            <w:tcW w:w="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42.5</w:t>
            </w:r>
          </w:p>
        </w:tc>
        <w:tc>
          <w:tcPr>
            <w:tcW w:w="3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50.6</w:t>
            </w:r>
          </w:p>
        </w:tc>
        <w:tc>
          <w:tcPr>
            <w:tcW w:w="2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w:t>
            </w:r>
          </w:p>
        </w:tc>
        <w:tc>
          <w:tcPr>
            <w:tcW w:w="3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17"/>
        </w:trPr>
        <w:tc>
          <w:tcPr>
            <w:tcW w:w="46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16 %</w:t>
            </w: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19 %</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The $8.2 million decrease in our government systems segment operating profit was driven by an $11.5 million increase in SG&amp;A costs and a $2.6 million increase in IR&amp;D expenses (primarily related to the development of next-generation dual band mobility solutions and the advancement of integrated government satellite communications platforms). The decrease in operating profit was partially offset by higher earnings contributions of $5.9 million, primarily due to an increase in revenues and improved margins in our tactical satcom radio products and tactical data link products.</w:t>
      </w:r>
    </w:p>
    <w:p>
      <w:pPr>
        <w:spacing w:after="0" w:line="207" w:lineRule="exact"/>
        <w:rPr>
          <w:sz w:val="20"/>
          <w:szCs w:val="20"/>
          <w:color w:val="auto"/>
        </w:rPr>
      </w:pPr>
    </w:p>
    <w:p>
      <w:pPr>
        <w:ind w:right="4180"/>
        <w:spacing w:after="0" w:line="365" w:lineRule="auto"/>
        <w:rPr>
          <w:sz w:val="20"/>
          <w:szCs w:val="20"/>
          <w:color w:val="auto"/>
        </w:rPr>
      </w:pPr>
      <w:r>
        <w:rPr>
          <w:rFonts w:ascii="Arial" w:cs="Arial" w:eastAsia="Arial" w:hAnsi="Arial"/>
          <w:sz w:val="18"/>
          <w:szCs w:val="18"/>
          <w:b w:val="1"/>
          <w:bCs w:val="1"/>
          <w:color w:val="auto"/>
        </w:rPr>
        <w:t xml:space="preserve">Nine Months Ended December 31, 2021 vs. Nine Months Ended December 31, 2020 </w:t>
      </w:r>
      <w:r>
        <w:rPr>
          <w:rFonts w:ascii="Arial" w:cs="Arial" w:eastAsia="Arial" w:hAnsi="Arial"/>
          <w:sz w:val="18"/>
          <w:szCs w:val="18"/>
          <w:i w:val="1"/>
          <w:iCs w:val="1"/>
          <w:color w:val="auto"/>
        </w:rPr>
        <w:t>Revenues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140" w:type="dxa"/>
            <w:vAlign w:val="bottom"/>
          </w:tcPr>
          <w:p>
            <w:pPr>
              <w:spacing w:after="0"/>
              <w:rPr>
                <w:sz w:val="16"/>
                <w:szCs w:val="16"/>
                <w:color w:val="auto"/>
              </w:rPr>
            </w:pPr>
          </w:p>
        </w:tc>
        <w:tc>
          <w:tcPr>
            <w:tcW w:w="12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Percentage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1"/>
                <w:szCs w:val="11"/>
                <w:color w:val="auto"/>
              </w:rPr>
            </w:pPr>
          </w:p>
        </w:tc>
        <w:tc>
          <w:tcPr>
            <w:tcW w:w="1100" w:type="dxa"/>
            <w:vAlign w:val="bottom"/>
          </w:tcPr>
          <w:p>
            <w:pPr>
              <w:jc w:val="right"/>
              <w:ind w:right="58"/>
              <w:spacing w:after="0" w:line="12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79"/>
              <w:spacing w:after="0" w:line="129" w:lineRule="exact"/>
              <w:rPr>
                <w:sz w:val="20"/>
                <w:szCs w:val="20"/>
                <w:color w:val="auto"/>
              </w:rPr>
            </w:pPr>
            <w:r>
              <w:rPr>
                <w:rFonts w:ascii="Arial" w:cs="Arial" w:eastAsia="Arial" w:hAnsi="Arial"/>
                <w:sz w:val="14"/>
                <w:szCs w:val="14"/>
                <w:b w:val="1"/>
                <w:bCs w:val="1"/>
                <w:color w:val="auto"/>
              </w:rPr>
              <w:t>Increase</w:t>
            </w:r>
          </w:p>
        </w:tc>
        <w:tc>
          <w:tcPr>
            <w:tcW w:w="140" w:type="dxa"/>
            <w:vAlign w:val="bottom"/>
          </w:tcPr>
          <w:p>
            <w:pPr>
              <w:spacing w:after="0"/>
              <w:rPr>
                <w:sz w:val="11"/>
                <w:szCs w:val="11"/>
                <w:color w:val="auto"/>
              </w:rPr>
            </w:pPr>
          </w:p>
        </w:tc>
        <w:tc>
          <w:tcPr>
            <w:tcW w:w="1280" w:type="dxa"/>
            <w:vAlign w:val="bottom"/>
            <w:gridSpan w:val="2"/>
          </w:tcPr>
          <w:p>
            <w:pPr>
              <w:jc w:val="center"/>
              <w:ind w:right="170"/>
              <w:spacing w:after="0" w:line="129" w:lineRule="exact"/>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140" w:type="dxa"/>
            <w:vAlign w:val="bottom"/>
          </w:tcPr>
          <w:p>
            <w:pPr>
              <w:spacing w:after="0"/>
              <w:rPr>
                <w:sz w:val="16"/>
                <w:szCs w:val="16"/>
                <w:color w:val="auto"/>
              </w:rPr>
            </w:pPr>
          </w:p>
        </w:tc>
        <w:tc>
          <w:tcPr>
            <w:tcW w:w="12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(Decrease)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72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Product revenues</w:t>
            </w: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918.1</w:t>
            </w:r>
          </w:p>
        </w:tc>
        <w:tc>
          <w:tcPr>
            <w:tcW w:w="1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773.1</w:t>
            </w:r>
          </w:p>
        </w:tc>
        <w:tc>
          <w:tcPr>
            <w:tcW w:w="1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144.9</w:t>
            </w:r>
          </w:p>
        </w:tc>
        <w:tc>
          <w:tcPr>
            <w:tcW w:w="14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w:t>
            </w:r>
          </w:p>
        </w:tc>
        <w:tc>
          <w:tcPr>
            <w:tcW w:w="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Service revenues</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1,167.9</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887.2</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280.7</w:t>
            </w:r>
          </w:p>
        </w:tc>
        <w:tc>
          <w:tcPr>
            <w:tcW w:w="1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32 %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8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revenues</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2,085.9</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1,660.3</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425.6</w:t>
            </w:r>
          </w:p>
        </w:tc>
        <w:tc>
          <w:tcPr>
            <w:tcW w:w="142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26 %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5"/>
        </w:trPr>
        <w:tc>
          <w:tcPr>
            <w:tcW w:w="5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818"/>
              <w:spacing w:after="0"/>
              <w:rPr>
                <w:sz w:val="20"/>
                <w:szCs w:val="20"/>
                <w:color w:val="auto"/>
              </w:rPr>
            </w:pPr>
            <w:r>
              <w:rPr>
                <w:rFonts w:ascii="Arial" w:cs="Arial" w:eastAsia="Arial" w:hAnsi="Arial"/>
                <w:sz w:val="18"/>
                <w:szCs w:val="18"/>
                <w:color w:val="auto"/>
                <w:w w:val="89"/>
              </w:rPr>
              <w:t>49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7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49" w:name="page50"/>
    <w:bookmarkEnd w:id="49"/>
    <w:p>
      <w:pPr>
        <w:ind w:firstLine="509"/>
        <w:spacing w:after="0" w:line="238" w:lineRule="auto"/>
        <w:rPr>
          <w:sz w:val="20"/>
          <w:szCs w:val="20"/>
          <w:color w:val="auto"/>
        </w:rPr>
      </w:pPr>
      <w:r>
        <w:rPr>
          <w:rFonts w:ascii="Arial" w:cs="Arial" w:eastAsia="Arial" w:hAnsi="Arial"/>
          <w:sz w:val="18"/>
          <w:szCs w:val="18"/>
          <w:color w:val="auto"/>
        </w:rPr>
        <w:t>Our total revenues grew by $425.6 million as a result of a $280.7 million increase in service revenues and a $144.9 million increase in product revenues. The service revenue increase was due to increases of $245.3 million in our satellite services segment, $24.4 million in our government systems segment and $11.0 million in our commercial networks segment. The increase in product revenues was driven primarily by a $146.0 million increase in our commercial networks segment, slightly offset by a $1.0 million decrease in our government systems segment.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140" w:type="dxa"/>
            <w:vAlign w:val="bottom"/>
          </w:tcPr>
          <w:p>
            <w:pPr>
              <w:spacing w:after="0"/>
              <w:rPr>
                <w:sz w:val="16"/>
                <w:szCs w:val="16"/>
                <w:color w:val="auto"/>
              </w:rPr>
            </w:pPr>
          </w:p>
        </w:tc>
        <w:tc>
          <w:tcPr>
            <w:tcW w:w="12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1"/>
                <w:szCs w:val="11"/>
                <w:color w:val="auto"/>
              </w:rPr>
            </w:pPr>
          </w:p>
        </w:tc>
        <w:tc>
          <w:tcPr>
            <w:tcW w:w="1100" w:type="dxa"/>
            <w:vAlign w:val="bottom"/>
          </w:tcPr>
          <w:p>
            <w:pPr>
              <w:jc w:val="right"/>
              <w:ind w:right="59"/>
              <w:spacing w:after="0" w:line="12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79"/>
              <w:spacing w:after="0" w:line="129" w:lineRule="exact"/>
              <w:rPr>
                <w:sz w:val="20"/>
                <w:szCs w:val="20"/>
                <w:color w:val="auto"/>
              </w:rPr>
            </w:pPr>
            <w:r>
              <w:rPr>
                <w:rFonts w:ascii="Arial" w:cs="Arial" w:eastAsia="Arial" w:hAnsi="Arial"/>
                <w:sz w:val="14"/>
                <w:szCs w:val="14"/>
                <w:b w:val="1"/>
                <w:bCs w:val="1"/>
                <w:color w:val="auto"/>
              </w:rPr>
              <w:t>Increase</w:t>
            </w:r>
          </w:p>
        </w:tc>
        <w:tc>
          <w:tcPr>
            <w:tcW w:w="140" w:type="dxa"/>
            <w:vAlign w:val="bottom"/>
          </w:tcPr>
          <w:p>
            <w:pPr>
              <w:spacing w:after="0"/>
              <w:rPr>
                <w:sz w:val="11"/>
                <w:szCs w:val="11"/>
                <w:color w:val="auto"/>
              </w:rPr>
            </w:pPr>
          </w:p>
        </w:tc>
        <w:tc>
          <w:tcPr>
            <w:tcW w:w="1280" w:type="dxa"/>
            <w:vAlign w:val="bottom"/>
            <w:gridSpan w:val="2"/>
          </w:tcPr>
          <w:p>
            <w:pPr>
              <w:jc w:val="center"/>
              <w:ind w:right="17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4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140" w:type="dxa"/>
            <w:vAlign w:val="bottom"/>
          </w:tcPr>
          <w:p>
            <w:pPr>
              <w:spacing w:after="0"/>
              <w:rPr>
                <w:sz w:val="16"/>
                <w:szCs w:val="16"/>
                <w:color w:val="auto"/>
              </w:rPr>
            </w:pPr>
          </w:p>
        </w:tc>
        <w:tc>
          <w:tcPr>
            <w:tcW w:w="12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472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Cost of product revenues</w:t>
            </w: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691.5</w:t>
            </w:r>
          </w:p>
        </w:tc>
        <w:tc>
          <w:tcPr>
            <w:tcW w:w="1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576.7</w:t>
            </w:r>
          </w:p>
        </w:tc>
        <w:tc>
          <w:tcPr>
            <w:tcW w:w="1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114.9</w:t>
            </w:r>
          </w:p>
        </w:tc>
        <w:tc>
          <w:tcPr>
            <w:tcW w:w="14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Cost of service revenues</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751.0</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587.5</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163.5</w:t>
            </w:r>
          </w:p>
        </w:tc>
        <w:tc>
          <w:tcPr>
            <w:tcW w:w="1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196"/>
        </w:trPr>
        <w:tc>
          <w:tcPr>
            <w:tcW w:w="48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cost of revenues</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1,442.5</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1,164.2</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278.4</w:t>
            </w:r>
          </w:p>
        </w:tc>
        <w:tc>
          <w:tcPr>
            <w:tcW w:w="142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Cost of revenues increased by $278.4 million due to increases of $163.5 million in cost of service revenues and $114.9 million in cost of product revenues. The cost of service revenue increase primarily related to increased service revenues, mainly from our in-flight services business, causing a $ 185.9 million increase in cost of service revenues on a constant margin basis. The increase in cost of service revenues was partially offset by improved margins in our in-flight services business. The cost of product revenue increase was due to increased product revenues, causing a $108.1 million increase in cost of product revenues on a constant margin basis, mainly from our mobile broadband satellite communication systems products in our commercial networks segment and our tactical data link products in our government systems segment.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62"/>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64"/>
              <w:spacing w:after="0"/>
              <w:rPr>
                <w:sz w:val="20"/>
                <w:szCs w:val="20"/>
                <w:color w:val="auto"/>
              </w:rPr>
            </w:pPr>
            <w:r>
              <w:rPr>
                <w:rFonts w:ascii="Arial" w:cs="Arial" w:eastAsia="Arial" w:hAnsi="Arial"/>
                <w:sz w:val="14"/>
                <w:szCs w:val="14"/>
                <w:b w:val="1"/>
                <w:bCs w:val="1"/>
                <w:color w:val="auto"/>
              </w:rPr>
              <w:t>Dollar</w:t>
            </w:r>
          </w:p>
        </w:tc>
        <w:tc>
          <w:tcPr>
            <w:tcW w:w="140" w:type="dxa"/>
            <w:vAlign w:val="bottom"/>
          </w:tcPr>
          <w:p>
            <w:pPr>
              <w:spacing w:after="0"/>
              <w:rPr>
                <w:sz w:val="16"/>
                <w:szCs w:val="16"/>
                <w:color w:val="auto"/>
              </w:rPr>
            </w:pPr>
          </w:p>
        </w:tc>
        <w:tc>
          <w:tcPr>
            <w:tcW w:w="12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Pr>
          <w:p>
            <w:pPr>
              <w:spacing w:after="0"/>
              <w:rPr>
                <w:sz w:val="11"/>
                <w:szCs w:val="11"/>
                <w:color w:val="auto"/>
              </w:rPr>
            </w:pPr>
          </w:p>
        </w:tc>
        <w:tc>
          <w:tcPr>
            <w:tcW w:w="1100" w:type="dxa"/>
            <w:vAlign w:val="bottom"/>
          </w:tcPr>
          <w:p>
            <w:pPr>
              <w:jc w:val="center"/>
              <w:ind w:right="44"/>
              <w:spacing w:after="0" w:line="12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84"/>
              <w:spacing w:after="0" w:line="129" w:lineRule="exact"/>
              <w:rPr>
                <w:sz w:val="20"/>
                <w:szCs w:val="20"/>
                <w:color w:val="auto"/>
              </w:rPr>
            </w:pPr>
            <w:r>
              <w:rPr>
                <w:rFonts w:ascii="Arial" w:cs="Arial" w:eastAsia="Arial" w:hAnsi="Arial"/>
                <w:sz w:val="14"/>
                <w:szCs w:val="14"/>
                <w:b w:val="1"/>
                <w:bCs w:val="1"/>
                <w:color w:val="auto"/>
              </w:rPr>
              <w:t>Increase</w:t>
            </w:r>
          </w:p>
        </w:tc>
        <w:tc>
          <w:tcPr>
            <w:tcW w:w="140" w:type="dxa"/>
            <w:vAlign w:val="bottom"/>
          </w:tcPr>
          <w:p>
            <w:pPr>
              <w:spacing w:after="0"/>
              <w:rPr>
                <w:sz w:val="11"/>
                <w:szCs w:val="11"/>
                <w:color w:val="auto"/>
              </w:rPr>
            </w:pPr>
          </w:p>
        </w:tc>
        <w:tc>
          <w:tcPr>
            <w:tcW w:w="1280" w:type="dxa"/>
            <w:vAlign w:val="bottom"/>
            <w:gridSpan w:val="2"/>
          </w:tcPr>
          <w:p>
            <w:pPr>
              <w:jc w:val="center"/>
              <w:ind w:right="17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4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8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6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140" w:type="dxa"/>
            <w:vAlign w:val="bottom"/>
          </w:tcPr>
          <w:p>
            <w:pPr>
              <w:spacing w:after="0"/>
              <w:rPr>
                <w:sz w:val="16"/>
                <w:szCs w:val="16"/>
                <w:color w:val="auto"/>
              </w:rPr>
            </w:pPr>
          </w:p>
        </w:tc>
        <w:tc>
          <w:tcPr>
            <w:tcW w:w="12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474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481.1</w:t>
            </w:r>
          </w:p>
        </w:tc>
        <w:tc>
          <w:tcPr>
            <w:tcW w:w="1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378.9</w:t>
            </w:r>
          </w:p>
        </w:tc>
        <w:tc>
          <w:tcPr>
            <w:tcW w:w="1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102.2</w:t>
            </w:r>
          </w:p>
        </w:tc>
        <w:tc>
          <w:tcPr>
            <w:tcW w:w="14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w:t>
            </w:r>
          </w:p>
        </w:tc>
        <w:tc>
          <w:tcPr>
            <w:tcW w:w="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The $102.2 million increase in SG&amp;A expenses reflected an increase in support costs of $ 71.0 million, mainly related to RigNet, which was acquired during the first quarter of fiscal year 2022, as well as acquisition-related expenses related to the Inmarsat Transaction and acquisitions of RigNet and the remaining 51% interest in EBI. The increase in SG&amp;A expenses was also driven by higher selling costs of $28.6 million, reflected primarily in our satellite services and government systems segments, and higher bid and proposal costs of $2.7 million. SG&amp;A expenses consisted primarily of personnel costs and expenses for business development, marketing and sales, bid and proposal, facilities, finance, contract administration and general management.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62"/>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64"/>
              <w:spacing w:after="0"/>
              <w:rPr>
                <w:sz w:val="20"/>
                <w:szCs w:val="20"/>
                <w:color w:val="auto"/>
              </w:rPr>
            </w:pPr>
            <w:r>
              <w:rPr>
                <w:rFonts w:ascii="Arial" w:cs="Arial" w:eastAsia="Arial" w:hAnsi="Arial"/>
                <w:sz w:val="14"/>
                <w:szCs w:val="14"/>
                <w:b w:val="1"/>
                <w:bCs w:val="1"/>
                <w:color w:val="auto"/>
              </w:rPr>
              <w:t>Dollar</w:t>
            </w:r>
          </w:p>
        </w:tc>
        <w:tc>
          <w:tcPr>
            <w:tcW w:w="140" w:type="dxa"/>
            <w:vAlign w:val="bottom"/>
          </w:tcPr>
          <w:p>
            <w:pPr>
              <w:spacing w:after="0"/>
              <w:rPr>
                <w:sz w:val="16"/>
                <w:szCs w:val="16"/>
                <w:color w:val="auto"/>
              </w:rPr>
            </w:pPr>
          </w:p>
        </w:tc>
        <w:tc>
          <w:tcPr>
            <w:tcW w:w="12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Pr>
          <w:p>
            <w:pPr>
              <w:spacing w:after="0"/>
              <w:rPr>
                <w:sz w:val="11"/>
                <w:szCs w:val="11"/>
                <w:color w:val="auto"/>
              </w:rPr>
            </w:pPr>
          </w:p>
        </w:tc>
        <w:tc>
          <w:tcPr>
            <w:tcW w:w="1100" w:type="dxa"/>
            <w:vAlign w:val="bottom"/>
          </w:tcPr>
          <w:p>
            <w:pPr>
              <w:jc w:val="center"/>
              <w:ind w:right="44"/>
              <w:spacing w:after="0" w:line="12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84"/>
              <w:spacing w:after="0" w:line="129" w:lineRule="exact"/>
              <w:rPr>
                <w:sz w:val="20"/>
                <w:szCs w:val="20"/>
                <w:color w:val="auto"/>
              </w:rPr>
            </w:pPr>
            <w:r>
              <w:rPr>
                <w:rFonts w:ascii="Arial" w:cs="Arial" w:eastAsia="Arial" w:hAnsi="Arial"/>
                <w:sz w:val="14"/>
                <w:szCs w:val="14"/>
                <w:b w:val="1"/>
                <w:bCs w:val="1"/>
                <w:color w:val="auto"/>
              </w:rPr>
              <w:t>Increase</w:t>
            </w:r>
          </w:p>
        </w:tc>
        <w:tc>
          <w:tcPr>
            <w:tcW w:w="140" w:type="dxa"/>
            <w:vAlign w:val="bottom"/>
          </w:tcPr>
          <w:p>
            <w:pPr>
              <w:spacing w:after="0"/>
              <w:rPr>
                <w:sz w:val="11"/>
                <w:szCs w:val="11"/>
                <w:color w:val="auto"/>
              </w:rPr>
            </w:pPr>
          </w:p>
        </w:tc>
        <w:tc>
          <w:tcPr>
            <w:tcW w:w="1280" w:type="dxa"/>
            <w:vAlign w:val="bottom"/>
            <w:gridSpan w:val="2"/>
          </w:tcPr>
          <w:p>
            <w:pPr>
              <w:jc w:val="center"/>
              <w:ind w:right="17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4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8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6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140" w:type="dxa"/>
            <w:vAlign w:val="bottom"/>
          </w:tcPr>
          <w:p>
            <w:pPr>
              <w:spacing w:after="0"/>
              <w:rPr>
                <w:sz w:val="16"/>
                <w:szCs w:val="16"/>
                <w:color w:val="auto"/>
              </w:rPr>
            </w:pPr>
          </w:p>
        </w:tc>
        <w:tc>
          <w:tcPr>
            <w:tcW w:w="12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474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Independent research and development</w:t>
            </w:r>
          </w:p>
        </w:tc>
        <w:tc>
          <w:tcPr>
            <w:tcW w:w="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112.3</w:t>
            </w:r>
          </w:p>
        </w:tc>
        <w:tc>
          <w:tcPr>
            <w:tcW w:w="1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84.0</w:t>
            </w:r>
          </w:p>
        </w:tc>
        <w:tc>
          <w:tcPr>
            <w:tcW w:w="1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28.3</w:t>
            </w:r>
          </w:p>
        </w:tc>
        <w:tc>
          <w:tcPr>
            <w:tcW w:w="14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w:t>
            </w:r>
          </w:p>
        </w:tc>
        <w:tc>
          <w:tcPr>
            <w:tcW w:w="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The $28.3 million increase in IR&amp;D expenses was mainly the result of an increase of $17.2 million in IR&amp;D efforts in our commercial networks segment (primarily related to next-generation satellite payload technologies) and an increase of $11.1 million in our government systems segment (primarily related to the advancement of integrated government satellite communication platforms and the development of next-generation dual band mobility solutions).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4" w:right="37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95"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20 years. The $16.7 million increase in amortization of acquired intangible assets in the first nine months of fiscal year 2022 compared to the prior year period was primarily related to the amortization of new intangibles acquired as a result of the acquisition of RigNet and of the remaining 51% interest in EBI in April 2021. The current and expected amortization expense for acquired intangible assets for each of the following periods is as follows:</w:t>
      </w:r>
    </w:p>
    <w:p>
      <w:pPr>
        <w:sectPr>
          <w:pgSz w:w="11900" w:h="16838" w:orient="portrait"/>
          <w:cols w:equalWidth="0" w:num="1">
            <w:col w:w="11220"/>
          </w:cols>
          <w:pgMar w:left="320" w:top="539" w:right="35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For the nine months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-123190</wp:posOffset>
            </wp:positionV>
            <wp:extent cx="6412230" cy="1289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Expected for the remainder of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289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580"/>
        <w:spacing w:after="0" w:line="234" w:lineRule="auto"/>
        <w:rPr>
          <w:sz w:val="20"/>
          <w:szCs w:val="20"/>
          <w:color w:val="auto"/>
        </w:rPr>
      </w:pPr>
      <w:r>
        <w:rPr>
          <w:rFonts w:ascii="Arial" w:cs="Arial" w:eastAsia="Arial" w:hAnsi="Arial"/>
          <w:sz w:val="18"/>
          <w:szCs w:val="18"/>
          <w:color w:val="auto"/>
        </w:rPr>
        <w:t>Expected for fiscal year 2023</w:t>
      </w:r>
    </w:p>
    <w:p>
      <w:pPr>
        <w:ind w:left="580"/>
        <w:spacing w:after="0" w:line="235" w:lineRule="auto"/>
        <w:rPr>
          <w:sz w:val="20"/>
          <w:szCs w:val="20"/>
          <w:color w:val="auto"/>
        </w:rPr>
      </w:pPr>
      <w:r>
        <w:rPr>
          <w:rFonts w:ascii="Arial" w:cs="Arial" w:eastAsia="Arial" w:hAnsi="Arial"/>
          <w:sz w:val="18"/>
          <w:szCs w:val="18"/>
          <w:color w:val="auto"/>
        </w:rPr>
        <w:t>Expected for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-127000</wp:posOffset>
            </wp:positionV>
            <wp:extent cx="6412230" cy="1289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580"/>
        <w:spacing w:after="0" w:line="235" w:lineRule="auto"/>
        <w:rPr>
          <w:sz w:val="20"/>
          <w:szCs w:val="20"/>
          <w:color w:val="auto"/>
        </w:rPr>
      </w:pPr>
      <w:r>
        <w:rPr>
          <w:rFonts w:ascii="Arial" w:cs="Arial" w:eastAsia="Arial" w:hAnsi="Arial"/>
          <w:sz w:val="18"/>
          <w:szCs w:val="18"/>
          <w:color w:val="auto"/>
        </w:rPr>
        <w:t>Expected for fiscal year 2025</w:t>
      </w:r>
    </w:p>
    <w:p>
      <w:pPr>
        <w:ind w:left="580"/>
        <w:spacing w:after="0" w:line="235" w:lineRule="auto"/>
        <w:rPr>
          <w:sz w:val="20"/>
          <w:szCs w:val="20"/>
          <w:color w:val="auto"/>
        </w:rPr>
      </w:pPr>
      <w:r>
        <w:rPr>
          <w:rFonts w:ascii="Arial" w:cs="Arial" w:eastAsia="Arial" w:hAnsi="Arial"/>
          <w:sz w:val="18"/>
          <w:szCs w:val="18"/>
          <w:color w:val="auto"/>
        </w:rPr>
        <w:t>Expected for fiscal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-127000</wp:posOffset>
            </wp:positionV>
            <wp:extent cx="6412230" cy="1289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6350</wp:posOffset>
            </wp:positionV>
            <wp:extent cx="6412230" cy="1543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11569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(In thousands)</w:t>
      </w:r>
    </w:p>
    <w:p>
      <w:pPr>
        <w:spacing w:after="0" w:line="26" w:lineRule="exact"/>
        <w:rPr>
          <w:sz w:val="20"/>
          <w:szCs w:val="20"/>
          <w:color w:val="auto"/>
        </w:rPr>
      </w:pPr>
    </w:p>
    <w:p>
      <w:pPr>
        <w:ind w:left="1240" w:hanging="1237"/>
        <w:spacing w:after="0"/>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20,859</w:t>
      </w:r>
    </w:p>
    <w:p>
      <w:pPr>
        <w:spacing w:after="0" w:line="194" w:lineRule="exact"/>
        <w:rPr>
          <w:sz w:val="20"/>
          <w:szCs w:val="20"/>
          <w:color w:val="auto"/>
        </w:rPr>
      </w:pPr>
    </w:p>
    <w:p>
      <w:pPr>
        <w:ind w:left="1340" w:hanging="1337"/>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7,532</w:t>
      </w:r>
    </w:p>
    <w:p>
      <w:pPr>
        <w:ind w:left="1240"/>
        <w:spacing w:after="0" w:line="234" w:lineRule="auto"/>
        <w:rPr>
          <w:rFonts w:ascii="Arial" w:cs="Arial" w:eastAsia="Arial" w:hAnsi="Arial"/>
          <w:sz w:val="18"/>
          <w:szCs w:val="18"/>
          <w:color w:val="auto"/>
        </w:rPr>
      </w:pPr>
      <w:r>
        <w:rPr>
          <w:rFonts w:ascii="Arial" w:cs="Arial" w:eastAsia="Arial" w:hAnsi="Arial"/>
          <w:sz w:val="18"/>
          <w:szCs w:val="18"/>
          <w:color w:val="auto"/>
        </w:rPr>
        <w:t>30,128</w:t>
      </w:r>
    </w:p>
    <w:p>
      <w:pPr>
        <w:ind w:left="1240"/>
        <w:spacing w:after="0" w:line="234" w:lineRule="auto"/>
        <w:rPr>
          <w:rFonts w:ascii="Arial" w:cs="Arial" w:eastAsia="Arial" w:hAnsi="Arial"/>
          <w:sz w:val="18"/>
          <w:szCs w:val="18"/>
          <w:color w:val="auto"/>
        </w:rPr>
      </w:pPr>
      <w:r>
        <w:rPr>
          <w:rFonts w:ascii="Arial" w:cs="Arial" w:eastAsia="Arial" w:hAnsi="Arial"/>
          <w:sz w:val="18"/>
          <w:szCs w:val="18"/>
          <w:color w:val="auto"/>
        </w:rPr>
        <w:t>28,678</w:t>
      </w:r>
    </w:p>
    <w:p>
      <w:pPr>
        <w:ind w:left="1240"/>
        <w:spacing w:after="0" w:line="234" w:lineRule="auto"/>
        <w:rPr>
          <w:rFonts w:ascii="Arial" w:cs="Arial" w:eastAsia="Arial" w:hAnsi="Arial"/>
          <w:sz w:val="18"/>
          <w:szCs w:val="18"/>
          <w:color w:val="auto"/>
        </w:rPr>
      </w:pPr>
      <w:r>
        <w:rPr>
          <w:rFonts w:ascii="Arial" w:cs="Arial" w:eastAsia="Arial" w:hAnsi="Arial"/>
          <w:sz w:val="18"/>
          <w:szCs w:val="18"/>
          <w:color w:val="auto"/>
        </w:rPr>
        <w:t>26,540</w:t>
      </w:r>
    </w:p>
    <w:p>
      <w:pPr>
        <w:ind w:left="1240"/>
        <w:spacing w:after="0" w:line="234" w:lineRule="auto"/>
        <w:rPr>
          <w:rFonts w:ascii="Arial" w:cs="Arial" w:eastAsia="Arial" w:hAnsi="Arial"/>
          <w:sz w:val="18"/>
          <w:szCs w:val="18"/>
          <w:color w:val="auto"/>
        </w:rPr>
      </w:pPr>
      <w:r>
        <w:rPr>
          <w:rFonts w:ascii="Arial" w:cs="Arial" w:eastAsia="Arial" w:hAnsi="Arial"/>
          <w:sz w:val="18"/>
          <w:szCs w:val="18"/>
          <w:color w:val="auto"/>
        </w:rPr>
        <w:t>26,388</w:t>
      </w:r>
    </w:p>
    <w:p>
      <w:pPr>
        <w:spacing w:after="0" w:line="1" w:lineRule="exact"/>
        <w:rPr>
          <w:sz w:val="20"/>
          <w:szCs w:val="20"/>
          <w:color w:val="auto"/>
        </w:rPr>
      </w:pPr>
    </w:p>
    <w:p>
      <w:pPr>
        <w:jc w:val="right"/>
        <w:ind w:right="640"/>
        <w:spacing w:after="0"/>
        <w:rPr>
          <w:sz w:val="20"/>
          <w:szCs w:val="20"/>
          <w:color w:val="auto"/>
        </w:rPr>
      </w:pPr>
      <w:r>
        <w:rPr>
          <w:rFonts w:ascii="Arial" w:cs="Arial" w:eastAsia="Arial" w:hAnsi="Arial"/>
          <w:sz w:val="18"/>
          <w:szCs w:val="18"/>
          <w:color w:val="auto"/>
        </w:rPr>
        <w:t>118,584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-1905</wp:posOffset>
            </wp:positionV>
            <wp:extent cx="11569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ind w:left="1140" w:hanging="1137"/>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237,850</w:t>
      </w:r>
    </w:p>
    <w:p>
      <w:pPr>
        <w:spacing w:after="0" w:line="576" w:lineRule="exact"/>
        <w:rPr>
          <w:sz w:val="20"/>
          <w:szCs w:val="20"/>
          <w:color w:val="auto"/>
        </w:rPr>
      </w:pPr>
    </w:p>
    <w:p>
      <w:pPr>
        <w:sectPr>
          <w:pgSz w:w="11900" w:h="16838" w:orient="portrait"/>
          <w:cols w:equalWidth="0" w:num="2">
            <w:col w:w="8060" w:space="720"/>
            <w:col w:w="2440"/>
          </w:cols>
          <w:pgMar w:left="320" w:top="539" w:right="359" w:bottom="1440" w:gutter="0" w:footer="0" w:header="0"/>
          <w:type w:val="continuous"/>
        </w:sectPr>
      </w:pPr>
    </w:p>
    <w:p>
      <w:pPr>
        <w:ind w:left="520"/>
        <w:spacing w:after="0"/>
        <w:rPr>
          <w:sz w:val="20"/>
          <w:szCs w:val="20"/>
          <w:color w:val="auto"/>
        </w:rPr>
      </w:pPr>
      <w:r>
        <w:rPr>
          <w:rFonts w:ascii="Arial" w:cs="Arial" w:eastAsia="Arial" w:hAnsi="Arial"/>
          <w:sz w:val="18"/>
          <w:szCs w:val="18"/>
          <w:color w:val="auto"/>
        </w:rPr>
        <w:t>Interest income for the nine months ended December 31, 2021 was relatively flat compared to the prior year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5" w:lineRule="exact"/>
        <w:rPr>
          <w:sz w:val="20"/>
          <w:szCs w:val="20"/>
          <w:color w:val="auto"/>
        </w:rPr>
      </w:pPr>
    </w:p>
    <w:p>
      <w:pPr>
        <w:ind w:right="240" w:firstLine="509"/>
        <w:spacing w:after="0" w:line="238" w:lineRule="auto"/>
        <w:rPr>
          <w:sz w:val="20"/>
          <w:szCs w:val="20"/>
          <w:color w:val="auto"/>
        </w:rPr>
      </w:pPr>
      <w:r>
        <w:rPr>
          <w:rFonts w:ascii="Arial" w:cs="Arial" w:eastAsia="Arial" w:hAnsi="Arial"/>
          <w:sz w:val="18"/>
          <w:szCs w:val="18"/>
          <w:color w:val="auto"/>
        </w:rPr>
        <w:t>The $9.4 million decrease in interest expense in the nine months ended December 31, 2021 compared to the prior year period was primarily due to an increase in the amount of interest capitalized during the first nine months of fiscal year 2022 compared to the prior year period, partially offset by an increase in interest expense attributable to our 6.500% Senior Notes due 2028 (the 2028 Notes), which were issued in the first quarter of fiscal year 2021.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5"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For the nine months ended December 31, 2021, we recorded an income tax benefit of $3.5 million, resulting in an effective tax benefit rate of negative 22%. The effective tax rate for the period differed from the U.S. statutory rate due primarily to the benefit of federal and state R&amp;D tax credits, the reversal of a deferred tax liability recorded for EBI’s outside basis difference upon assertion made during the first quarter of fiscal year 2022 to indefinitely reinvest future earnings and the expense for tax deficiencies upon settlement of stock-based compensation during the period. For the nine months ended December 31, 2020, we recorded an income tax provision of an insignificant amount, resulting in an effective tax rate of 24%. The effective tax rates for the period differed from the U.S. statutory rate due primarily to the expense for tax deficiencies upon settlement of stock-based compensation during the period and the benefit of federal and state R&amp;D tax credits.</w:t>
      </w:r>
    </w:p>
    <w:p>
      <w:pPr>
        <w:spacing w:after="0" w:line="149"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Ordinarily, the effective tax rate at the end of an interim period is calculated using an estimate of the annual effective tax rate expected to be applicable for the full fiscal year. However, when a reliable estimate cannot be made, we compute our provision for income taxes using the actual effective tax rate (discrete method) for the year-to-date period. Our effective tax rate is highly influenced by the amount of our R&amp;D tax credits. A small change in estimated annual pretax income (loss) can produce a significant variance in the annual effective tax rate given our expected amount of R&amp;D tax credits. This variability provides an unreliable estimate of the annual effective tax rate. As a result, and in accordance with the authoritative guidance for accounting for income taxes in interim periods, we have computed our provision for income taxes for the nine months ended December 31, 2021 and 2020 by applying the actual effective tax rates to the income for the nine-month periods.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9" w:right="35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Segment Results for the Nine Months Ended December 31, 2021 vs. Nine Months Ended December 31, 2020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140" w:type="dxa"/>
            <w:vAlign w:val="bottom"/>
          </w:tcPr>
          <w:p>
            <w:pPr>
              <w:spacing w:after="0"/>
              <w:rPr>
                <w:sz w:val="16"/>
                <w:szCs w:val="16"/>
                <w:color w:val="auto"/>
              </w:rPr>
            </w:pPr>
          </w:p>
        </w:tc>
        <w:tc>
          <w:tcPr>
            <w:tcW w:w="12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1"/>
                <w:szCs w:val="11"/>
                <w:color w:val="auto"/>
              </w:rPr>
            </w:pPr>
          </w:p>
        </w:tc>
        <w:tc>
          <w:tcPr>
            <w:tcW w:w="1100" w:type="dxa"/>
            <w:vAlign w:val="bottom"/>
          </w:tcPr>
          <w:p>
            <w:pPr>
              <w:jc w:val="right"/>
              <w:ind w:right="59"/>
              <w:spacing w:after="0" w:line="12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79"/>
              <w:spacing w:after="0" w:line="129" w:lineRule="exact"/>
              <w:rPr>
                <w:sz w:val="20"/>
                <w:szCs w:val="20"/>
                <w:color w:val="auto"/>
              </w:rPr>
            </w:pPr>
            <w:r>
              <w:rPr>
                <w:rFonts w:ascii="Arial" w:cs="Arial" w:eastAsia="Arial" w:hAnsi="Arial"/>
                <w:sz w:val="14"/>
                <w:szCs w:val="14"/>
                <w:b w:val="1"/>
                <w:bCs w:val="1"/>
                <w:color w:val="auto"/>
              </w:rPr>
              <w:t>Increase</w:t>
            </w:r>
          </w:p>
        </w:tc>
        <w:tc>
          <w:tcPr>
            <w:tcW w:w="140" w:type="dxa"/>
            <w:vAlign w:val="bottom"/>
          </w:tcPr>
          <w:p>
            <w:pPr>
              <w:spacing w:after="0"/>
              <w:rPr>
                <w:sz w:val="11"/>
                <w:szCs w:val="11"/>
                <w:color w:val="auto"/>
              </w:rPr>
            </w:pPr>
          </w:p>
        </w:tc>
        <w:tc>
          <w:tcPr>
            <w:tcW w:w="1280" w:type="dxa"/>
            <w:vAlign w:val="bottom"/>
            <w:gridSpan w:val="2"/>
          </w:tcPr>
          <w:p>
            <w:pPr>
              <w:jc w:val="center"/>
              <w:ind w:right="17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4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140" w:type="dxa"/>
            <w:vAlign w:val="bottom"/>
          </w:tcPr>
          <w:p>
            <w:pPr>
              <w:spacing w:after="0"/>
              <w:rPr>
                <w:sz w:val="16"/>
                <w:szCs w:val="16"/>
                <w:color w:val="auto"/>
              </w:rPr>
            </w:pPr>
          </w:p>
        </w:tc>
        <w:tc>
          <w:tcPr>
            <w:tcW w:w="12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472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Segment product revenues</w:t>
            </w: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883.9</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638.7</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245.3</w:t>
            </w:r>
          </w:p>
        </w:tc>
        <w:tc>
          <w:tcPr>
            <w:tcW w:w="1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196"/>
        </w:trPr>
        <w:tc>
          <w:tcPr>
            <w:tcW w:w="48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segment revenues</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883.9</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638.7</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245.3</w:t>
            </w:r>
          </w:p>
        </w:tc>
        <w:tc>
          <w:tcPr>
            <w:tcW w:w="142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Our satellite services segment revenues increased by $245.3 million due to an increase in service revenues. The increase in service revenues was primarily attributable to the acquisition of RigNet in April 2021, as well as increases in our in-flight services and fixed broadband businesses. The acquisition of RigNet contributed approximately $113.0 million of service revenues in the nine months ended December 31, 2021. The increase in in-flight service revenue of $72.9 million was driven primarily by an increase in the number of commercial aircraft receiving our in-flight services through our IFC systems, as the number of aircraft in service increased, passenger air traffic increased and aircraft that were previously inactive as a result of the COVID-19 pandemic returned to service. The increase in fixed broadband service revenues was primarily attributable to the acquisition of the remaining 51% interest in EBI, during the first quarter of fiscal year 2022, with EBI contributing approximately $30.6 million of service revenues in the first nine months of fiscal year 2022. In addition, the increase in fixed broadband services was also driven by a higher mix of new and existing subscribers choosing our premium highest speed plans.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60" w:type="dxa"/>
            <w:vAlign w:val="bottom"/>
            <w:gridSpan w:val="5"/>
          </w:tcPr>
          <w:p>
            <w:pPr>
              <w:jc w:val="right"/>
              <w:ind w:right="1060"/>
              <w:spacing w:after="0"/>
              <w:rPr>
                <w:sz w:val="20"/>
                <w:szCs w:val="20"/>
                <w:color w:val="auto"/>
              </w:rPr>
            </w:pPr>
            <w:r>
              <w:rPr>
                <w:rFonts w:ascii="Arial" w:cs="Arial" w:eastAsia="Arial" w:hAnsi="Arial"/>
                <w:sz w:val="13"/>
                <w:szCs w:val="13"/>
                <w:b w:val="1"/>
                <w:bCs w:val="1"/>
                <w:color w:val="auto"/>
              </w:rPr>
              <w:t>Nine Months Ended</w:t>
            </w:r>
          </w:p>
        </w:tc>
        <w:tc>
          <w:tcPr>
            <w:tcW w:w="160" w:type="dxa"/>
            <w:vAlign w:val="bottom"/>
          </w:tcPr>
          <w:p>
            <w:pPr>
              <w:spacing w:after="0"/>
              <w:rPr>
                <w:sz w:val="14"/>
                <w:szCs w:val="14"/>
                <w:color w:val="auto"/>
              </w:rPr>
            </w:pPr>
          </w:p>
        </w:tc>
        <w:tc>
          <w:tcPr>
            <w:tcW w:w="860" w:type="dxa"/>
            <w:vAlign w:val="bottom"/>
          </w:tcPr>
          <w:p>
            <w:pPr>
              <w:jc w:val="center"/>
              <w:ind w:right="73"/>
              <w:spacing w:after="0"/>
              <w:rPr>
                <w:sz w:val="20"/>
                <w:szCs w:val="20"/>
                <w:color w:val="auto"/>
              </w:rPr>
            </w:pPr>
            <w:r>
              <w:rPr>
                <w:rFonts w:ascii="Arial" w:cs="Arial" w:eastAsia="Arial" w:hAnsi="Arial"/>
                <w:sz w:val="13"/>
                <w:szCs w:val="13"/>
                <w:b w:val="1"/>
                <w:bCs w:val="1"/>
                <w:color w:val="auto"/>
                <w:w w:val="97"/>
              </w:rPr>
              <w:t>Dollar</w:t>
            </w:r>
          </w:p>
        </w:tc>
        <w:tc>
          <w:tcPr>
            <w:tcW w:w="140" w:type="dxa"/>
            <w:vAlign w:val="bottom"/>
          </w:tcPr>
          <w:p>
            <w:pPr>
              <w:spacing w:after="0"/>
              <w:rPr>
                <w:sz w:val="14"/>
                <w:szCs w:val="14"/>
                <w:color w:val="auto"/>
              </w:rPr>
            </w:pPr>
          </w:p>
        </w:tc>
        <w:tc>
          <w:tcPr>
            <w:tcW w:w="1200" w:type="dxa"/>
            <w:vAlign w:val="bottom"/>
            <w:gridSpan w:val="2"/>
          </w:tcPr>
          <w:p>
            <w:pPr>
              <w:jc w:val="center"/>
              <w:ind w:right="150"/>
              <w:spacing w:after="0"/>
              <w:rPr>
                <w:sz w:val="20"/>
                <w:szCs w:val="20"/>
                <w:color w:val="auto"/>
              </w:rPr>
            </w:pPr>
            <w:r>
              <w:rPr>
                <w:rFonts w:ascii="Arial" w:cs="Arial" w:eastAsia="Arial" w:hAnsi="Arial"/>
                <w:sz w:val="13"/>
                <w:szCs w:val="13"/>
                <w:b w:val="1"/>
                <w:bCs w:val="1"/>
                <w:color w:val="auto"/>
                <w:w w:val="96"/>
              </w:rPr>
              <w:t>Percentage</w:t>
            </w:r>
          </w:p>
        </w:tc>
        <w:tc>
          <w:tcPr>
            <w:tcW w:w="0" w:type="dxa"/>
            <w:vAlign w:val="bottom"/>
          </w:tcPr>
          <w:p>
            <w:pPr>
              <w:spacing w:after="0"/>
              <w:rPr>
                <w:sz w:val="1"/>
                <w:szCs w:val="1"/>
                <w:color w:val="auto"/>
              </w:rPr>
            </w:pPr>
          </w:p>
        </w:tc>
      </w:tr>
      <w:tr>
        <w:trPr>
          <w:trHeight w:val="102"/>
        </w:trPr>
        <w:tc>
          <w:tcPr>
            <w:tcW w:w="4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millions, except percentages)</w:t>
            </w:r>
          </w:p>
        </w:tc>
        <w:tc>
          <w:tcPr>
            <w:tcW w:w="160" w:type="dxa"/>
            <w:vAlign w:val="bottom"/>
            <w:tcBorders>
              <w:top w:val="single" w:sz="8" w:color="auto"/>
            </w:tcBorders>
          </w:tcPr>
          <w:p>
            <w:pPr>
              <w:spacing w:after="0"/>
              <w:rPr>
                <w:sz w:val="8"/>
                <w:szCs w:val="8"/>
                <w:color w:val="auto"/>
              </w:rPr>
            </w:pPr>
          </w:p>
        </w:tc>
        <w:tc>
          <w:tcPr>
            <w:tcW w:w="1360" w:type="dxa"/>
            <w:vAlign w:val="bottom"/>
            <w:tcBorders>
              <w:top w:val="single" w:sz="8" w:color="auto"/>
            </w:tcBorders>
            <w:gridSpan w:val="2"/>
          </w:tcPr>
          <w:p>
            <w:pPr>
              <w:jc w:val="right"/>
              <w:ind w:right="500"/>
              <w:spacing w:after="0" w:line="102" w:lineRule="exact"/>
              <w:rPr>
                <w:sz w:val="20"/>
                <w:szCs w:val="20"/>
                <w:color w:val="auto"/>
              </w:rPr>
            </w:pPr>
            <w:r>
              <w:rPr>
                <w:rFonts w:ascii="Arial" w:cs="Arial" w:eastAsia="Arial" w:hAnsi="Arial"/>
                <w:sz w:val="10"/>
                <w:szCs w:val="10"/>
                <w:b w:val="1"/>
                <w:bCs w:val="1"/>
                <w:color w:val="auto"/>
              </w:rPr>
              <w:t>December 31,</w:t>
            </w:r>
          </w:p>
        </w:tc>
        <w:tc>
          <w:tcPr>
            <w:tcW w:w="16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jc w:val="right"/>
              <w:ind w:right="106"/>
              <w:spacing w:after="0" w:line="102" w:lineRule="exact"/>
              <w:rPr>
                <w:sz w:val="20"/>
                <w:szCs w:val="20"/>
                <w:color w:val="auto"/>
              </w:rPr>
            </w:pPr>
            <w:r>
              <w:rPr>
                <w:rFonts w:ascii="Arial" w:cs="Arial" w:eastAsia="Arial" w:hAnsi="Arial"/>
                <w:sz w:val="10"/>
                <w:szCs w:val="10"/>
                <w:b w:val="1"/>
                <w:bCs w:val="1"/>
                <w:color w:val="auto"/>
              </w:rPr>
              <w:t>December 31,</w:t>
            </w: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jc w:val="center"/>
              <w:ind w:right="73"/>
              <w:spacing w:after="0" w:line="102" w:lineRule="exact"/>
              <w:rPr>
                <w:sz w:val="20"/>
                <w:szCs w:val="20"/>
                <w:color w:val="auto"/>
              </w:rPr>
            </w:pPr>
            <w:r>
              <w:rPr>
                <w:rFonts w:ascii="Arial" w:cs="Arial" w:eastAsia="Arial" w:hAnsi="Arial"/>
                <w:sz w:val="10"/>
                <w:szCs w:val="10"/>
                <w:b w:val="1"/>
                <w:bCs w:val="1"/>
                <w:color w:val="auto"/>
              </w:rPr>
              <w:t>Increase</w:t>
            </w:r>
          </w:p>
        </w:tc>
        <w:tc>
          <w:tcPr>
            <w:tcW w:w="140" w:type="dxa"/>
            <w:vAlign w:val="bottom"/>
          </w:tcPr>
          <w:p>
            <w:pPr>
              <w:spacing w:after="0"/>
              <w:rPr>
                <w:sz w:val="8"/>
                <w:szCs w:val="8"/>
                <w:color w:val="auto"/>
              </w:rPr>
            </w:pPr>
          </w:p>
        </w:tc>
        <w:tc>
          <w:tcPr>
            <w:tcW w:w="1200" w:type="dxa"/>
            <w:vAlign w:val="bottom"/>
            <w:gridSpan w:val="2"/>
          </w:tcPr>
          <w:p>
            <w:pPr>
              <w:jc w:val="center"/>
              <w:ind w:right="170"/>
              <w:spacing w:after="0" w:line="102" w:lineRule="exact"/>
              <w:rPr>
                <w:sz w:val="20"/>
                <w:szCs w:val="20"/>
                <w:color w:val="auto"/>
              </w:rPr>
            </w:pPr>
            <w:r>
              <w:rPr>
                <w:rFonts w:ascii="Arial" w:cs="Arial" w:eastAsia="Arial" w:hAnsi="Arial"/>
                <w:sz w:val="10"/>
                <w:szCs w:val="10"/>
                <w:b w:val="1"/>
                <w:bCs w:val="1"/>
                <w:color w:val="auto"/>
              </w:rPr>
              <w:t>Increase</w:t>
            </w:r>
          </w:p>
        </w:tc>
        <w:tc>
          <w:tcPr>
            <w:tcW w:w="0" w:type="dxa"/>
            <w:vAlign w:val="bottom"/>
          </w:tcPr>
          <w:p>
            <w:pPr>
              <w:spacing w:after="0"/>
              <w:rPr>
                <w:sz w:val="1"/>
                <w:szCs w:val="1"/>
                <w:color w:val="auto"/>
              </w:rPr>
            </w:pPr>
          </w:p>
        </w:tc>
      </w:tr>
      <w:tr>
        <w:trPr>
          <w:trHeight w:val="162"/>
        </w:trPr>
        <w:tc>
          <w:tcPr>
            <w:tcW w:w="4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388"/>
              <w:spacing w:after="0"/>
              <w:rPr>
                <w:sz w:val="20"/>
                <w:szCs w:val="20"/>
                <w:color w:val="auto"/>
              </w:rPr>
            </w:pPr>
            <w:r>
              <w:rPr>
                <w:rFonts w:ascii="Arial" w:cs="Arial" w:eastAsia="Arial" w:hAnsi="Arial"/>
                <w:sz w:val="13"/>
                <w:szCs w:val="13"/>
                <w:b w:val="1"/>
                <w:bCs w:val="1"/>
                <w:color w:val="auto"/>
              </w:rPr>
              <w:t>2021</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386"/>
              <w:spacing w:after="0"/>
              <w:rPr>
                <w:sz w:val="20"/>
                <w:szCs w:val="20"/>
                <w:color w:val="auto"/>
              </w:rPr>
            </w:pPr>
            <w:r>
              <w:rPr>
                <w:rFonts w:ascii="Arial" w:cs="Arial" w:eastAsia="Arial" w:hAnsi="Arial"/>
                <w:sz w:val="13"/>
                <w:szCs w:val="13"/>
                <w:b w:val="1"/>
                <w:bCs w:val="1"/>
                <w:color w:val="auto"/>
              </w:rPr>
              <w:t>2020</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73"/>
              <w:spacing w:after="0"/>
              <w:rPr>
                <w:sz w:val="20"/>
                <w:szCs w:val="20"/>
                <w:color w:val="auto"/>
              </w:rPr>
            </w:pPr>
            <w:r>
              <w:rPr>
                <w:rFonts w:ascii="Arial" w:cs="Arial" w:eastAsia="Arial" w:hAnsi="Arial"/>
                <w:sz w:val="13"/>
                <w:szCs w:val="13"/>
                <w:b w:val="1"/>
                <w:bCs w:val="1"/>
                <w:color w:val="auto"/>
                <w:w w:val="96"/>
              </w:rPr>
              <w:t>(Decrease)</w:t>
            </w:r>
          </w:p>
        </w:tc>
        <w:tc>
          <w:tcPr>
            <w:tcW w:w="140" w:type="dxa"/>
            <w:vAlign w:val="bottom"/>
          </w:tcPr>
          <w:p>
            <w:pPr>
              <w:spacing w:after="0"/>
              <w:rPr>
                <w:sz w:val="14"/>
                <w:szCs w:val="14"/>
                <w:color w:val="auto"/>
              </w:rPr>
            </w:pPr>
          </w:p>
        </w:tc>
        <w:tc>
          <w:tcPr>
            <w:tcW w:w="1200" w:type="dxa"/>
            <w:vAlign w:val="bottom"/>
            <w:gridSpan w:val="2"/>
          </w:tcPr>
          <w:p>
            <w:pPr>
              <w:jc w:val="center"/>
              <w:ind w:right="170"/>
              <w:spacing w:after="0"/>
              <w:rPr>
                <w:sz w:val="20"/>
                <w:szCs w:val="20"/>
                <w:color w:val="auto"/>
              </w:rPr>
            </w:pPr>
            <w:r>
              <w:rPr>
                <w:rFonts w:ascii="Arial" w:cs="Arial" w:eastAsia="Arial" w:hAnsi="Arial"/>
                <w:sz w:val="13"/>
                <w:szCs w:val="13"/>
                <w:b w:val="1"/>
                <w:bCs w:val="1"/>
                <w:color w:val="auto"/>
                <w:w w:val="99"/>
              </w:rPr>
              <w:t>(Decrease)</w:t>
            </w:r>
          </w:p>
        </w:tc>
        <w:tc>
          <w:tcPr>
            <w:tcW w:w="0" w:type="dxa"/>
            <w:vAlign w:val="bottom"/>
          </w:tcPr>
          <w:p>
            <w:pPr>
              <w:spacing w:after="0"/>
              <w:rPr>
                <w:sz w:val="1"/>
                <w:szCs w:val="1"/>
                <w:color w:val="auto"/>
              </w:rPr>
            </w:pPr>
          </w:p>
        </w:tc>
      </w:tr>
      <w:tr>
        <w:trPr>
          <w:trHeight w:val="196"/>
        </w:trPr>
        <w:tc>
          <w:tcPr>
            <w:tcW w:w="466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Segment operating profit</w:t>
            </w:r>
          </w:p>
        </w:tc>
        <w:tc>
          <w:tcPr>
            <w:tcW w:w="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43.7</w:t>
            </w:r>
          </w:p>
        </w:tc>
        <w:tc>
          <w:tcPr>
            <w:tcW w:w="3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21.1</w:t>
            </w:r>
          </w:p>
        </w:tc>
        <w:tc>
          <w:tcPr>
            <w:tcW w:w="3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22.6</w:t>
            </w:r>
          </w:p>
        </w:tc>
        <w:tc>
          <w:tcPr>
            <w:tcW w:w="14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107</w:t>
            </w:r>
          </w:p>
        </w:tc>
        <w:tc>
          <w:tcPr>
            <w:tcW w:w="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47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5 %</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240" w:firstLine="509"/>
        <w:spacing w:after="0" w:line="238" w:lineRule="auto"/>
        <w:rPr>
          <w:sz w:val="20"/>
          <w:szCs w:val="20"/>
          <w:color w:val="auto"/>
        </w:rPr>
      </w:pPr>
      <w:r>
        <w:rPr>
          <w:rFonts w:ascii="Arial" w:cs="Arial" w:eastAsia="Arial" w:hAnsi="Arial"/>
          <w:sz w:val="18"/>
          <w:szCs w:val="18"/>
          <w:color w:val="auto"/>
        </w:rPr>
        <w:t>The $22.6 million increase in our satellite services segment operating profit was driven primarily by higher earnings contributions of $94.3 million, mainly due to an increase in revenues and improved margins from our in-flight services as the business continued to scale. The increase in operating profit was offset by higher SG&amp;A costs of $72.0 million, mostly driven by RigNet, which was acquired during the first quarter of fiscal year 2022, as well as $14.6 million of acquisition-related expenses incurred during fiscal year 2022 related to the Inmarsat Transaction and acquisitions of RigNet and the remaining 51% interest in EBI.</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140" w:type="dxa"/>
            <w:vAlign w:val="bottom"/>
          </w:tcPr>
          <w:p>
            <w:pPr>
              <w:spacing w:after="0"/>
              <w:rPr>
                <w:sz w:val="16"/>
                <w:szCs w:val="16"/>
                <w:color w:val="auto"/>
              </w:rPr>
            </w:pPr>
          </w:p>
        </w:tc>
        <w:tc>
          <w:tcPr>
            <w:tcW w:w="12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1"/>
                <w:szCs w:val="11"/>
                <w:color w:val="auto"/>
              </w:rPr>
            </w:pPr>
          </w:p>
        </w:tc>
        <w:tc>
          <w:tcPr>
            <w:tcW w:w="1100" w:type="dxa"/>
            <w:vAlign w:val="bottom"/>
          </w:tcPr>
          <w:p>
            <w:pPr>
              <w:jc w:val="right"/>
              <w:ind w:right="59"/>
              <w:spacing w:after="0" w:line="12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79"/>
              <w:spacing w:after="0" w:line="129" w:lineRule="exact"/>
              <w:rPr>
                <w:sz w:val="20"/>
                <w:szCs w:val="20"/>
                <w:color w:val="auto"/>
              </w:rPr>
            </w:pPr>
            <w:r>
              <w:rPr>
                <w:rFonts w:ascii="Arial" w:cs="Arial" w:eastAsia="Arial" w:hAnsi="Arial"/>
                <w:sz w:val="14"/>
                <w:szCs w:val="14"/>
                <w:b w:val="1"/>
                <w:bCs w:val="1"/>
                <w:color w:val="auto"/>
              </w:rPr>
              <w:t>Increase</w:t>
            </w:r>
          </w:p>
        </w:tc>
        <w:tc>
          <w:tcPr>
            <w:tcW w:w="140" w:type="dxa"/>
            <w:vAlign w:val="bottom"/>
          </w:tcPr>
          <w:p>
            <w:pPr>
              <w:spacing w:after="0"/>
              <w:rPr>
                <w:sz w:val="11"/>
                <w:szCs w:val="11"/>
                <w:color w:val="auto"/>
              </w:rPr>
            </w:pPr>
          </w:p>
        </w:tc>
        <w:tc>
          <w:tcPr>
            <w:tcW w:w="1280" w:type="dxa"/>
            <w:vAlign w:val="bottom"/>
            <w:gridSpan w:val="2"/>
          </w:tcPr>
          <w:p>
            <w:pPr>
              <w:jc w:val="center"/>
              <w:ind w:right="17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4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140" w:type="dxa"/>
            <w:vAlign w:val="bottom"/>
          </w:tcPr>
          <w:p>
            <w:pPr>
              <w:spacing w:after="0"/>
              <w:rPr>
                <w:sz w:val="16"/>
                <w:szCs w:val="16"/>
                <w:color w:val="auto"/>
              </w:rPr>
            </w:pPr>
          </w:p>
        </w:tc>
        <w:tc>
          <w:tcPr>
            <w:tcW w:w="12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472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Segment product revenues</w:t>
            </w: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343.5</w:t>
            </w:r>
          </w:p>
        </w:tc>
        <w:tc>
          <w:tcPr>
            <w:tcW w:w="1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197.6</w:t>
            </w:r>
          </w:p>
        </w:tc>
        <w:tc>
          <w:tcPr>
            <w:tcW w:w="1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146.0</w:t>
            </w:r>
          </w:p>
        </w:tc>
        <w:tc>
          <w:tcPr>
            <w:tcW w:w="14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w:t>
            </w:r>
          </w:p>
        </w:tc>
        <w:tc>
          <w:tcPr>
            <w:tcW w:w="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49.6</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38.6</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w:t>
            </w:r>
          </w:p>
        </w:tc>
        <w:tc>
          <w:tcPr>
            <w:tcW w:w="1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196"/>
        </w:trPr>
        <w:tc>
          <w:tcPr>
            <w:tcW w:w="48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segment revenues</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393.1</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236.1</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157.0</w:t>
            </w:r>
          </w:p>
        </w:tc>
        <w:tc>
          <w:tcPr>
            <w:tcW w:w="142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Our commercial networks segment revenues increased by $157.0 million, due to a $146.0 million increase in product revenues and an $11.0 million increase in service revenues. The increase in product revenues was primarily due to increases of $100.2 million in mobile broadband satellite communication systems products, $39.6 million in antenna systems products and $18.3 million in RigNet products in connection with the acquisition of RigNet in the first quarter of fiscal year 2022. This was slightly offset by a $14.4 million decrease in fixed satellite networks products. The increase in service revenues was primarily driven by our mobile broadband satellite communication systems services.</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5" w:right="39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Segment operating loss</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gridSpan w:val="5"/>
          </w:tcPr>
          <w:p>
            <w:pPr>
              <w:jc w:val="right"/>
              <w:ind w:right="1090"/>
              <w:spacing w:after="0"/>
              <w:rPr>
                <w:sz w:val="20"/>
                <w:szCs w:val="20"/>
                <w:color w:val="auto"/>
              </w:rPr>
            </w:pPr>
            <w:r>
              <w:rPr>
                <w:rFonts w:ascii="Arial" w:cs="Arial" w:eastAsia="Arial" w:hAnsi="Arial"/>
                <w:sz w:val="13"/>
                <w:szCs w:val="13"/>
                <w:b w:val="1"/>
                <w:bCs w:val="1"/>
                <w:color w:val="auto"/>
              </w:rPr>
              <w:t>Nine Months Ended</w:t>
            </w:r>
          </w:p>
        </w:tc>
        <w:tc>
          <w:tcPr>
            <w:tcW w:w="160" w:type="dxa"/>
            <w:vAlign w:val="bottom"/>
          </w:tcPr>
          <w:p>
            <w:pPr>
              <w:spacing w:after="0"/>
              <w:rPr>
                <w:sz w:val="14"/>
                <w:szCs w:val="14"/>
                <w:color w:val="auto"/>
              </w:rPr>
            </w:pPr>
          </w:p>
        </w:tc>
        <w:tc>
          <w:tcPr>
            <w:tcW w:w="840" w:type="dxa"/>
            <w:vAlign w:val="bottom"/>
          </w:tcPr>
          <w:p>
            <w:pPr>
              <w:jc w:val="center"/>
              <w:ind w:right="93"/>
              <w:spacing w:after="0"/>
              <w:rPr>
                <w:sz w:val="20"/>
                <w:szCs w:val="20"/>
                <w:color w:val="auto"/>
              </w:rPr>
            </w:pPr>
            <w:r>
              <w:rPr>
                <w:rFonts w:ascii="Arial" w:cs="Arial" w:eastAsia="Arial" w:hAnsi="Arial"/>
                <w:sz w:val="13"/>
                <w:szCs w:val="13"/>
                <w:b w:val="1"/>
                <w:bCs w:val="1"/>
                <w:color w:val="auto"/>
                <w:w w:val="97"/>
              </w:rPr>
              <w:t>Dollar</w:t>
            </w:r>
          </w:p>
        </w:tc>
        <w:tc>
          <w:tcPr>
            <w:tcW w:w="100" w:type="dxa"/>
            <w:vAlign w:val="bottom"/>
          </w:tcPr>
          <w:p>
            <w:pPr>
              <w:spacing w:after="0"/>
              <w:rPr>
                <w:sz w:val="14"/>
                <w:szCs w:val="14"/>
                <w:color w:val="auto"/>
              </w:rPr>
            </w:pPr>
          </w:p>
        </w:tc>
        <w:tc>
          <w:tcPr>
            <w:tcW w:w="1200" w:type="dxa"/>
            <w:vAlign w:val="bottom"/>
            <w:gridSpan w:val="2"/>
          </w:tcPr>
          <w:p>
            <w:pPr>
              <w:jc w:val="center"/>
              <w:ind w:right="150"/>
              <w:spacing w:after="0"/>
              <w:rPr>
                <w:sz w:val="20"/>
                <w:szCs w:val="20"/>
                <w:color w:val="auto"/>
              </w:rPr>
            </w:pPr>
            <w:r>
              <w:rPr>
                <w:rFonts w:ascii="Arial" w:cs="Arial" w:eastAsia="Arial" w:hAnsi="Arial"/>
                <w:sz w:val="13"/>
                <w:szCs w:val="13"/>
                <w:b w:val="1"/>
                <w:bCs w:val="1"/>
                <w:color w:val="auto"/>
                <w:w w:val="96"/>
              </w:rPr>
              <w:t>Percentage</w:t>
            </w:r>
          </w:p>
        </w:tc>
        <w:tc>
          <w:tcPr>
            <w:tcW w:w="0" w:type="dxa"/>
            <w:vAlign w:val="bottom"/>
          </w:tcPr>
          <w:p>
            <w:pPr>
              <w:spacing w:after="0"/>
              <w:rPr>
                <w:sz w:val="1"/>
                <w:szCs w:val="1"/>
                <w:color w:val="auto"/>
              </w:rPr>
            </w:pPr>
          </w:p>
        </w:tc>
      </w:tr>
      <w:tr>
        <w:trPr>
          <w:trHeight w:val="102"/>
        </w:trPr>
        <w:tc>
          <w:tcPr>
            <w:tcW w:w="46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millions, except percentages)</w:t>
            </w:r>
          </w:p>
        </w:tc>
        <w:tc>
          <w:tcPr>
            <w:tcW w:w="160" w:type="dxa"/>
            <w:vAlign w:val="bottom"/>
            <w:tcBorders>
              <w:top w:val="single" w:sz="8" w:color="auto"/>
            </w:tcBorders>
          </w:tcPr>
          <w:p>
            <w:pPr>
              <w:spacing w:after="0"/>
              <w:rPr>
                <w:sz w:val="8"/>
                <w:szCs w:val="8"/>
                <w:color w:val="auto"/>
              </w:rPr>
            </w:pPr>
          </w:p>
        </w:tc>
        <w:tc>
          <w:tcPr>
            <w:tcW w:w="1440" w:type="dxa"/>
            <w:vAlign w:val="bottom"/>
            <w:tcBorders>
              <w:top w:val="single" w:sz="8" w:color="auto"/>
            </w:tcBorders>
            <w:gridSpan w:val="2"/>
          </w:tcPr>
          <w:p>
            <w:pPr>
              <w:jc w:val="right"/>
              <w:ind w:right="490"/>
              <w:spacing w:after="0" w:line="102" w:lineRule="exact"/>
              <w:rPr>
                <w:sz w:val="20"/>
                <w:szCs w:val="20"/>
                <w:color w:val="auto"/>
              </w:rPr>
            </w:pPr>
            <w:r>
              <w:rPr>
                <w:rFonts w:ascii="Arial" w:cs="Arial" w:eastAsia="Arial" w:hAnsi="Arial"/>
                <w:sz w:val="10"/>
                <w:szCs w:val="10"/>
                <w:b w:val="1"/>
                <w:bCs w:val="1"/>
                <w:color w:val="auto"/>
              </w:rPr>
              <w:t>December 31,</w:t>
            </w:r>
          </w:p>
        </w:tc>
        <w:tc>
          <w:tcPr>
            <w:tcW w:w="16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jc w:val="right"/>
              <w:ind w:right="126"/>
              <w:spacing w:after="0" w:line="102" w:lineRule="exact"/>
              <w:rPr>
                <w:sz w:val="20"/>
                <w:szCs w:val="20"/>
                <w:color w:val="auto"/>
              </w:rPr>
            </w:pPr>
            <w:r>
              <w:rPr>
                <w:rFonts w:ascii="Arial" w:cs="Arial" w:eastAsia="Arial" w:hAnsi="Arial"/>
                <w:sz w:val="10"/>
                <w:szCs w:val="10"/>
                <w:b w:val="1"/>
                <w:bCs w:val="1"/>
                <w:color w:val="auto"/>
              </w:rPr>
              <w:t>December 31,</w:t>
            </w: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jc w:val="center"/>
              <w:ind w:right="93"/>
              <w:spacing w:after="0" w:line="102" w:lineRule="exact"/>
              <w:rPr>
                <w:sz w:val="20"/>
                <w:szCs w:val="20"/>
                <w:color w:val="auto"/>
              </w:rPr>
            </w:pPr>
            <w:r>
              <w:rPr>
                <w:rFonts w:ascii="Arial" w:cs="Arial" w:eastAsia="Arial" w:hAnsi="Arial"/>
                <w:sz w:val="10"/>
                <w:szCs w:val="10"/>
                <w:b w:val="1"/>
                <w:bCs w:val="1"/>
                <w:color w:val="auto"/>
              </w:rPr>
              <w:t>(Increase)</w:t>
            </w:r>
          </w:p>
        </w:tc>
        <w:tc>
          <w:tcPr>
            <w:tcW w:w="100" w:type="dxa"/>
            <w:vAlign w:val="bottom"/>
          </w:tcPr>
          <w:p>
            <w:pPr>
              <w:spacing w:after="0"/>
              <w:rPr>
                <w:sz w:val="8"/>
                <w:szCs w:val="8"/>
                <w:color w:val="auto"/>
              </w:rPr>
            </w:pPr>
          </w:p>
        </w:tc>
        <w:tc>
          <w:tcPr>
            <w:tcW w:w="1200" w:type="dxa"/>
            <w:vAlign w:val="bottom"/>
            <w:gridSpan w:val="2"/>
          </w:tcPr>
          <w:p>
            <w:pPr>
              <w:jc w:val="center"/>
              <w:ind w:right="170"/>
              <w:spacing w:after="0" w:line="102" w:lineRule="exact"/>
              <w:rPr>
                <w:sz w:val="20"/>
                <w:szCs w:val="20"/>
                <w:color w:val="auto"/>
              </w:rPr>
            </w:pPr>
            <w:r>
              <w:rPr>
                <w:rFonts w:ascii="Arial" w:cs="Arial" w:eastAsia="Arial" w:hAnsi="Arial"/>
                <w:sz w:val="10"/>
                <w:szCs w:val="10"/>
                <w:b w:val="1"/>
                <w:bCs w:val="1"/>
                <w:color w:val="auto"/>
              </w:rPr>
              <w:t>(Increase)</w:t>
            </w:r>
          </w:p>
        </w:tc>
        <w:tc>
          <w:tcPr>
            <w:tcW w:w="0" w:type="dxa"/>
            <w:vAlign w:val="bottom"/>
          </w:tcPr>
          <w:p>
            <w:pPr>
              <w:spacing w:after="0"/>
              <w:rPr>
                <w:sz w:val="1"/>
                <w:szCs w:val="1"/>
                <w:color w:val="auto"/>
              </w:rPr>
            </w:pPr>
          </w:p>
        </w:tc>
      </w:tr>
      <w:tr>
        <w:trPr>
          <w:trHeight w:val="162"/>
        </w:trPr>
        <w:tc>
          <w:tcPr>
            <w:tcW w:w="4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388"/>
              <w:spacing w:after="0"/>
              <w:rPr>
                <w:sz w:val="20"/>
                <w:szCs w:val="20"/>
                <w:color w:val="auto"/>
              </w:rPr>
            </w:pPr>
            <w:r>
              <w:rPr>
                <w:rFonts w:ascii="Arial" w:cs="Arial" w:eastAsia="Arial" w:hAnsi="Arial"/>
                <w:sz w:val="13"/>
                <w:szCs w:val="13"/>
                <w:b w:val="1"/>
                <w:bCs w:val="1"/>
                <w:color w:val="auto"/>
              </w:rPr>
              <w:t>2021</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386"/>
              <w:spacing w:after="0"/>
              <w:rPr>
                <w:sz w:val="20"/>
                <w:szCs w:val="20"/>
                <w:color w:val="auto"/>
              </w:rPr>
            </w:pPr>
            <w:r>
              <w:rPr>
                <w:rFonts w:ascii="Arial" w:cs="Arial" w:eastAsia="Arial" w:hAnsi="Arial"/>
                <w:sz w:val="13"/>
                <w:szCs w:val="13"/>
                <w:b w:val="1"/>
                <w:bCs w:val="1"/>
                <w:color w:val="auto"/>
              </w:rPr>
              <w:t>2020</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93"/>
              <w:spacing w:after="0"/>
              <w:rPr>
                <w:sz w:val="20"/>
                <w:szCs w:val="20"/>
                <w:color w:val="auto"/>
              </w:rPr>
            </w:pPr>
            <w:r>
              <w:rPr>
                <w:rFonts w:ascii="Arial" w:cs="Arial" w:eastAsia="Arial" w:hAnsi="Arial"/>
                <w:sz w:val="13"/>
                <w:szCs w:val="13"/>
                <w:b w:val="1"/>
                <w:bCs w:val="1"/>
                <w:color w:val="auto"/>
                <w:w w:val="96"/>
              </w:rPr>
              <w:t>Decrease</w:t>
            </w:r>
          </w:p>
        </w:tc>
        <w:tc>
          <w:tcPr>
            <w:tcW w:w="100" w:type="dxa"/>
            <w:vAlign w:val="bottom"/>
          </w:tcPr>
          <w:p>
            <w:pPr>
              <w:spacing w:after="0"/>
              <w:rPr>
                <w:sz w:val="14"/>
                <w:szCs w:val="14"/>
                <w:color w:val="auto"/>
              </w:rPr>
            </w:pPr>
          </w:p>
        </w:tc>
        <w:tc>
          <w:tcPr>
            <w:tcW w:w="1200" w:type="dxa"/>
            <w:vAlign w:val="bottom"/>
            <w:gridSpan w:val="2"/>
          </w:tcPr>
          <w:p>
            <w:pPr>
              <w:jc w:val="center"/>
              <w:ind w:right="150"/>
              <w:spacing w:after="0"/>
              <w:rPr>
                <w:sz w:val="20"/>
                <w:szCs w:val="20"/>
                <w:color w:val="auto"/>
              </w:rPr>
            </w:pPr>
            <w:r>
              <w:rPr>
                <w:rFonts w:ascii="Arial" w:cs="Arial" w:eastAsia="Arial" w:hAnsi="Arial"/>
                <w:sz w:val="13"/>
                <w:szCs w:val="13"/>
                <w:b w:val="1"/>
                <w:bCs w:val="1"/>
                <w:color w:val="auto"/>
                <w:w w:val="96"/>
              </w:rPr>
              <w:t>Decrease</w:t>
            </w:r>
          </w:p>
        </w:tc>
        <w:tc>
          <w:tcPr>
            <w:tcW w:w="0" w:type="dxa"/>
            <w:vAlign w:val="bottom"/>
          </w:tcPr>
          <w:p>
            <w:pPr>
              <w:spacing w:after="0"/>
              <w:rPr>
                <w:sz w:val="1"/>
                <w:szCs w:val="1"/>
                <w:color w:val="auto"/>
              </w:rPr>
            </w:pPr>
          </w:p>
        </w:tc>
      </w:tr>
      <w:tr>
        <w:trPr>
          <w:trHeight w:val="196"/>
        </w:trPr>
        <w:tc>
          <w:tcPr>
            <w:tcW w:w="458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Segment operating loss</w:t>
            </w:r>
          </w:p>
        </w:tc>
        <w:tc>
          <w:tcPr>
            <w:tcW w:w="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(127.6</w:t>
            </w:r>
          </w:p>
        </w:tc>
        <w:tc>
          <w:tcPr>
            <w:tcW w:w="40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(135.8</w:t>
            </w:r>
          </w:p>
        </w:tc>
        <w:tc>
          <w:tcPr>
            <w:tcW w:w="38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46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60" w:type="dxa"/>
            <w:vAlign w:val="bottom"/>
          </w:tcPr>
          <w:p>
            <w:pPr>
              <w:spacing w:after="0"/>
              <w:rPr>
                <w:sz w:val="18"/>
                <w:szCs w:val="18"/>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(32 )%</w:t>
            </w:r>
          </w:p>
        </w:tc>
        <w:tc>
          <w:tcPr>
            <w:tcW w:w="160" w:type="dxa"/>
            <w:vAlign w:val="bottom"/>
          </w:tcPr>
          <w:p>
            <w:pPr>
              <w:spacing w:after="0"/>
              <w:rPr>
                <w:sz w:val="18"/>
                <w:szCs w:val="18"/>
                <w:color w:val="auto"/>
              </w:rPr>
            </w:pP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(58 )%</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The $8.2 million reduction in our commercial networks operating loss was driven primarily by higher earnings contributions of $30.8 million, primarily due to higher revenues and improved margins in our mobile broadband satellite communications systems products, offset by a $17.2 million increase in IR&amp;D expenses (primarily related to next-generation satellite payload technologies) and a $5.1 million increase in SG&amp;A costs.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623"/>
              <w:spacing w:after="0"/>
              <w:rPr>
                <w:sz w:val="20"/>
                <w:szCs w:val="20"/>
                <w:color w:val="auto"/>
              </w:rPr>
            </w:pPr>
            <w:r>
              <w:rPr>
                <w:rFonts w:ascii="Arial" w:cs="Arial" w:eastAsia="Arial" w:hAnsi="Arial"/>
                <w:sz w:val="13"/>
                <w:szCs w:val="13"/>
                <w:b w:val="1"/>
                <w:bCs w:val="1"/>
                <w:color w:val="auto"/>
              </w:rPr>
              <w:t>Nine Months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41"/>
              <w:spacing w:after="0"/>
              <w:rPr>
                <w:sz w:val="20"/>
                <w:szCs w:val="20"/>
                <w:color w:val="auto"/>
              </w:rPr>
            </w:pPr>
            <w:r>
              <w:rPr>
                <w:rFonts w:ascii="Arial" w:cs="Arial" w:eastAsia="Arial" w:hAnsi="Arial"/>
                <w:sz w:val="13"/>
                <w:szCs w:val="13"/>
                <w:b w:val="1"/>
                <w:bCs w:val="1"/>
                <w:color w:val="auto"/>
                <w:w w:val="97"/>
              </w:rPr>
              <w:t>Dollar</w:t>
            </w:r>
          </w:p>
        </w:tc>
        <w:tc>
          <w:tcPr>
            <w:tcW w:w="1280" w:type="dxa"/>
            <w:vAlign w:val="bottom"/>
            <w:gridSpan w:val="2"/>
          </w:tcPr>
          <w:p>
            <w:pPr>
              <w:jc w:val="center"/>
              <w:ind w:right="190"/>
              <w:spacing w:after="0"/>
              <w:rPr>
                <w:sz w:val="20"/>
                <w:szCs w:val="20"/>
                <w:color w:val="auto"/>
              </w:rPr>
            </w:pPr>
            <w:r>
              <w:rPr>
                <w:rFonts w:ascii="Arial" w:cs="Arial" w:eastAsia="Arial" w:hAnsi="Arial"/>
                <w:sz w:val="13"/>
                <w:szCs w:val="13"/>
                <w:b w:val="1"/>
                <w:bCs w:val="1"/>
                <w:color w:val="auto"/>
                <w:w w:val="96"/>
              </w:rPr>
              <w:t>Percentage</w:t>
            </w:r>
          </w:p>
        </w:tc>
        <w:tc>
          <w:tcPr>
            <w:tcW w:w="0" w:type="dxa"/>
            <w:vAlign w:val="bottom"/>
          </w:tcPr>
          <w:p>
            <w:pPr>
              <w:spacing w:after="0"/>
              <w:rPr>
                <w:sz w:val="1"/>
                <w:szCs w:val="1"/>
                <w:color w:val="auto"/>
              </w:rPr>
            </w:pPr>
          </w:p>
        </w:tc>
      </w:tr>
      <w:tr>
        <w:trPr>
          <w:trHeight w:val="102"/>
        </w:trPr>
        <w:tc>
          <w:tcPr>
            <w:tcW w:w="48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millions, except percentages)</w:t>
            </w:r>
          </w:p>
        </w:tc>
        <w:tc>
          <w:tcPr>
            <w:tcW w:w="160" w:type="dxa"/>
            <w:vAlign w:val="bottom"/>
          </w:tcPr>
          <w:p>
            <w:pPr>
              <w:spacing w:after="0"/>
              <w:rPr>
                <w:sz w:val="8"/>
                <w:szCs w:val="8"/>
                <w:color w:val="auto"/>
              </w:rPr>
            </w:pPr>
          </w:p>
        </w:tc>
        <w:tc>
          <w:tcPr>
            <w:tcW w:w="1080" w:type="dxa"/>
            <w:vAlign w:val="bottom"/>
          </w:tcPr>
          <w:p>
            <w:pPr>
              <w:jc w:val="right"/>
              <w:ind w:right="125"/>
              <w:spacing w:after="0" w:line="102" w:lineRule="exact"/>
              <w:rPr>
                <w:sz w:val="20"/>
                <w:szCs w:val="20"/>
                <w:color w:val="auto"/>
              </w:rPr>
            </w:pPr>
            <w:r>
              <w:rPr>
                <w:rFonts w:ascii="Arial" w:cs="Arial" w:eastAsia="Arial" w:hAnsi="Arial"/>
                <w:sz w:val="10"/>
                <w:szCs w:val="10"/>
                <w:b w:val="1"/>
                <w:bCs w:val="1"/>
                <w:color w:val="auto"/>
              </w:rPr>
              <w:t>December 31,</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jc w:val="right"/>
              <w:ind w:right="123"/>
              <w:spacing w:after="0" w:line="102" w:lineRule="exact"/>
              <w:rPr>
                <w:sz w:val="20"/>
                <w:szCs w:val="20"/>
                <w:color w:val="auto"/>
              </w:rPr>
            </w:pPr>
            <w:r>
              <w:rPr>
                <w:rFonts w:ascii="Arial" w:cs="Arial" w:eastAsia="Arial" w:hAnsi="Arial"/>
                <w:sz w:val="10"/>
                <w:szCs w:val="10"/>
                <w:b w:val="1"/>
                <w:bCs w:val="1"/>
                <w:color w:val="auto"/>
              </w:rPr>
              <w:t>December 31,</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center"/>
              <w:ind w:right="241"/>
              <w:spacing w:after="0" w:line="102" w:lineRule="exact"/>
              <w:rPr>
                <w:sz w:val="20"/>
                <w:szCs w:val="20"/>
                <w:color w:val="auto"/>
              </w:rPr>
            </w:pPr>
            <w:r>
              <w:rPr>
                <w:rFonts w:ascii="Arial" w:cs="Arial" w:eastAsia="Arial" w:hAnsi="Arial"/>
                <w:sz w:val="10"/>
                <w:szCs w:val="10"/>
                <w:b w:val="1"/>
                <w:bCs w:val="1"/>
                <w:color w:val="auto"/>
              </w:rPr>
              <w:t>Increase</w:t>
            </w:r>
          </w:p>
        </w:tc>
        <w:tc>
          <w:tcPr>
            <w:tcW w:w="1280" w:type="dxa"/>
            <w:vAlign w:val="bottom"/>
            <w:gridSpan w:val="2"/>
          </w:tcPr>
          <w:p>
            <w:pPr>
              <w:jc w:val="center"/>
              <w:ind w:right="190"/>
              <w:spacing w:after="0" w:line="102" w:lineRule="exact"/>
              <w:rPr>
                <w:sz w:val="20"/>
                <w:szCs w:val="20"/>
                <w:color w:val="auto"/>
              </w:rPr>
            </w:pPr>
            <w:r>
              <w:rPr>
                <w:rFonts w:ascii="Arial" w:cs="Arial" w:eastAsia="Arial" w:hAnsi="Arial"/>
                <w:sz w:val="10"/>
                <w:szCs w:val="10"/>
                <w:b w:val="1"/>
                <w:bCs w:val="1"/>
                <w:color w:val="auto"/>
              </w:rPr>
              <w:t>Increase</w:t>
            </w:r>
          </w:p>
        </w:tc>
        <w:tc>
          <w:tcPr>
            <w:tcW w:w="0" w:type="dxa"/>
            <w:vAlign w:val="bottom"/>
          </w:tcPr>
          <w:p>
            <w:pPr>
              <w:spacing w:after="0"/>
              <w:rPr>
                <w:sz w:val="1"/>
                <w:szCs w:val="1"/>
                <w:color w:val="auto"/>
              </w:rPr>
            </w:pPr>
          </w:p>
        </w:tc>
      </w:tr>
      <w:tr>
        <w:trPr>
          <w:trHeight w:val="162"/>
        </w:trPr>
        <w:tc>
          <w:tcPr>
            <w:tcW w:w="4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405"/>
              <w:spacing w:after="0"/>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383"/>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41"/>
              <w:spacing w:after="0"/>
              <w:rPr>
                <w:sz w:val="20"/>
                <w:szCs w:val="20"/>
                <w:color w:val="auto"/>
              </w:rPr>
            </w:pPr>
            <w:r>
              <w:rPr>
                <w:rFonts w:ascii="Arial" w:cs="Arial" w:eastAsia="Arial" w:hAnsi="Arial"/>
                <w:sz w:val="13"/>
                <w:szCs w:val="13"/>
                <w:b w:val="1"/>
                <w:bCs w:val="1"/>
                <w:color w:val="auto"/>
                <w:w w:val="96"/>
              </w:rPr>
              <w:t>(Decrease)</w:t>
            </w:r>
          </w:p>
        </w:tc>
        <w:tc>
          <w:tcPr>
            <w:tcW w:w="1280" w:type="dxa"/>
            <w:vAlign w:val="bottom"/>
            <w:gridSpan w:val="2"/>
          </w:tcPr>
          <w:p>
            <w:pPr>
              <w:jc w:val="center"/>
              <w:ind w:right="190"/>
              <w:spacing w:after="0"/>
              <w:rPr>
                <w:sz w:val="20"/>
                <w:szCs w:val="20"/>
                <w:color w:val="auto"/>
              </w:rPr>
            </w:pPr>
            <w:r>
              <w:rPr>
                <w:rFonts w:ascii="Arial" w:cs="Arial" w:eastAsia="Arial" w:hAnsi="Arial"/>
                <w:sz w:val="13"/>
                <w:szCs w:val="13"/>
                <w:b w:val="1"/>
                <w:bCs w:val="1"/>
                <w:color w:val="auto"/>
                <w:w w:val="96"/>
              </w:rPr>
              <w:t>(Decrease)</w:t>
            </w:r>
          </w:p>
        </w:tc>
        <w:tc>
          <w:tcPr>
            <w:tcW w:w="0" w:type="dxa"/>
            <w:vAlign w:val="bottom"/>
          </w:tcPr>
          <w:p>
            <w:pPr>
              <w:spacing w:after="0"/>
              <w:rPr>
                <w:sz w:val="1"/>
                <w:szCs w:val="1"/>
                <w:color w:val="auto"/>
              </w:rPr>
            </w:pPr>
          </w:p>
        </w:tc>
      </w:tr>
      <w:tr>
        <w:trPr>
          <w:trHeight w:val="196"/>
        </w:trPr>
        <w:tc>
          <w:tcPr>
            <w:tcW w:w="478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Segment product revenues</w:t>
            </w:r>
          </w:p>
        </w:tc>
        <w:tc>
          <w:tcPr>
            <w:tcW w:w="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574.5</w:t>
            </w:r>
          </w:p>
        </w:tc>
        <w:tc>
          <w:tcPr>
            <w:tcW w:w="1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575.6</w:t>
            </w:r>
          </w:p>
        </w:tc>
        <w:tc>
          <w:tcPr>
            <w:tcW w:w="1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rPr>
              <w:t>Segment service revenues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234.4</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210.0</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24.4</w:t>
            </w:r>
          </w:p>
        </w:tc>
        <w:tc>
          <w:tcPr>
            <w:tcW w:w="140" w:type="dxa"/>
            <w:vAlign w:val="bottom"/>
          </w:tcPr>
          <w:p>
            <w:pPr>
              <w:spacing w:after="0"/>
              <w:rPr>
                <w:sz w:val="17"/>
                <w:szCs w:val="17"/>
                <w:color w:val="auto"/>
              </w:rPr>
            </w:pPr>
          </w:p>
        </w:tc>
        <w:tc>
          <w:tcPr>
            <w:tcW w:w="12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196"/>
        </w:trPr>
        <w:tc>
          <w:tcPr>
            <w:tcW w:w="486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segment revenues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808.9</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785.5</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23.4</w:t>
            </w: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Our government systems segment revenues increased by $23.4 million due to an increase of $24.4 million in service revenues, partially offset by a $1.0 million decrease in product revenues. The service revenue increase was primarily due to increases of $13.1 million in government mobile broadband services, $12.9 million in government satellite communication systems services, $ 5.4 million in cybersecurity and information assurance services and $1.8 million in tactical satcom radio services, offset by a $7.7 million decrease in tactical data link services. The product revenue decrease was primarily driven by an $11.8 million decrease in government satellite communication systems products, a $7.9 million decrease in government mobile broadband products, a $3.9 million decrease in tactical satcom radio products and a $1.1 million decrease in cybersecurity and information assurance products. The decrease in product revenues was partially offset by an increase of $23.1 million in tactical data link products. Our government systems segment continued to show some impacts from the COVID -19 pandemic, due to complications in product manufacturing and shipments, but new government systems segment awards remained strong in the first nine months of the fiscal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4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40" w:type="dxa"/>
            <w:vAlign w:val="bottom"/>
            <w:gridSpan w:val="5"/>
          </w:tcPr>
          <w:p>
            <w:pPr>
              <w:jc w:val="right"/>
              <w:ind w:right="1060"/>
              <w:spacing w:after="0"/>
              <w:rPr>
                <w:sz w:val="20"/>
                <w:szCs w:val="20"/>
                <w:color w:val="auto"/>
              </w:rPr>
            </w:pPr>
            <w:r>
              <w:rPr>
                <w:rFonts w:ascii="Arial" w:cs="Arial" w:eastAsia="Arial" w:hAnsi="Arial"/>
                <w:sz w:val="13"/>
                <w:szCs w:val="13"/>
                <w:b w:val="1"/>
                <w:bCs w:val="1"/>
                <w:color w:val="auto"/>
              </w:rPr>
              <w:t>Nine Months Ended</w:t>
            </w:r>
          </w:p>
        </w:tc>
        <w:tc>
          <w:tcPr>
            <w:tcW w:w="140" w:type="dxa"/>
            <w:vAlign w:val="bottom"/>
          </w:tcPr>
          <w:p>
            <w:pPr>
              <w:spacing w:after="0"/>
              <w:rPr>
                <w:sz w:val="14"/>
                <w:szCs w:val="14"/>
                <w:color w:val="auto"/>
              </w:rPr>
            </w:pPr>
          </w:p>
        </w:tc>
        <w:tc>
          <w:tcPr>
            <w:tcW w:w="980" w:type="dxa"/>
            <w:vAlign w:val="bottom"/>
            <w:gridSpan w:val="2"/>
          </w:tcPr>
          <w:p>
            <w:pPr>
              <w:jc w:val="center"/>
              <w:ind w:right="170"/>
              <w:spacing w:after="0"/>
              <w:rPr>
                <w:sz w:val="20"/>
                <w:szCs w:val="20"/>
                <w:color w:val="auto"/>
              </w:rPr>
            </w:pPr>
            <w:r>
              <w:rPr>
                <w:rFonts w:ascii="Arial" w:cs="Arial" w:eastAsia="Arial" w:hAnsi="Arial"/>
                <w:sz w:val="13"/>
                <w:szCs w:val="13"/>
                <w:b w:val="1"/>
                <w:bCs w:val="1"/>
                <w:color w:val="auto"/>
                <w:w w:val="97"/>
              </w:rPr>
              <w:t>Dollar</w:t>
            </w:r>
          </w:p>
        </w:tc>
        <w:tc>
          <w:tcPr>
            <w:tcW w:w="1300" w:type="dxa"/>
            <w:vAlign w:val="bottom"/>
            <w:gridSpan w:val="2"/>
          </w:tcPr>
          <w:p>
            <w:pPr>
              <w:jc w:val="center"/>
              <w:ind w:right="250"/>
              <w:spacing w:after="0"/>
              <w:rPr>
                <w:sz w:val="20"/>
                <w:szCs w:val="20"/>
                <w:color w:val="auto"/>
              </w:rPr>
            </w:pPr>
            <w:r>
              <w:rPr>
                <w:rFonts w:ascii="Arial" w:cs="Arial" w:eastAsia="Arial" w:hAnsi="Arial"/>
                <w:sz w:val="13"/>
                <w:szCs w:val="13"/>
                <w:b w:val="1"/>
                <w:bCs w:val="1"/>
                <w:color w:val="auto"/>
                <w:w w:val="96"/>
              </w:rPr>
              <w:t>Percentage</w:t>
            </w:r>
          </w:p>
        </w:tc>
        <w:tc>
          <w:tcPr>
            <w:tcW w:w="0" w:type="dxa"/>
            <w:vAlign w:val="bottom"/>
          </w:tcPr>
          <w:p>
            <w:pPr>
              <w:spacing w:after="0"/>
              <w:rPr>
                <w:sz w:val="1"/>
                <w:szCs w:val="1"/>
                <w:color w:val="auto"/>
              </w:rPr>
            </w:pPr>
          </w:p>
        </w:tc>
      </w:tr>
      <w:tr>
        <w:trPr>
          <w:trHeight w:val="102"/>
        </w:trPr>
        <w:tc>
          <w:tcPr>
            <w:tcW w:w="46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millions, except percentages)</w:t>
            </w:r>
          </w:p>
        </w:tc>
        <w:tc>
          <w:tcPr>
            <w:tcW w:w="160" w:type="dxa"/>
            <w:vAlign w:val="bottom"/>
            <w:tcBorders>
              <w:top w:val="single" w:sz="8" w:color="auto"/>
            </w:tcBorders>
          </w:tcPr>
          <w:p>
            <w:pPr>
              <w:spacing w:after="0"/>
              <w:rPr>
                <w:sz w:val="8"/>
                <w:szCs w:val="8"/>
                <w:color w:val="auto"/>
              </w:rPr>
            </w:pPr>
          </w:p>
        </w:tc>
        <w:tc>
          <w:tcPr>
            <w:tcW w:w="1360" w:type="dxa"/>
            <w:vAlign w:val="bottom"/>
            <w:tcBorders>
              <w:top w:val="single" w:sz="8" w:color="auto"/>
            </w:tcBorders>
            <w:gridSpan w:val="2"/>
          </w:tcPr>
          <w:p>
            <w:pPr>
              <w:jc w:val="right"/>
              <w:ind w:right="520"/>
              <w:spacing w:after="0" w:line="102" w:lineRule="exact"/>
              <w:rPr>
                <w:sz w:val="20"/>
                <w:szCs w:val="20"/>
                <w:color w:val="auto"/>
              </w:rPr>
            </w:pPr>
            <w:r>
              <w:rPr>
                <w:rFonts w:ascii="Arial" w:cs="Arial" w:eastAsia="Arial" w:hAnsi="Arial"/>
                <w:sz w:val="10"/>
                <w:szCs w:val="10"/>
                <w:b w:val="1"/>
                <w:bCs w:val="1"/>
                <w:color w:val="auto"/>
              </w:rPr>
              <w:t>December 31,</w:t>
            </w:r>
          </w:p>
        </w:tc>
        <w:tc>
          <w:tcPr>
            <w:tcW w:w="14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jc w:val="right"/>
              <w:ind w:right="126"/>
              <w:spacing w:after="0" w:line="102" w:lineRule="exact"/>
              <w:rPr>
                <w:sz w:val="20"/>
                <w:szCs w:val="20"/>
                <w:color w:val="auto"/>
              </w:rPr>
            </w:pPr>
            <w:r>
              <w:rPr>
                <w:rFonts w:ascii="Arial" w:cs="Arial" w:eastAsia="Arial" w:hAnsi="Arial"/>
                <w:sz w:val="10"/>
                <w:szCs w:val="10"/>
                <w:b w:val="1"/>
                <w:bCs w:val="1"/>
                <w:color w:val="auto"/>
              </w:rPr>
              <w:t>December 31,</w:t>
            </w: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tcPr>
          <w:p>
            <w:pPr>
              <w:jc w:val="center"/>
              <w:ind w:right="170"/>
              <w:spacing w:after="0" w:line="102" w:lineRule="exact"/>
              <w:rPr>
                <w:sz w:val="20"/>
                <w:szCs w:val="20"/>
                <w:color w:val="auto"/>
              </w:rPr>
            </w:pPr>
            <w:r>
              <w:rPr>
                <w:rFonts w:ascii="Arial" w:cs="Arial" w:eastAsia="Arial" w:hAnsi="Arial"/>
                <w:sz w:val="10"/>
                <w:szCs w:val="10"/>
                <w:b w:val="1"/>
                <w:bCs w:val="1"/>
                <w:color w:val="auto"/>
              </w:rPr>
              <w:t>Increase</w:t>
            </w:r>
          </w:p>
        </w:tc>
        <w:tc>
          <w:tcPr>
            <w:tcW w:w="1300" w:type="dxa"/>
            <w:vAlign w:val="bottom"/>
            <w:gridSpan w:val="2"/>
          </w:tcPr>
          <w:p>
            <w:pPr>
              <w:jc w:val="center"/>
              <w:ind w:right="250"/>
              <w:spacing w:after="0" w:line="102" w:lineRule="exact"/>
              <w:rPr>
                <w:sz w:val="20"/>
                <w:szCs w:val="20"/>
                <w:color w:val="auto"/>
              </w:rPr>
            </w:pPr>
            <w:r>
              <w:rPr>
                <w:rFonts w:ascii="Arial" w:cs="Arial" w:eastAsia="Arial" w:hAnsi="Arial"/>
                <w:sz w:val="10"/>
                <w:szCs w:val="10"/>
                <w:b w:val="1"/>
                <w:bCs w:val="1"/>
                <w:color w:val="auto"/>
              </w:rPr>
              <w:t>Increase</w:t>
            </w:r>
          </w:p>
        </w:tc>
        <w:tc>
          <w:tcPr>
            <w:tcW w:w="0" w:type="dxa"/>
            <w:vAlign w:val="bottom"/>
          </w:tcPr>
          <w:p>
            <w:pPr>
              <w:spacing w:after="0"/>
              <w:rPr>
                <w:sz w:val="1"/>
                <w:szCs w:val="1"/>
                <w:color w:val="auto"/>
              </w:rPr>
            </w:pPr>
          </w:p>
        </w:tc>
      </w:tr>
      <w:tr>
        <w:trPr>
          <w:trHeight w:val="162"/>
        </w:trPr>
        <w:tc>
          <w:tcPr>
            <w:tcW w:w="4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388"/>
              <w:spacing w:after="0"/>
              <w:rPr>
                <w:sz w:val="20"/>
                <w:szCs w:val="20"/>
                <w:color w:val="auto"/>
              </w:rPr>
            </w:pPr>
            <w:r>
              <w:rPr>
                <w:rFonts w:ascii="Arial" w:cs="Arial" w:eastAsia="Arial" w:hAnsi="Arial"/>
                <w:sz w:val="13"/>
                <w:szCs w:val="13"/>
                <w:b w:val="1"/>
                <w:bCs w:val="1"/>
                <w:color w:val="auto"/>
              </w:rPr>
              <w:t>2021</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386"/>
              <w:spacing w:after="0"/>
              <w:rPr>
                <w:sz w:val="20"/>
                <w:szCs w:val="20"/>
                <w:color w:val="auto"/>
              </w:rPr>
            </w:pPr>
            <w:r>
              <w:rPr>
                <w:rFonts w:ascii="Arial" w:cs="Arial" w:eastAsia="Arial" w:hAnsi="Arial"/>
                <w:sz w:val="13"/>
                <w:szCs w:val="13"/>
                <w:b w:val="1"/>
                <w:bCs w:val="1"/>
                <w:color w:val="auto"/>
              </w:rPr>
              <w:t>2020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170"/>
              <w:spacing w:after="0"/>
              <w:rPr>
                <w:sz w:val="20"/>
                <w:szCs w:val="20"/>
                <w:color w:val="auto"/>
              </w:rPr>
            </w:pPr>
            <w:r>
              <w:rPr>
                <w:rFonts w:ascii="Arial" w:cs="Arial" w:eastAsia="Arial" w:hAnsi="Arial"/>
                <w:sz w:val="13"/>
                <w:szCs w:val="13"/>
                <w:b w:val="1"/>
                <w:bCs w:val="1"/>
                <w:color w:val="auto"/>
                <w:w w:val="96"/>
              </w:rPr>
              <w:t>(Decrease)</w:t>
            </w:r>
          </w:p>
        </w:tc>
        <w:tc>
          <w:tcPr>
            <w:tcW w:w="1300" w:type="dxa"/>
            <w:vAlign w:val="bottom"/>
            <w:gridSpan w:val="2"/>
          </w:tcPr>
          <w:p>
            <w:pPr>
              <w:jc w:val="center"/>
              <w:ind w:right="250"/>
              <w:spacing w:after="0"/>
              <w:rPr>
                <w:sz w:val="20"/>
                <w:szCs w:val="20"/>
                <w:color w:val="auto"/>
              </w:rPr>
            </w:pPr>
            <w:r>
              <w:rPr>
                <w:rFonts w:ascii="Arial" w:cs="Arial" w:eastAsia="Arial" w:hAnsi="Arial"/>
                <w:sz w:val="13"/>
                <w:szCs w:val="13"/>
                <w:b w:val="1"/>
                <w:bCs w:val="1"/>
                <w:color w:val="auto"/>
                <w:w w:val="96"/>
              </w:rPr>
              <w:t>(Decrease)</w:t>
            </w:r>
          </w:p>
        </w:tc>
        <w:tc>
          <w:tcPr>
            <w:tcW w:w="0" w:type="dxa"/>
            <w:vAlign w:val="bottom"/>
          </w:tcPr>
          <w:p>
            <w:pPr>
              <w:spacing w:after="0"/>
              <w:rPr>
                <w:sz w:val="1"/>
                <w:szCs w:val="1"/>
                <w:color w:val="auto"/>
              </w:rPr>
            </w:pPr>
          </w:p>
        </w:tc>
      </w:tr>
      <w:tr>
        <w:trPr>
          <w:trHeight w:val="196"/>
        </w:trPr>
        <w:tc>
          <w:tcPr>
            <w:tcW w:w="462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Segment operating profit</w:t>
            </w:r>
          </w:p>
        </w:tc>
        <w:tc>
          <w:tcPr>
            <w:tcW w:w="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133.9</w:t>
            </w:r>
          </w:p>
        </w:tc>
        <w:tc>
          <w:tcPr>
            <w:tcW w:w="3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148.0</w:t>
            </w:r>
          </w:p>
        </w:tc>
        <w:tc>
          <w:tcPr>
            <w:tcW w:w="2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(14.1</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w:t>
            </w:r>
          </w:p>
        </w:tc>
        <w:tc>
          <w:tcPr>
            <w:tcW w:w="3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17"/>
        </w:trPr>
        <w:tc>
          <w:tcPr>
            <w:tcW w:w="46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17 %</w:t>
            </w: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19 %</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The $14.1 million decrease in our government systems segment operating profit was driven by a $25.2 million increase in SG&amp;A costs and an $11.1 million increase in IR&amp;D investments. The decrease in operating profit was partially offset by higher earnings contributions of $22.1 million, primarily due to an increase in revenues in our tactical data link products and government satellite communication systems services.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9"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Backlog</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reflected in the table below, our overall firm and funded backlog decreased during the first nine months of fiscal year 2022.</w:t>
      </w:r>
    </w:p>
    <w:p>
      <w:pPr>
        <w:spacing w:after="0" w:line="130" w:lineRule="exact"/>
        <w:rPr>
          <w:sz w:val="20"/>
          <w:szCs w:val="20"/>
          <w:color w:val="auto"/>
        </w:rPr>
      </w:pPr>
    </w:p>
    <w:tbl>
      <w:tblPr>
        <w:tblLayout w:type="fixed"/>
        <w:tblInd w:w="2260" w:type="dxa"/>
        <w:tblCellMar>
          <w:top w:w="0" w:type="dxa"/>
          <w:left w:w="0" w:type="dxa"/>
          <w:bottom w:w="0" w:type="dxa"/>
          <w:right w:w="0" w:type="dxa"/>
        </w:tblCellMar>
      </w:tblPr>
      <w:tr>
        <w:trPr>
          <w:trHeight w:val="149"/>
        </w:trPr>
        <w:tc>
          <w:tcPr>
            <w:tcW w:w="3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624"/>
              <w:spacing w:after="0"/>
              <w:rPr>
                <w:sz w:val="20"/>
                <w:szCs w:val="20"/>
                <w:color w:val="auto"/>
              </w:rPr>
            </w:pPr>
            <w:r>
              <w:rPr>
                <w:rFonts w:ascii="Arial" w:cs="Arial" w:eastAsia="Arial" w:hAnsi="Arial"/>
                <w:sz w:val="13"/>
                <w:szCs w:val="13"/>
                <w:b w:val="1"/>
                <w:bCs w:val="1"/>
                <w:color w:val="auto"/>
              </w:rPr>
              <w:t>As of</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right"/>
              <w:ind w:right="523"/>
              <w:spacing w:after="0"/>
              <w:rPr>
                <w:sz w:val="20"/>
                <w:szCs w:val="20"/>
                <w:color w:val="auto"/>
              </w:rPr>
            </w:pPr>
            <w:r>
              <w:rPr>
                <w:rFonts w:ascii="Arial" w:cs="Arial" w:eastAsia="Arial" w:hAnsi="Arial"/>
                <w:sz w:val="13"/>
                <w:szCs w:val="13"/>
                <w:b w:val="1"/>
                <w:bCs w:val="1"/>
                <w:color w:val="auto"/>
              </w:rPr>
              <w:t>As of</w:t>
            </w:r>
          </w:p>
        </w:tc>
        <w:tc>
          <w:tcPr>
            <w:tcW w:w="60" w:type="dxa"/>
            <w:vAlign w:val="bottom"/>
          </w:tcPr>
          <w:p>
            <w:pPr>
              <w:spacing w:after="0"/>
              <w:rPr>
                <w:sz w:val="13"/>
                <w:szCs w:val="13"/>
                <w:color w:val="auto"/>
              </w:rPr>
            </w:pPr>
          </w:p>
        </w:tc>
      </w:tr>
      <w:tr>
        <w:trPr>
          <w:trHeight w:val="162"/>
        </w:trPr>
        <w:tc>
          <w:tcPr>
            <w:tcW w:w="3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84"/>
              <w:spacing w:after="0"/>
              <w:rPr>
                <w:sz w:val="20"/>
                <w:szCs w:val="20"/>
                <w:color w:val="auto"/>
              </w:rPr>
            </w:pPr>
            <w:r>
              <w:rPr>
                <w:rFonts w:ascii="Arial" w:cs="Arial" w:eastAsia="Arial" w:hAnsi="Arial"/>
                <w:sz w:val="13"/>
                <w:szCs w:val="13"/>
                <w:b w:val="1"/>
                <w:bCs w:val="1"/>
                <w:color w:val="auto"/>
              </w:rPr>
              <w:t>December 31, 2021</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23"/>
              <w:spacing w:after="0"/>
              <w:rPr>
                <w:sz w:val="20"/>
                <w:szCs w:val="20"/>
                <w:color w:val="auto"/>
              </w:rPr>
            </w:pPr>
            <w:r>
              <w:rPr>
                <w:rFonts w:ascii="Arial" w:cs="Arial" w:eastAsia="Arial" w:hAnsi="Arial"/>
                <w:sz w:val="13"/>
                <w:szCs w:val="13"/>
                <w:b w:val="1"/>
                <w:bCs w:val="1"/>
                <w:color w:val="auto"/>
                <w:w w:val="99"/>
              </w:rPr>
              <w:t>March 31, 2021</w:t>
            </w:r>
          </w:p>
        </w:tc>
        <w:tc>
          <w:tcPr>
            <w:tcW w:w="60" w:type="dxa"/>
            <w:vAlign w:val="bottom"/>
          </w:tcPr>
          <w:p>
            <w:pPr>
              <w:spacing w:after="0"/>
              <w:rPr>
                <w:sz w:val="14"/>
                <w:szCs w:val="14"/>
                <w:color w:val="auto"/>
              </w:rPr>
            </w:pPr>
          </w:p>
        </w:tc>
      </w:tr>
      <w:tr>
        <w:trPr>
          <w:trHeight w:val="142"/>
        </w:trPr>
        <w:tc>
          <w:tcPr>
            <w:tcW w:w="3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3"/>
          </w:tcPr>
          <w:p>
            <w:pPr>
              <w:jc w:val="right"/>
              <w:ind w:right="60"/>
              <w:spacing w:after="0" w:line="142" w:lineRule="exact"/>
              <w:rPr>
                <w:sz w:val="20"/>
                <w:szCs w:val="20"/>
                <w:color w:val="auto"/>
              </w:rPr>
            </w:pPr>
            <w:r>
              <w:rPr>
                <w:rFonts w:ascii="Arial" w:cs="Arial" w:eastAsia="Arial" w:hAnsi="Arial"/>
                <w:sz w:val="13"/>
                <w:szCs w:val="13"/>
                <w:b w:val="1"/>
                <w:bCs w:val="1"/>
                <w:color w:val="auto"/>
              </w:rPr>
              <w:t>(In millions)</w:t>
            </w: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9"/>
        </w:trPr>
        <w:tc>
          <w:tcPr>
            <w:tcW w:w="33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Firm backlog</w:t>
            </w:r>
          </w:p>
        </w:tc>
        <w:tc>
          <w:tcPr>
            <w:tcW w:w="18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r>
      <w:tr>
        <w:trPr>
          <w:trHeight w:val="189"/>
        </w:trPr>
        <w:tc>
          <w:tcPr>
            <w:tcW w:w="3380" w:type="dxa"/>
            <w:vAlign w:val="bottom"/>
          </w:tcPr>
          <w:p>
            <w:pPr>
              <w:spacing w:after="0"/>
              <w:rPr>
                <w:sz w:val="20"/>
                <w:szCs w:val="20"/>
                <w:color w:val="auto"/>
              </w:rPr>
            </w:pPr>
            <w:r>
              <w:rPr>
                <w:rFonts w:ascii="Arial" w:cs="Arial" w:eastAsia="Arial" w:hAnsi="Arial"/>
                <w:sz w:val="16"/>
                <w:szCs w:val="16"/>
                <w:color w:val="auto"/>
              </w:rPr>
              <w:t>Satellite services segment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588.2</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633.7</w:t>
            </w:r>
          </w:p>
        </w:tc>
        <w:tc>
          <w:tcPr>
            <w:tcW w:w="60" w:type="dxa"/>
            <w:vAlign w:val="bottom"/>
          </w:tcPr>
          <w:p>
            <w:pPr>
              <w:spacing w:after="0"/>
              <w:rPr>
                <w:sz w:val="16"/>
                <w:szCs w:val="16"/>
                <w:color w:val="auto"/>
              </w:rPr>
            </w:pPr>
          </w:p>
        </w:tc>
      </w:tr>
      <w:tr>
        <w:trPr>
          <w:trHeight w:val="189"/>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Commercial networks segment</w:t>
            </w:r>
          </w:p>
        </w:tc>
        <w:tc>
          <w:tcPr>
            <w:tcW w:w="18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593.8</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733.2</w:t>
            </w:r>
          </w:p>
        </w:tc>
        <w:tc>
          <w:tcPr>
            <w:tcW w:w="60" w:type="dxa"/>
            <w:vAlign w:val="bottom"/>
            <w:shd w:val="clear" w:color="auto" w:fill="CFF0FC"/>
          </w:tcPr>
          <w:p>
            <w:pPr>
              <w:spacing w:after="0"/>
              <w:rPr>
                <w:sz w:val="16"/>
                <w:szCs w:val="16"/>
                <w:color w:val="auto"/>
              </w:rPr>
            </w:pPr>
          </w:p>
        </w:tc>
      </w:tr>
      <w:tr>
        <w:trPr>
          <w:trHeight w:val="189"/>
        </w:trPr>
        <w:tc>
          <w:tcPr>
            <w:tcW w:w="3380" w:type="dxa"/>
            <w:vAlign w:val="bottom"/>
          </w:tcPr>
          <w:p>
            <w:pPr>
              <w:spacing w:after="0"/>
              <w:rPr>
                <w:sz w:val="20"/>
                <w:szCs w:val="20"/>
                <w:color w:val="auto"/>
              </w:rPr>
            </w:pPr>
            <w:r>
              <w:rPr>
                <w:rFonts w:ascii="Arial" w:cs="Arial" w:eastAsia="Arial" w:hAnsi="Arial"/>
                <w:sz w:val="16"/>
                <w:szCs w:val="16"/>
                <w:color w:val="auto"/>
              </w:rPr>
              <w:t>Government systems segment</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955.7</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939.4</w:t>
            </w:r>
          </w:p>
        </w:tc>
        <w:tc>
          <w:tcPr>
            <w:tcW w:w="60" w:type="dxa"/>
            <w:vAlign w:val="bottom"/>
          </w:tcPr>
          <w:p>
            <w:pPr>
              <w:spacing w:after="0"/>
              <w:rPr>
                <w:sz w:val="16"/>
                <w:szCs w:val="16"/>
                <w:color w:val="auto"/>
              </w:rPr>
            </w:pPr>
          </w:p>
        </w:tc>
      </w:tr>
      <w:tr>
        <w:trPr>
          <w:trHeight w:val="223"/>
        </w:trPr>
        <w:tc>
          <w:tcPr>
            <w:tcW w:w="33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5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2,137.7</w:t>
            </w:r>
          </w:p>
        </w:tc>
        <w:tc>
          <w:tcPr>
            <w:tcW w:w="38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2,306.3</w:t>
            </w:r>
          </w:p>
        </w:tc>
        <w:tc>
          <w:tcPr>
            <w:tcW w:w="60" w:type="dxa"/>
            <w:vAlign w:val="bottom"/>
            <w:shd w:val="clear" w:color="auto" w:fill="CFF0FC"/>
          </w:tcPr>
          <w:p>
            <w:pPr>
              <w:spacing w:after="0"/>
              <w:rPr>
                <w:sz w:val="19"/>
                <w:szCs w:val="19"/>
                <w:color w:val="auto"/>
              </w:rPr>
            </w:pPr>
          </w:p>
        </w:tc>
      </w:tr>
      <w:tr>
        <w:trPr>
          <w:trHeight w:val="169"/>
        </w:trPr>
        <w:tc>
          <w:tcPr>
            <w:tcW w:w="338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b w:val="1"/>
                <w:bCs w:val="1"/>
                <w:color w:val="auto"/>
              </w:rPr>
              <w:t>Funded backlog</w:t>
            </w:r>
          </w:p>
        </w:tc>
        <w:tc>
          <w:tcPr>
            <w:tcW w:w="18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60" w:type="dxa"/>
            <w:vAlign w:val="bottom"/>
            <w:tcBorders>
              <w:top w:val="single" w:sz="8" w:color="CFF0FC"/>
            </w:tcBorders>
          </w:tcPr>
          <w:p>
            <w:pPr>
              <w:spacing w:after="0"/>
              <w:rPr>
                <w:sz w:val="14"/>
                <w:szCs w:val="14"/>
                <w:color w:val="auto"/>
              </w:rPr>
            </w:pPr>
          </w:p>
        </w:tc>
      </w:tr>
      <w:tr>
        <w:trPr>
          <w:trHeight w:val="189"/>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Satellite services segment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588.2</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633.7</w:t>
            </w:r>
          </w:p>
        </w:tc>
        <w:tc>
          <w:tcPr>
            <w:tcW w:w="60" w:type="dxa"/>
            <w:vAlign w:val="bottom"/>
            <w:shd w:val="clear" w:color="auto" w:fill="CFF0FC"/>
          </w:tcPr>
          <w:p>
            <w:pPr>
              <w:spacing w:after="0"/>
              <w:rPr>
                <w:sz w:val="16"/>
                <w:szCs w:val="16"/>
                <w:color w:val="auto"/>
              </w:rPr>
            </w:pPr>
          </w:p>
        </w:tc>
      </w:tr>
      <w:tr>
        <w:trPr>
          <w:trHeight w:val="189"/>
        </w:trPr>
        <w:tc>
          <w:tcPr>
            <w:tcW w:w="3380" w:type="dxa"/>
            <w:vAlign w:val="bottom"/>
          </w:tcPr>
          <w:p>
            <w:pPr>
              <w:spacing w:after="0"/>
              <w:rPr>
                <w:sz w:val="20"/>
                <w:szCs w:val="20"/>
                <w:color w:val="auto"/>
              </w:rPr>
            </w:pPr>
            <w:r>
              <w:rPr>
                <w:rFonts w:ascii="Arial" w:cs="Arial" w:eastAsia="Arial" w:hAnsi="Arial"/>
                <w:sz w:val="16"/>
                <w:szCs w:val="16"/>
                <w:color w:val="auto"/>
              </w:rPr>
              <w:t>Commercial networks segment</w:t>
            </w: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498.9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639.6</w:t>
            </w:r>
          </w:p>
        </w:tc>
        <w:tc>
          <w:tcPr>
            <w:tcW w:w="60" w:type="dxa"/>
            <w:vAlign w:val="bottom"/>
          </w:tcPr>
          <w:p>
            <w:pPr>
              <w:spacing w:after="0"/>
              <w:rPr>
                <w:sz w:val="16"/>
                <w:szCs w:val="16"/>
                <w:color w:val="auto"/>
              </w:rPr>
            </w:pPr>
          </w:p>
        </w:tc>
      </w:tr>
      <w:tr>
        <w:trPr>
          <w:trHeight w:val="189"/>
        </w:trPr>
        <w:tc>
          <w:tcPr>
            <w:tcW w:w="3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Government systems segment</w:t>
            </w:r>
          </w:p>
        </w:tc>
        <w:tc>
          <w:tcPr>
            <w:tcW w:w="18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855.4</w:t>
            </w:r>
          </w:p>
        </w:tc>
        <w:tc>
          <w:tcPr>
            <w:tcW w:w="1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846.9</w:t>
            </w:r>
          </w:p>
        </w:tc>
        <w:tc>
          <w:tcPr>
            <w:tcW w:w="60" w:type="dxa"/>
            <w:vAlign w:val="bottom"/>
            <w:tcBorders>
              <w:bottom w:val="single" w:sz="8" w:color="CFF0FC"/>
            </w:tcBorders>
            <w:shd w:val="clear" w:color="auto" w:fill="CFF0FC"/>
          </w:tcPr>
          <w:p>
            <w:pPr>
              <w:spacing w:after="0"/>
              <w:rPr>
                <w:sz w:val="16"/>
                <w:szCs w:val="16"/>
                <w:color w:val="auto"/>
              </w:rPr>
            </w:pPr>
          </w:p>
        </w:tc>
      </w:tr>
      <w:tr>
        <w:trPr>
          <w:trHeight w:val="183"/>
        </w:trPr>
        <w:tc>
          <w:tcPr>
            <w:tcW w:w="3380" w:type="dxa"/>
            <w:vAlign w:val="bottom"/>
          </w:tcPr>
          <w:p>
            <w:pPr>
              <w:spacing w:after="0" w:line="183" w:lineRule="exact"/>
              <w:rPr>
                <w:sz w:val="20"/>
                <w:szCs w:val="20"/>
                <w:color w:val="auto"/>
              </w:rPr>
            </w:pPr>
            <w:r>
              <w:rPr>
                <w:rFonts w:ascii="Arial" w:cs="Arial" w:eastAsia="Arial" w:hAnsi="Arial"/>
                <w:sz w:val="16"/>
                <w:szCs w:val="16"/>
                <w:color w:val="auto"/>
              </w:rPr>
              <w:t>Total</w:t>
            </w:r>
          </w:p>
        </w:tc>
        <w:tc>
          <w:tcPr>
            <w:tcW w:w="18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line="183" w:lineRule="exact"/>
              <w:rPr>
                <w:sz w:val="20"/>
                <w:szCs w:val="20"/>
                <w:color w:val="auto"/>
              </w:rPr>
            </w:pPr>
            <w:r>
              <w:rPr>
                <w:rFonts w:ascii="Arial" w:cs="Arial" w:eastAsia="Arial" w:hAnsi="Arial"/>
                <w:sz w:val="16"/>
                <w:szCs w:val="16"/>
                <w:color w:val="auto"/>
              </w:rPr>
              <w:t>1,942.5</w:t>
            </w:r>
          </w:p>
        </w:tc>
        <w:tc>
          <w:tcPr>
            <w:tcW w:w="38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2,120.2</w:t>
            </w:r>
          </w:p>
        </w:tc>
        <w:tc>
          <w:tcPr>
            <w:tcW w:w="60" w:type="dxa"/>
            <w:vAlign w:val="bottom"/>
          </w:tcPr>
          <w:p>
            <w:pPr>
              <w:spacing w:after="0"/>
              <w:rPr>
                <w:sz w:val="15"/>
                <w:szCs w:val="15"/>
                <w:color w:val="auto"/>
              </w:rPr>
            </w:pPr>
          </w:p>
        </w:tc>
      </w:tr>
      <w:tr>
        <w:trPr>
          <w:trHeight w:val="20"/>
        </w:trPr>
        <w:tc>
          <w:tcPr>
            <w:tcW w:w="3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-659130</wp:posOffset>
            </wp:positionV>
            <wp:extent cx="431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-642620</wp:posOffset>
            </wp:positionV>
            <wp:extent cx="431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-659130</wp:posOffset>
            </wp:positionV>
            <wp:extent cx="342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-642620</wp:posOffset>
            </wp:positionV>
            <wp:extent cx="342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-150495</wp:posOffset>
            </wp:positionV>
            <wp:extent cx="4318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-150495</wp:posOffset>
            </wp:positionV>
            <wp:extent cx="34290"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41" w:lineRule="exact"/>
        <w:rPr>
          <w:sz w:val="20"/>
          <w:szCs w:val="20"/>
          <w:color w:val="auto"/>
        </w:rPr>
      </w:pPr>
    </w:p>
    <w:p>
      <w:pPr>
        <w:ind w:right="20" w:firstLine="509"/>
        <w:spacing w:after="0" w:line="235" w:lineRule="auto"/>
        <w:rPr>
          <w:sz w:val="20"/>
          <w:szCs w:val="20"/>
          <w:color w:val="auto"/>
        </w:rPr>
      </w:pPr>
      <w:r>
        <w:rPr>
          <w:rFonts w:ascii="Arial" w:cs="Arial" w:eastAsia="Arial" w:hAnsi="Arial"/>
          <w:sz w:val="18"/>
          <w:szCs w:val="18"/>
          <w:color w:val="auto"/>
        </w:rPr>
        <w:t>The firm backlog does not include contract options. Of the $2.1 billion in firm backlog, a little over half is expected to be delivered during the next 12 months, with the balance delivered thereafter. We include in our backlog only those orders for which we have accepted purchase orders, and not anticipated purchase orders and requests. In our satellite services segment, our backlog includes fixed broadband service revenues under our subscriber agreements, but does not include future recurring IFC service revenues under our agreements with commercial airlines. As of December 31, 2021, our IFC systems were installed and in service on approximately 1,880 commercial aircraft, of which, due to impacts of the COVID-19 pandemic, approximately 80 were inactive at quarter end. While current global airline traffic is still a fraction of the activity in fiscal year 2020, domestic airline traffic continued to show signs of improvement. As a result, our in-flight services business showed modest improvement in the three months ended December 31, 2021, with increased planes in service and passenger volumes. We expect the negative impact on our IFC business from the COVID-19 pandemic to continue through the remainder of fiscal year 2022 and potentially beyond due to the severe decline in global air traffic and associated grounding of installed aircraft, but to lessen over time with increases in passenger air traffic. We anticipate that approximately 860 additional commercial aircraft under existing customer agreements with commercial airlines will be put into service with our IFC systems. However, the timing of installation and entry into service of IFC systems on additional aircraft under existing customer agreements may be delayed as a result of the impact of the COVID-19 pandemic on the global airline industry. Accordingly, there can be no assurance that all anticipated purchase orders and requests will be placed or that anticipated IFC services will be activated.</w:t>
      </w:r>
    </w:p>
    <w:p>
      <w:pPr>
        <w:spacing w:after="0" w:line="15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total new awards exclude future revenue under recurring consumer commitment arrangements and were approximately $568.9 million and $2.0 billion for the three and nine months ended December 31, 2021, respectively, compared to approximately $643.4 million and $2.1 billion for the three and nine months ended December 31, 2020, respectively.</w:t>
      </w:r>
    </w:p>
    <w:p>
      <w:pPr>
        <w:spacing w:after="0" w:line="149"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5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9"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We have financed our operations to date primarily with cash flows from operations, bank line of credit financing, debt financing, export credit agency financing and equity financing. At December 31, 2021, we had $166.0 million in cash and cash equivalents, $241.2 million in working capital, and $370.0 million in principal amount of outstanding borrowings and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54" w:name="page55"/>
    <w:bookmarkEnd w:id="54"/>
    <w:p>
      <w:pPr>
        <w:spacing w:after="0" w:line="237" w:lineRule="auto"/>
        <w:rPr>
          <w:sz w:val="20"/>
          <w:szCs w:val="20"/>
          <w:color w:val="auto"/>
        </w:rPr>
      </w:pPr>
      <w:r>
        <w:rPr>
          <w:rFonts w:ascii="Arial" w:cs="Arial" w:eastAsia="Arial" w:hAnsi="Arial"/>
          <w:sz w:val="18"/>
          <w:szCs w:val="18"/>
          <w:color w:val="auto"/>
        </w:rPr>
        <w:t>borrowing availability of $271.1 million under our Revolving Credit Facility. At March 31, 2021, we had $ 295.9 million in cash and cash equivalents, $282.8 million in working capital, and no outstanding borrowings and borrowing availability of $673.7 million under our Revolving Credit Facility. During the second quarter of fiscal year 2021, we issued and sold an aggregate of 4,474,559 shares of our common stock at a purchase price of $39.11 per share to certain accredited investors in a private placement transaction exempt from registration under the Securities Act of 1933, as amended, resulting in net proceeds of approximately $174.7 million after deducting offering expenses. We invest our cash in excess of current operating requirements in short-term, highly liquid bank money market accounts.</w:t>
      </w:r>
    </w:p>
    <w:p>
      <w:pPr>
        <w:spacing w:after="0" w:line="151"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 xml:space="preserve">In connection with the Inmarsat Transaction, we have obtained financing commitments for $2.3 billion of new debt facilities (which may be secured and/or unsecured), a portion of which is to be raised between the signing and closing of the Inmarsat Transaction to fund our standalone growth expenditures. We currently anticipate incurring $700.0 million of such additional debt facilities in the form of term loan borrowings that would be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borrowings under our Revolving Credit Facility and the 2027 Notes, with the remainder incurred as unsecured indebtedness. However, the total amount and mix of indebtedness incurred under these commitments may change, including in the event available cash from other sources is higher than expected. We also plan to assume $2.1 billion in principal amount of Inmarsat senior secured bonds and the outstanding indebtedness under Inmarsat’s $2.4 billion senior secured credit facilities. We had also obtained commitments of $3.2 billion to backstop certain amendments required under the Revolving Credit Facility and Ex-Im Credit Facility and Inmarsat’s $2.4 billion senior secured credit facilities, which amendments had been obtained under the Revolving Credit Facility and Inmarsat’s $2.4 billion senior secured credit facilities as of the date of this report.</w:t>
      </w:r>
    </w:p>
    <w:p>
      <w:pPr>
        <w:spacing w:after="0" w:line="152" w:lineRule="exact"/>
        <w:rPr>
          <w:sz w:val="20"/>
          <w:szCs w:val="20"/>
          <w:color w:val="auto"/>
        </w:rPr>
      </w:pPr>
    </w:p>
    <w:p>
      <w:pPr>
        <w:ind w:right="420" w:firstLine="509"/>
        <w:spacing w:after="0" w:line="238"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our satellite projects and any future broadband satellite projects we may engage in, expansion of our R&amp;D and marketing efforts, and the nature and timing of orders. Additionally, we will continue to evaluate other possible acquisitions of, or investments in complementary businesses, products and technologies which may require the use of cash or additional financing.</w:t>
      </w:r>
    </w:p>
    <w:p>
      <w:pPr>
        <w:spacing w:after="0" w:line="151" w:lineRule="exact"/>
        <w:rPr>
          <w:sz w:val="20"/>
          <w:szCs w:val="20"/>
          <w:color w:val="auto"/>
        </w:rPr>
      </w:pPr>
    </w:p>
    <w:p>
      <w:pPr>
        <w:ind w:right="100" w:firstLine="509"/>
        <w:spacing w:after="0" w:line="236" w:lineRule="auto"/>
        <w:rPr>
          <w:sz w:val="20"/>
          <w:szCs w:val="20"/>
          <w:color w:val="auto"/>
        </w:rPr>
      </w:pPr>
      <w:r>
        <w:rPr>
          <w:rFonts w:ascii="Arial" w:cs="Arial" w:eastAsia="Arial" w:hAnsi="Arial"/>
          <w:sz w:val="18"/>
          <w:szCs w:val="18"/>
          <w:color w:val="auto"/>
        </w:rPr>
        <w:t>The general cash needs of our satellite services, commercial networks and government systems segments can vary significantly. The cash needs of our satellite services segment tend to be driven by the timing and amount of capital expenditures (e.g., payments under satellite construction and launch contracts and investments in ground infrastructure roll-out), investments in joint ventures, strategic partnering arrangements and network expansion activities, as well as the quality of customer, type of contract and payment terms. In our commercial networks segment, cash needs tend to be driven primarily by the type and mix of contracts in backlog, the nature and quality of customers, the timing and amount of investments in IR&amp;D activities (including with respect to next-generation satellite payload technologies) and the payment terms of customers (including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50"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From time to time, we file universal shelf registration statements with the SEC for the future sale of an unlimited amount of common stock, preferred stock, debt securities, depositary shares, warrants and rights, which securities may be offered from time to time, separately or together, directly by us, by selling security holders, or through underwriters, dealers or agents at amounts, prices, interest rates and other terms to be determined at the time of the offering.</w:t>
      </w:r>
    </w:p>
    <w:p>
      <w:pPr>
        <w:spacing w:after="0" w:line="149" w:lineRule="exact"/>
        <w:rPr>
          <w:sz w:val="20"/>
          <w:szCs w:val="20"/>
          <w:color w:val="auto"/>
        </w:rPr>
      </w:pPr>
    </w:p>
    <w:p>
      <w:pPr>
        <w:ind w:right="100" w:firstLine="509"/>
        <w:spacing w:after="0" w:line="236" w:lineRule="auto"/>
        <w:rPr>
          <w:sz w:val="20"/>
          <w:szCs w:val="20"/>
          <w:color w:val="auto"/>
        </w:rPr>
      </w:pPr>
      <w:r>
        <w:rPr>
          <w:rFonts w:ascii="Arial" w:cs="Arial" w:eastAsia="Arial" w:hAnsi="Arial"/>
          <w:sz w:val="18"/>
          <w:szCs w:val="18"/>
          <w:color w:val="auto"/>
        </w:rPr>
        <w:t>To date, COVID-19 has not had a significant impact on our liquidity, cash flows or capital resources. However, we have taken measures to mitigate the impact of COVID-19 on our business and financial position, including deferring certain capital expenditures, reducing discretionary expenditures and undertaking cost-reduction actions. Given our current cash position, outlook for funds generated from operations, remaining borrowing availability under our Revolving Credit Facility of $ 271.1 million, cash needs, debt structure and financing commitments related to the Inmarsat Transaction, we have not experienced to date, and do not expect to experience, any material issues with liquidity. Although we can give no assurances concerning our future liquidity, we believe that our current cash balances and net cash expected to be provided by operating activities along with availability under our Revolving Credit Facility will be sufficient to meet our anticipated operating requirements for at least the next 12 months.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9"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Cash provided by operating activities for the first nine months of fiscal year 2022 was $386.4 million compared to $557.4 million in the prior year period. This $171.0 million decrease was primarily driven by a $262.6 million year-over-year increase in cash used to fund net operating assets, partially offset by our operating results (net income adjusted for depreciation, amortization and other non-cash charges) which resulted in $91.6 million of higher cash provided by operating activities year-over-year. The increase in cash used to fund net operating assets during the first nine months of fiscal year 2022 when compared to the prior year period was primarily due to a decrease in cash inflows year-over-year from combined billed and unbilled accounts receivable, net, primarily attributable to increased billings for IFC terminals in our commercial networks segment and a decrease in cash inflows year-over-year from our collections in excess of revenues and deferred revenues included in accrued liabilities primarily due to the timing of milestone billings for certain larger development projects in our commercial networks segment.</w:t>
      </w:r>
    </w:p>
    <w:p>
      <w:pPr>
        <w:spacing w:after="0" w:line="153"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Cash used in investing activities for the first nine months of fiscal year 2022 was $850.9 million compared to $ 702.8 million in the prior year period. This $148.1 million increase in cash used in investing activities year-over-year reflects $138.7 million in cash used for the RigNet and EBI acquisitions in the first quarter of fiscal year 2022 and a remaining increase of approximately $10.3 million mainly related to cash used for the construction of earth stations and network operation systems.</w:t>
      </w:r>
    </w:p>
    <w:p>
      <w:pPr>
        <w:spacing w:after="0" w:line="151"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Cash provided by financing activities for the first nine months of fiscal year 2022 was $338.3 million compared to $156.9 million for the prior year period. This $181.4 million increase in cash provided by financing activities year-over-year was mainly due to a decrease in payments of debt borrowings of $320.0 million year-over-year, partially offset by $174.7 million in net proceeds from a private placement of common stock in the second quarter of fiscal year 2021 (after deducting offering expenses).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In connection with the development of any new generation satellite design, and the launch of any new satellite and the commencement of the related service, we expect to incur additional operating costs that negatively impact our financial results. For example, when ViaSat-2 was placed in service in the fourth quarter of fiscal year 2018, this resulted in additional operating costs in our satellite services segment during the ramp-up period prior to service launch and in the fiscal year following service launch. These increased operating costs included depreciation, amortization of capitalized software development, earth station connectivity, marketing and advertising costs, logistics, customer care and various support systems. In addition, interest expense increased during fiscal year 2019 as we no longer capitalized the interest expense relating to the debt incurred for the construction of ViaSat-2 and the related gateway and networking equipment once the satellite was in service. As services using the new satellite scaled, however, our revenue base for broadband services expanded and we gained operating cost efficiencies, which together yielded incremental segment earnings contributions. We anticipate that we will incur a similar cycle of increased operating costs as we prepare for and launch commercial services on future satellites, including our ViaSat-3 constellation, followed by increases in revenue base and in scale. However, there can be no assurance that we will be successful in significantly increasing revenues or achieving or maintaining operating profit in our satellite services segment, and any such gains may also be offset by investments in our global business.</w:t>
      </w:r>
    </w:p>
    <w:p>
      <w:pPr>
        <w:spacing w:after="0" w:line="149" w:lineRule="exact"/>
        <w:rPr>
          <w:sz w:val="20"/>
          <w:szCs w:val="20"/>
          <w:color w:val="auto"/>
        </w:rPr>
      </w:pPr>
    </w:p>
    <w:p>
      <w:pPr>
        <w:ind w:right="120" w:firstLine="509"/>
        <w:spacing w:after="0" w:line="236" w:lineRule="auto"/>
        <w:rPr>
          <w:sz w:val="20"/>
          <w:szCs w:val="20"/>
          <w:color w:val="auto"/>
        </w:rPr>
      </w:pPr>
      <w:r>
        <w:rPr>
          <w:rFonts w:ascii="Arial" w:cs="Arial" w:eastAsia="Arial" w:hAnsi="Arial"/>
          <w:sz w:val="18"/>
          <w:szCs w:val="18"/>
          <w:color w:val="auto"/>
        </w:rPr>
        <w:t>We currently have three ViaSat-3 class satellites under construction. We have entered into satellite construction agreements with Boeing for their construction and purchase and the integration of our payload and technologies into the satellites. We are targeting to launch the first ViaSat-3 class satellite in late summer 2022, although the actual launch date will be dependent on the completion of deliverables by our contract manufacturers, subcontractors, and other third-party service providers, available launch windows and other variables. In addition, we have entered into various other satellite-related purchase commitments, including with respect to the provision of launch services, satellite operation and satellite insurance. See Note 12 – Commitments to our consolidated financial statements included in our Annual Report on Form 10-K for the year ended March 31, 2021 for information regarding our future minimum payments under our satellite construction contracts and other satellite-related purchase commitments for the next five fiscal years and thereafter. In addition, we will continue to incur costs related to the roll-out of related earth station infrastructure to support the ViaSat-3 constellation, the amount of which will depend, among other matters, on the timing of roll-out and method used to procure fiber access. We believe we have adequate sources of funding for the ViaSat-3 constellation, which include, but are not limited to, our cash on hand, borrowing capacity and the cash we expect to generate from operations over the next few years. Our total cash funding may be reduced through various third-party agreements, including potential joint service offerings and other strategic partnering arrangements.</w:t>
      </w:r>
    </w:p>
    <w:p>
      <w:pPr>
        <w:spacing w:after="0" w:line="149" w:lineRule="exact"/>
        <w:rPr>
          <w:sz w:val="20"/>
          <w:szCs w:val="20"/>
          <w:color w:val="auto"/>
        </w:rPr>
      </w:pPr>
    </w:p>
    <w:p>
      <w:pPr>
        <w:ind w:right="460" w:firstLine="509"/>
        <w:spacing w:after="0" w:line="246" w:lineRule="auto"/>
        <w:rPr>
          <w:sz w:val="20"/>
          <w:szCs w:val="20"/>
          <w:color w:val="auto"/>
        </w:rPr>
      </w:pPr>
      <w:r>
        <w:rPr>
          <w:rFonts w:ascii="Arial" w:cs="Arial" w:eastAsia="Arial" w:hAnsi="Arial"/>
          <w:sz w:val="18"/>
          <w:szCs w:val="18"/>
          <w:color w:val="auto"/>
        </w:rPr>
        <w:t>Our IR&amp;D investments are expected to continue through the remainder of fiscal year 2022 and beyond relating to next-generation satellite network solutions and support of our government and commercial air mobility businesses. We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56" w:name="page57"/>
    <w:bookmarkEnd w:id="56"/>
    <w:p>
      <w:pPr>
        <w:ind w:right="40"/>
        <w:spacing w:after="0" w:line="237" w:lineRule="auto"/>
        <w:rPr>
          <w:sz w:val="20"/>
          <w:szCs w:val="20"/>
          <w:color w:val="auto"/>
        </w:rPr>
      </w:pPr>
      <w:r>
        <w:rPr>
          <w:rFonts w:ascii="Arial" w:cs="Arial" w:eastAsia="Arial" w:hAnsi="Arial"/>
          <w:sz w:val="18"/>
          <w:szCs w:val="18"/>
          <w:color w:val="auto"/>
        </w:rPr>
        <w:t>expect to continue to invest in IR&amp;D at a significant level as we continue our focus on leadership and innovation in satellite and space technologies. However, the level of investment in a given fiscal year will depend on a variety of factors, including the stage of development of our satellite projects, new market opportunities and our overall operating performance. Our total capital expenditures in fiscal year 2022 are expected to be higher than fiscal year 2021, in light of the lead up to the launch of the first ViaSat-3 satellite and as we continue to invest in the second and third ViaSat-3 satellites, as well as increased ground network investments related to international expansion and initial expenditures on our ViaSat-4 satellite program.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85"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As of December 31, 2021, the aggregate principal amount of our total outstanding indebtedness was $ 2.2 billion, which was comprised of $700.0 million in principal amount of 2025 Notes, $600.0 million in principal amount of 2027 Notes, $400.0 million in principal amount of 2028 Notes (together with the 2025 Notes and 2027 Notes, the Notes), $370.0 million in principal amount of outstanding borrowings under our $700.0 million Revolving Credit Facility, $78.6 million in principal amount of outstanding borrowings under our Ex-Im Credit Facility with a maturity date of October 15, 2025 (together with the Revolving Credit Facility, the Credit Facilities) and $48.2 million of finance lease obligations. For information regarding our Credit Facilities and Notes, refer to Note 6 – Senior Notes and Other Long-Term Debt to our condensed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obligations at December 31, 2021: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For the</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6"/>
              </w:rPr>
              <w:t>Remainder of</w:t>
            </w:r>
          </w:p>
        </w:tc>
        <w:tc>
          <w:tcPr>
            <w:tcW w:w="160" w:type="dxa"/>
            <w:vAlign w:val="bottom"/>
          </w:tcPr>
          <w:p>
            <w:pPr>
              <w:spacing w:after="0"/>
              <w:rPr>
                <w:sz w:val="10"/>
                <w:szCs w:val="10"/>
                <w:color w:val="auto"/>
              </w:rPr>
            </w:pPr>
          </w:p>
        </w:tc>
        <w:tc>
          <w:tcPr>
            <w:tcW w:w="2480" w:type="dxa"/>
            <w:vAlign w:val="bottom"/>
            <w:gridSpan w:val="6"/>
            <w:vMerge w:val="restart"/>
          </w:tcPr>
          <w:p>
            <w:pPr>
              <w:jc w:val="right"/>
              <w:ind w:right="60"/>
              <w:spacing w:after="0"/>
              <w:rPr>
                <w:sz w:val="20"/>
                <w:szCs w:val="20"/>
                <w:color w:val="auto"/>
              </w:rPr>
            </w:pPr>
            <w:r>
              <w:rPr>
                <w:rFonts w:ascii="Arial" w:cs="Arial" w:eastAsia="Arial" w:hAnsi="Arial"/>
                <w:sz w:val="13"/>
                <w:szCs w:val="13"/>
                <w:b w:val="1"/>
                <w:bCs w:val="1"/>
                <w:color w:val="auto"/>
              </w:rPr>
              <w:t>For the Fiscal Years Ending</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Fiscal Year</w:t>
            </w:r>
          </w:p>
        </w:tc>
        <w:tc>
          <w:tcPr>
            <w:tcW w:w="16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6"/>
            <w:vMerge w:val="continue"/>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(In thousands, including interest where applicable)</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9"/>
              <w:spacing w:after="0" w:line="142" w:lineRule="exact"/>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31"/>
              <w:spacing w:after="0" w:line="142" w:lineRule="exact"/>
              <w:rPr>
                <w:sz w:val="20"/>
                <w:szCs w:val="20"/>
                <w:color w:val="auto"/>
              </w:rPr>
            </w:pPr>
            <w:r>
              <w:rPr>
                <w:rFonts w:ascii="Arial" w:cs="Arial" w:eastAsia="Arial" w:hAnsi="Arial"/>
                <w:sz w:val="13"/>
                <w:szCs w:val="13"/>
                <w:b w:val="1"/>
                <w:bCs w:val="1"/>
                <w:color w:val="auto"/>
                <w:w w:val="96"/>
              </w:rPr>
              <w:t>2022</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50"/>
              <w:spacing w:after="0" w:line="142" w:lineRule="exact"/>
              <w:rPr>
                <w:sz w:val="20"/>
                <w:szCs w:val="20"/>
                <w:color w:val="auto"/>
              </w:rPr>
            </w:pPr>
            <w:r>
              <w:rPr>
                <w:rFonts w:ascii="Arial" w:cs="Arial" w:eastAsia="Arial" w:hAnsi="Arial"/>
                <w:sz w:val="13"/>
                <w:szCs w:val="13"/>
                <w:b w:val="1"/>
                <w:bCs w:val="1"/>
                <w:color w:val="auto"/>
              </w:rPr>
              <w:t>2023-2024</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69"/>
              <w:spacing w:after="0" w:line="142" w:lineRule="exact"/>
              <w:rPr>
                <w:sz w:val="20"/>
                <w:szCs w:val="20"/>
                <w:color w:val="auto"/>
              </w:rPr>
            </w:pPr>
            <w:r>
              <w:rPr>
                <w:rFonts w:ascii="Arial" w:cs="Arial" w:eastAsia="Arial" w:hAnsi="Arial"/>
                <w:sz w:val="13"/>
                <w:szCs w:val="13"/>
                <w:b w:val="1"/>
                <w:bCs w:val="1"/>
                <w:color w:val="auto"/>
              </w:rPr>
              <w:t>2025-2026</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49"/>
              <w:spacing w:after="0" w:line="142" w:lineRule="exact"/>
              <w:rPr>
                <w:sz w:val="20"/>
                <w:szCs w:val="20"/>
                <w:color w:val="auto"/>
              </w:rPr>
            </w:pPr>
            <w:r>
              <w:rPr>
                <w:rFonts w:ascii="Arial" w:cs="Arial" w:eastAsia="Arial" w:hAnsi="Arial"/>
                <w:sz w:val="13"/>
                <w:szCs w:val="13"/>
                <w:b w:val="1"/>
                <w:bCs w:val="1"/>
                <w:color w:val="auto"/>
              </w:rPr>
              <w:t>Thereafter</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9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leases</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446,623</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16,925</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137,641</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125,142</w:t>
            </w: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166,915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980" w:type="dxa"/>
            <w:vAlign w:val="bottom"/>
          </w:tcPr>
          <w:p>
            <w:pPr>
              <w:ind w:left="20"/>
              <w:spacing w:after="0"/>
              <w:rPr>
                <w:sz w:val="20"/>
                <w:szCs w:val="20"/>
                <w:color w:val="auto"/>
              </w:rPr>
            </w:pPr>
            <w:r>
              <w:rPr>
                <w:rFonts w:ascii="Arial" w:cs="Arial" w:eastAsia="Arial" w:hAnsi="Arial"/>
                <w:sz w:val="14"/>
                <w:szCs w:val="14"/>
                <w:color w:val="auto"/>
              </w:rPr>
              <w:t>Finance leases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54,362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3,111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24,251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24,000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8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2028 Notes</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582,000</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13,000</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52,000</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52,000</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465,000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tcPr>
          <w:p>
            <w:pPr>
              <w:ind w:left="20"/>
              <w:spacing w:after="0"/>
              <w:rPr>
                <w:sz w:val="20"/>
                <w:szCs w:val="20"/>
                <w:color w:val="auto"/>
              </w:rPr>
            </w:pPr>
            <w:r>
              <w:rPr>
                <w:rFonts w:ascii="Arial" w:cs="Arial" w:eastAsia="Arial" w:hAnsi="Arial"/>
                <w:sz w:val="14"/>
                <w:szCs w:val="14"/>
                <w:color w:val="auto"/>
              </w:rPr>
              <w:t>2027 Notes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785,625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67,500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67,500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650,625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8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2025 Notes</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857,500</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19,687</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78,750</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759,063</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tcPr>
          <w:p>
            <w:pPr>
              <w:ind w:left="20"/>
              <w:spacing w:after="0"/>
              <w:rPr>
                <w:sz w:val="20"/>
                <w:szCs w:val="20"/>
                <w:color w:val="auto"/>
              </w:rPr>
            </w:pPr>
            <w:r>
              <w:rPr>
                <w:rFonts w:ascii="Arial" w:cs="Arial" w:eastAsia="Arial" w:hAnsi="Arial"/>
                <w:sz w:val="14"/>
                <w:szCs w:val="14"/>
                <w:color w:val="auto"/>
              </w:rPr>
              <w:t>Revolving Credit Facility (1)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384,300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1,721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382,579</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Ex-Im Credit Facility</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82,819</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42,344</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40,475</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80" w:type="dxa"/>
            <w:vAlign w:val="bottom"/>
          </w:tcPr>
          <w:p>
            <w:pPr>
              <w:ind w:left="20"/>
              <w:spacing w:after="0"/>
              <w:rPr>
                <w:sz w:val="20"/>
                <w:szCs w:val="20"/>
                <w:color w:val="auto"/>
              </w:rPr>
            </w:pPr>
            <w:r>
              <w:rPr>
                <w:rFonts w:ascii="Arial" w:cs="Arial" w:eastAsia="Arial" w:hAnsi="Arial"/>
                <w:sz w:val="14"/>
                <w:szCs w:val="14"/>
                <w:color w:val="auto"/>
              </w:rPr>
              <w:t>Satellite performance incentives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29,053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1,867</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10,269</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11,269</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5,648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98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color w:val="auto"/>
              </w:rPr>
              <w:t>Purchase commitments including satellite-related</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2,034,998</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681,240</w:t>
            </w: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1,115,965</w:t>
            </w: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141,397</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96,396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80" w:type="dxa"/>
            <w:vAlign w:val="bottom"/>
            <w:tcBorders>
              <w:bottom w:val="single" w:sz="8" w:color="CFF0FC"/>
            </w:tcBorders>
            <w:shd w:val="clear" w:color="auto" w:fill="CFF0FC"/>
          </w:tcPr>
          <w:p>
            <w:pPr>
              <w:ind w:left="140"/>
              <w:spacing w:after="0" w:line="157" w:lineRule="exact"/>
              <w:rPr>
                <w:sz w:val="20"/>
                <w:szCs w:val="20"/>
                <w:color w:val="auto"/>
              </w:rPr>
            </w:pPr>
            <w:r>
              <w:rPr>
                <w:rFonts w:ascii="Arial" w:cs="Arial" w:eastAsia="Arial" w:hAnsi="Arial"/>
                <w:sz w:val="14"/>
                <w:szCs w:val="14"/>
                <w:color w:val="auto"/>
              </w:rPr>
              <w:t>agreements</w:t>
            </w:r>
          </w:p>
        </w:tc>
        <w:tc>
          <w:tcPr>
            <w:tcW w:w="10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vMerge w:val="continue"/>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vMerge w:val="continue"/>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vMerge w:val="continue"/>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980" w:type="dxa"/>
            <w:vAlign w:val="bottom"/>
          </w:tcPr>
          <w:p>
            <w:pPr>
              <w:ind w:left="20"/>
              <w:spacing w:after="0"/>
              <w:rPr>
                <w:sz w:val="20"/>
                <w:szCs w:val="20"/>
                <w:color w:val="auto"/>
              </w:rPr>
            </w:pPr>
            <w:r>
              <w:rPr>
                <w:rFonts w:ascii="Arial" w:cs="Arial" w:eastAsia="Arial" w:hAnsi="Arial"/>
                <w:sz w:val="14"/>
                <w:szCs w:val="14"/>
                <w:color w:val="auto"/>
              </w:rPr>
              <w:t>Total</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5,257,280</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737,551</w:t>
            </w:r>
          </w:p>
        </w:tc>
        <w:tc>
          <w:tcPr>
            <w:tcW w:w="1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1,911,299</w:t>
            </w: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1,220,846</w:t>
            </w:r>
          </w:p>
        </w:tc>
        <w:tc>
          <w:tcPr>
            <w:tcW w:w="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1,387,584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-142240</wp:posOffset>
            </wp:positionV>
            <wp:extent cx="60325"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-142240</wp:posOffset>
            </wp:positionV>
            <wp:extent cx="5969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-142240</wp:posOffset>
            </wp:positionV>
            <wp:extent cx="51435"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-142240</wp:posOffset>
            </wp:positionV>
            <wp:extent cx="51435"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-142240</wp:posOffset>
            </wp:positionV>
            <wp:extent cx="51435"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55" w:lineRule="exact"/>
        <w:rPr>
          <w:sz w:val="20"/>
          <w:szCs w:val="20"/>
          <w:color w:val="auto"/>
        </w:rPr>
      </w:pPr>
    </w:p>
    <w:p>
      <w:pPr>
        <w:jc w:val="both"/>
        <w:ind w:left="520" w:right="66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the extent that the interest rate is variable and ultimate amounts borrowed under the Revolving Credit Facility may fluctuate, amounts reflected represent estimated interest payments on our current outstanding balances based on the weighted average effective interest rate at December 31, 2021 until the maturity date in January 2024.</w:t>
      </w:r>
    </w:p>
    <w:p>
      <w:pPr>
        <w:spacing w:after="0" w:line="162" w:lineRule="exact"/>
        <w:rPr>
          <w:sz w:val="20"/>
          <w:szCs w:val="20"/>
          <w:color w:val="auto"/>
        </w:rPr>
      </w:pPr>
    </w:p>
    <w:p>
      <w:pPr>
        <w:ind w:right="180" w:firstLine="509"/>
        <w:spacing w:after="0" w:line="237" w:lineRule="auto"/>
        <w:rPr>
          <w:sz w:val="20"/>
          <w:szCs w:val="20"/>
          <w:color w:val="auto"/>
        </w:rPr>
      </w:pPr>
      <w:r>
        <w:rPr>
          <w:rFonts w:ascii="Arial" w:cs="Arial" w:eastAsia="Arial" w:hAnsi="Arial"/>
          <w:sz w:val="18"/>
          <w:szCs w:val="18"/>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149"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Our condensed consolidated balance sheets included $157.1 million and $137.4 million of “other liabilities” as of December 31, 2021 and March 31, 2021, respectively, which primarily consisted of the long-term portion of deferred revenues, the long-term portion of our satellite performance incentive obligations relating to the ViaSat-1 and ViaSat-2 satellites, deferred income taxes and our long-term warranty obligations. With the exception of the long-term portion of our satellite performance incentive obligations relating to the ViaSat-1 and ViaSat-2 satellites (which is included under “Satellite performance incentives”), these remaining liabilities have been excluded from the above table as the timing and/or the amount of any cash payment is uncertain. See Note 12 — Commitments to our consolidated financial statements included in our Annual Report on Form 10-K for the year ended March 31, 2021 for additional information regarding satellite performance incentive obligations relating to the ViaSat-1 and ViaSat-2 satellites. See Note 7 — Product Warranty to our condensed consolidated financial statements for a discussion of our product warranties.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had no material off-balance sheet arrangements at December 31, 2021 as defined in Regulation S-K Item 303(a)(4) other than as discussed under “Contractual Obligations” above or disclosed in the notes to our condensed consolidated financial statements included in this report or in our Annual Report on Form 10-K for the year ended March 31, 2021.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99" w:lineRule="exact"/>
        <w:rPr>
          <w:sz w:val="20"/>
          <w:szCs w:val="20"/>
          <w:color w:val="auto"/>
        </w:rPr>
      </w:pPr>
    </w:p>
    <w:p>
      <w:pPr>
        <w:ind w:right="520" w:firstLine="509"/>
        <w:spacing w:after="0" w:line="246" w:lineRule="auto"/>
        <w:rPr>
          <w:sz w:val="20"/>
          <w:szCs w:val="20"/>
          <w:color w:val="auto"/>
        </w:rPr>
      </w:pPr>
      <w:r>
        <w:rPr>
          <w:rFonts w:ascii="Arial" w:cs="Arial" w:eastAsia="Arial" w:hAnsi="Arial"/>
          <w:sz w:val="18"/>
          <w:szCs w:val="18"/>
          <w:color w:val="auto"/>
        </w:rPr>
        <w:t>For information regarding recently adopted and issued accounting pronouncements, see Note 1 — Basis of Presentation to our condensed consolidated financial statements.</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35" w:right="459" w:bottom="1440" w:gutter="0" w:footer="0" w:header="0"/>
        </w:sectPr>
      </w:pPr>
    </w:p>
    <w:bookmarkStart w:id="58" w:name="page59"/>
    <w:bookmarkEnd w:id="58"/>
    <w:p>
      <w:pPr>
        <w:ind w:right="5540"/>
        <w:spacing w:after="0" w:line="341" w:lineRule="auto"/>
        <w:rPr>
          <w:sz w:val="20"/>
          <w:szCs w:val="20"/>
          <w:color w:val="auto"/>
        </w:rPr>
      </w:pPr>
      <w:r>
        <w:rPr>
          <w:rFonts w:ascii="Arial" w:cs="Arial" w:eastAsia="Arial" w:hAnsi="Arial"/>
          <w:sz w:val="18"/>
          <w:szCs w:val="18"/>
          <w:b w:val="1"/>
          <w:bCs w:val="1"/>
          <w:color w:val="auto"/>
        </w:rPr>
        <w:t>Item 3. Quantitative and Qualitative Disclosures About Market Risk Interest Rate Risk</w:t>
      </w:r>
    </w:p>
    <w:p>
      <w:pPr>
        <w:spacing w:after="0" w:line="1" w:lineRule="exact"/>
        <w:rPr>
          <w:sz w:val="20"/>
          <w:szCs w:val="20"/>
          <w:color w:val="auto"/>
        </w:rPr>
      </w:pPr>
    </w:p>
    <w:p>
      <w:pPr>
        <w:ind w:right="100" w:firstLine="509"/>
        <w:spacing w:after="0" w:line="236" w:lineRule="auto"/>
        <w:rPr>
          <w:sz w:val="20"/>
          <w:szCs w:val="20"/>
          <w:color w:val="auto"/>
        </w:rPr>
      </w:pPr>
      <w:r>
        <w:rPr>
          <w:rFonts w:ascii="Arial" w:cs="Arial" w:eastAsia="Arial" w:hAnsi="Arial"/>
          <w:sz w:val="18"/>
          <w:szCs w:val="18"/>
          <w:color w:val="auto"/>
        </w:rPr>
        <w:t>Our financial instruments consist of cash and cash equivalents, accounts receivable, accounts payable and short-term and long-term obligations, including the Credit Facilities and the Notes. We consider investments in highly liquid instruments purchased with a remaining maturity of three months or less at the date of purchase to be cash equivalents. As of December 31, 2021, we had $370.0 million in principal amount of outstanding borrowings under our Revolving Credit Facility, $78.6 million in principal amount of outstanding borrowings under our Ex-Im Credit Facility, $ 700.0 million in aggregate principal amount outstanding of the 2025 Notes, $600.0 million in aggregate principal amount outstanding of the 2027 Notes and $400.0 million in aggregate principal amount outstanding of the 2028 Notes, and we held no short-term investments. The Notes and borrowings under our Ex-Im Credit Facility bear interest at a fixed rate and therefore our exposure to market risk for changes in interest rates relates primarily to borrowings under our Revolving Credit Facility, cash equivalents, short-term investments and short-term obligations.</w:t>
      </w:r>
    </w:p>
    <w:p>
      <w:pPr>
        <w:spacing w:after="0" w:line="153"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The primary objective of our investment activities is to preserve principal while at the same time maximizing the income we receive from our investments without significantly increasing risk. To minimize this risk, we maintain a significant amount of our cash balance in money market accounts.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an insignificant amount for the three and nine months ended December 31, 2021 and 2020.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51" w:lineRule="exact"/>
        <w:rPr>
          <w:sz w:val="20"/>
          <w:szCs w:val="20"/>
          <w:color w:val="auto"/>
        </w:rPr>
      </w:pPr>
    </w:p>
    <w:p>
      <w:pPr>
        <w:ind w:right="220" w:firstLine="509"/>
        <w:spacing w:after="0" w:line="238" w:lineRule="auto"/>
        <w:rPr>
          <w:sz w:val="20"/>
          <w:szCs w:val="20"/>
          <w:color w:val="auto"/>
        </w:rPr>
      </w:pPr>
      <w:r>
        <w:rPr>
          <w:rFonts w:ascii="Arial" w:cs="Arial" w:eastAsia="Arial" w:hAnsi="Arial"/>
          <w:sz w:val="18"/>
          <w:szCs w:val="18"/>
          <w:color w:val="auto"/>
        </w:rPr>
        <w:t>As of December 31, 2021, we had $370.0 million in principal amount of outstanding borrowings under our Revolving Credit Facility. Our primary interest rate under the Revolving Credit Facility is the Eurodollar rate plus an applicable margin that is based on our total leverage ratio. As of December 31, 2021, the weighted average effective interest rate on our outstanding borrowings under the Revolving Credit Facility was 1.86%. Assuming the outstanding balance remained constant over a year, a 50 basis point increase in the interest rates would increase interest incurred, prior to effects of capitalized interest, by approximately $1.9 million over a 12-month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99"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we are exposed to fluctuations in foreign currency exchange rates. A five percent variance in foreign currencies in which our international business is conducted would change our (loss) income before income taxes by an insignificant amount for both the three and nine months ended December 31, 2021, and by an insignificant amount and $1.0 million for the three and nine months ended December 31, 2020, respectively.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and March 31, 2021, we had no foreign currency forward contracts outstanding.</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9"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4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December 31, 2021, the end of the period covered by this report. Based upon the foregoing, our Chief Executive Officer and Chief Financial Officer concluded that our disclosure controls and procedures were effective at a reasonable assurance level as of December 31, 2021.</w:t>
      </w:r>
    </w:p>
    <w:p>
      <w:pPr>
        <w:spacing w:after="0" w:line="151" w:lineRule="exact"/>
        <w:rPr>
          <w:sz w:val="20"/>
          <w:szCs w:val="20"/>
          <w:color w:val="auto"/>
        </w:rPr>
      </w:pPr>
    </w:p>
    <w:p>
      <w:pPr>
        <w:ind w:right="420" w:firstLine="509"/>
        <w:spacing w:after="0" w:line="246"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are reasonably likely to materially affect, our internal control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9"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From time to time,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in our Annual Report on Form 10-K for the fiscal year ended March 31, 2021.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9"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March 31, 2021, as updated by our Quarterly Report on Form 10-Q for the quarter ended September 30, 2021, which factors could materially affect our business, financial condition, liquidity or future results.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6. 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Incorporated by Reference</w:t>
            </w: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 or</w:t>
            </w:r>
          </w:p>
        </w:tc>
        <w:tc>
          <w:tcPr>
            <w:tcW w:w="0" w:type="dxa"/>
            <w:vAlign w:val="bottom"/>
          </w:tcPr>
          <w:p>
            <w:pPr>
              <w:spacing w:after="0"/>
              <w:rPr>
                <w:sz w:val="1"/>
                <w:szCs w:val="1"/>
                <w:color w:val="auto"/>
              </w:rPr>
            </w:pPr>
          </w:p>
        </w:tc>
      </w:tr>
      <w:tr>
        <w:trPr>
          <w:trHeight w:val="115"/>
        </w:trPr>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89"/>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21"/>
          </w:tcPr>
          <w:p>
            <w:pPr>
              <w:ind w:left="6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6"/>
                <w:szCs w:val="16"/>
                <w:color w:val="auto"/>
              </w:rPr>
            </w:pPr>
          </w:p>
        </w:tc>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6"/>
                <w:szCs w:val="16"/>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Filing Date</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77"/>
        </w:trPr>
        <w:tc>
          <w:tcPr>
            <w:tcW w:w="1080" w:type="dxa"/>
            <w:vAlign w:val="bottom"/>
          </w:tcPr>
          <w:p>
            <w:pPr>
              <w:jc w:val="center"/>
              <w:spacing w:after="0"/>
              <w:rPr>
                <w:sz w:val="20"/>
                <w:szCs w:val="20"/>
                <w:color w:val="auto"/>
              </w:rPr>
            </w:pPr>
            <w:r>
              <w:rPr>
                <w:rFonts w:ascii="Arial" w:cs="Arial" w:eastAsia="Arial" w:hAnsi="Arial"/>
                <w:sz w:val="18"/>
                <w:szCs w:val="18"/>
                <w:color w:val="auto"/>
                <w:w w:val="99"/>
              </w:rPr>
              <w:t>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22"/>
          </w:tcPr>
          <w:p>
            <w:pPr>
              <w:spacing w:after="0"/>
              <w:rPr>
                <w:rFonts w:ascii="Arial" w:cs="Arial" w:eastAsia="Arial" w:hAnsi="Arial"/>
                <w:sz w:val="18"/>
                <w:szCs w:val="18"/>
                <w:color w:val="0000FF"/>
              </w:rPr>
            </w:pPr>
            <w:hyperlink r:id="rId332">
              <w:r>
                <w:rPr>
                  <w:rFonts w:ascii="Arial" w:cs="Arial" w:eastAsia="Arial" w:hAnsi="Arial"/>
                  <w:sz w:val="18"/>
                  <w:szCs w:val="18"/>
                  <w:color w:val="0000FF"/>
                </w:rPr>
                <w:t>Share Purchase Agreement, dated as of November 8,</w:t>
              </w:r>
            </w:hyperlink>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000-21767</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11/08/2021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9"/>
              </w:rPr>
            </w:pPr>
            <w:hyperlink r:id="rId332">
              <w:r>
                <w:rPr>
                  <w:rFonts w:ascii="Arial" w:cs="Arial" w:eastAsia="Arial" w:hAnsi="Arial"/>
                  <w:sz w:val="18"/>
                  <w:szCs w:val="18"/>
                  <w:color w:val="0000FF"/>
                  <w:w w:val="99"/>
                </w:rPr>
                <w:t>2021, by and among Viasat, Inc. and the shareholders</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tcBorders>
              <w:bottom w:val="single" w:sz="8" w:color="0000FF"/>
            </w:tcBorders>
            <w:gridSpan w:val="3"/>
          </w:tcPr>
          <w:p>
            <w:pPr>
              <w:spacing w:after="0" w:line="156" w:lineRule="exact"/>
              <w:rPr>
                <w:rFonts w:ascii="Arial" w:cs="Arial" w:eastAsia="Arial" w:hAnsi="Arial"/>
                <w:sz w:val="18"/>
                <w:szCs w:val="18"/>
                <w:color w:val="0000FF"/>
                <w:w w:val="98"/>
              </w:rPr>
            </w:pPr>
            <w:hyperlink r:id="rId332">
              <w:r>
                <w:rPr>
                  <w:rFonts w:ascii="Arial" w:cs="Arial" w:eastAsia="Arial" w:hAnsi="Arial"/>
                  <w:sz w:val="18"/>
                  <w:szCs w:val="18"/>
                  <w:color w:val="0000FF"/>
                  <w:w w:val="98"/>
                </w:rPr>
                <w:t>of Connect Topco Limited party thereto</w:t>
              </w:r>
            </w:hyperlink>
          </w:p>
        </w:tc>
        <w:tc>
          <w:tcPr>
            <w:tcW w:w="20" w:type="dxa"/>
            <w:vAlign w:val="bottom"/>
            <w:tcBorders>
              <w:bottom w:val="single" w:sz="8" w:color="0000EE"/>
            </w:tcBorders>
          </w:tcPr>
          <w:p>
            <w:pPr>
              <w:spacing w:after="0"/>
              <w:rPr>
                <w:sz w:val="13"/>
                <w:szCs w:val="13"/>
                <w:color w:val="auto"/>
              </w:rPr>
            </w:pPr>
          </w:p>
        </w:tc>
        <w:tc>
          <w:tcPr>
            <w:tcW w:w="1220" w:type="dxa"/>
            <w:vAlign w:val="bottom"/>
            <w:gridSpan w:val="17"/>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08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tcBorders>
              <w:bottom w:val="single" w:sz="8" w:color="0000FF"/>
            </w:tcBorders>
            <w:gridSpan w:val="6"/>
          </w:tcPr>
          <w:p>
            <w:pPr>
              <w:spacing w:after="0"/>
              <w:rPr>
                <w:rFonts w:ascii="Arial" w:cs="Arial" w:eastAsia="Arial" w:hAnsi="Arial"/>
                <w:sz w:val="18"/>
                <w:szCs w:val="18"/>
                <w:color w:val="0000FF"/>
              </w:rPr>
            </w:pPr>
            <w:hyperlink r:id="rId333">
              <w:r>
                <w:rPr>
                  <w:rFonts w:ascii="Arial" w:cs="Arial" w:eastAsia="Arial" w:hAnsi="Arial"/>
                  <w:sz w:val="18"/>
                  <w:szCs w:val="18"/>
                  <w:color w:val="0000FF"/>
                </w:rPr>
                <w:t>Voting and Support Agreement, dated as of</w:t>
              </w:r>
            </w:hyperlink>
          </w:p>
        </w:tc>
        <w:tc>
          <w:tcPr>
            <w:tcW w:w="860" w:type="dxa"/>
            <w:vAlign w:val="bottom"/>
            <w:gridSpan w:val="16"/>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000-21767</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11/08/2021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gridSpan w:val="22"/>
          </w:tcPr>
          <w:p>
            <w:pPr>
              <w:spacing w:after="0" w:line="156" w:lineRule="exact"/>
              <w:rPr>
                <w:rFonts w:ascii="Arial" w:cs="Arial" w:eastAsia="Arial" w:hAnsi="Arial"/>
                <w:sz w:val="18"/>
                <w:szCs w:val="18"/>
                <w:color w:val="0000FF"/>
              </w:rPr>
            </w:pPr>
            <w:hyperlink r:id="rId333">
              <w:r>
                <w:rPr>
                  <w:rFonts w:ascii="Arial" w:cs="Arial" w:eastAsia="Arial" w:hAnsi="Arial"/>
                  <w:sz w:val="18"/>
                  <w:szCs w:val="18"/>
                  <w:color w:val="0000FF"/>
                </w:rPr>
                <w:t>November 8, 2021, by and among Viasat, Inc.,</w:t>
              </w:r>
            </w:hyperlink>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rPr>
            </w:pPr>
            <w:hyperlink r:id="rId333">
              <w:r>
                <w:rPr>
                  <w:rFonts w:ascii="Arial" w:cs="Arial" w:eastAsia="Arial" w:hAnsi="Arial"/>
                  <w:sz w:val="18"/>
                  <w:szCs w:val="18"/>
                  <w:color w:val="0000FF"/>
                </w:rPr>
                <w:t>Baupost Group Securities, L.L.C. and the</w:t>
              </w:r>
            </w:hyperlink>
          </w:p>
        </w:tc>
        <w:tc>
          <w:tcPr>
            <w:tcW w:w="460" w:type="dxa"/>
            <w:vAlign w:val="bottom"/>
            <w:tcBorders>
              <w:top w:val="single" w:sz="8" w:color="0000FF"/>
            </w:tcBorders>
            <w:gridSpan w:val="4"/>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gridSpan w:val="22"/>
          </w:tcPr>
          <w:p>
            <w:pPr>
              <w:spacing w:after="0" w:line="156" w:lineRule="exact"/>
              <w:rPr>
                <w:rFonts w:ascii="Arial" w:cs="Arial" w:eastAsia="Arial" w:hAnsi="Arial"/>
                <w:sz w:val="18"/>
                <w:szCs w:val="18"/>
                <w:color w:val="0000FF"/>
              </w:rPr>
            </w:pPr>
            <w:hyperlink r:id="rId333">
              <w:r>
                <w:rPr>
                  <w:rFonts w:ascii="Arial" w:cs="Arial" w:eastAsia="Arial" w:hAnsi="Arial"/>
                  <w:sz w:val="18"/>
                  <w:szCs w:val="18"/>
                  <w:color w:val="0000FF"/>
                </w:rPr>
                <w:t>shareholders of Connect Topco Limited party thereto</w:t>
              </w:r>
            </w:hyperlink>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080" w:type="dxa"/>
            <w:vAlign w:val="bottom"/>
          </w:tcPr>
          <w:p>
            <w:pPr>
              <w:jc w:val="center"/>
              <w:spacing w:after="0"/>
              <w:rPr>
                <w:sz w:val="20"/>
                <w:szCs w:val="20"/>
                <w:color w:val="auto"/>
              </w:rPr>
            </w:pPr>
            <w:r>
              <w:rPr>
                <w:rFonts w:ascii="Arial" w:cs="Arial" w:eastAsia="Arial" w:hAnsi="Arial"/>
                <w:sz w:val="18"/>
                <w:szCs w:val="18"/>
                <w:color w:val="auto"/>
                <w:w w:val="96"/>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tcBorders>
              <w:top w:val="single" w:sz="8" w:color="0000FF"/>
            </w:tcBorders>
            <w:gridSpan w:val="18"/>
          </w:tcPr>
          <w:p>
            <w:pPr>
              <w:spacing w:after="0"/>
              <w:rPr>
                <w:rFonts w:ascii="Arial" w:cs="Arial" w:eastAsia="Arial" w:hAnsi="Arial"/>
                <w:sz w:val="18"/>
                <w:szCs w:val="18"/>
                <w:color w:val="0000FF"/>
              </w:rPr>
            </w:pPr>
            <w:hyperlink r:id="rId334">
              <w:r>
                <w:rPr>
                  <w:rFonts w:ascii="Arial" w:cs="Arial" w:eastAsia="Arial" w:hAnsi="Arial"/>
                  <w:sz w:val="18"/>
                  <w:szCs w:val="18"/>
                  <w:color w:val="0000FF"/>
                </w:rPr>
                <w:t>Form of Voting and Support Agreement (executive</w:t>
              </w:r>
            </w:hyperlink>
          </w:p>
        </w:tc>
        <w:tc>
          <w:tcPr>
            <w:tcW w:w="18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000-21767</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11/08/2021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334">
              <w:r>
                <w:rPr>
                  <w:rFonts w:ascii="Arial" w:cs="Arial" w:eastAsia="Arial" w:hAnsi="Arial"/>
                  <w:sz w:val="18"/>
                  <w:szCs w:val="18"/>
                  <w:color w:val="0000FF"/>
                </w:rPr>
                <w:t>officers and directors)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22"/>
          </w:tcPr>
          <w:p>
            <w:pPr>
              <w:spacing w:after="0"/>
              <w:rPr>
                <w:rFonts w:ascii="Arial" w:cs="Arial" w:eastAsia="Arial" w:hAnsi="Arial"/>
                <w:sz w:val="18"/>
                <w:szCs w:val="18"/>
                <w:color w:val="0000FF"/>
              </w:rPr>
            </w:pPr>
            <w:hyperlink r:id="rId335">
              <w:r>
                <w:rPr>
                  <w:rFonts w:ascii="Arial" w:cs="Arial" w:eastAsia="Arial" w:hAnsi="Arial"/>
                  <w:sz w:val="18"/>
                  <w:szCs w:val="18"/>
                  <w:color w:val="0000FF"/>
                </w:rPr>
                <w:t>Stockholders Agreement, dated as of November 8,</w:t>
              </w:r>
            </w:hyperlink>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000-21767</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11/08/2021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00" w:type="dxa"/>
            <w:vAlign w:val="bottom"/>
            <w:tcBorders>
              <w:top w:val="single" w:sz="8" w:color="0000FF"/>
            </w:tcBorders>
            <w:gridSpan w:val="16"/>
          </w:tcPr>
          <w:p>
            <w:pPr>
              <w:spacing w:after="0" w:line="156" w:lineRule="exact"/>
              <w:rPr>
                <w:rFonts w:ascii="Arial" w:cs="Arial" w:eastAsia="Arial" w:hAnsi="Arial"/>
                <w:sz w:val="18"/>
                <w:szCs w:val="18"/>
                <w:color w:val="0000FF"/>
                <w:w w:val="94"/>
              </w:rPr>
            </w:pPr>
            <w:hyperlink r:id="rId335">
              <w:r>
                <w:rPr>
                  <w:rFonts w:ascii="Arial" w:cs="Arial" w:eastAsia="Arial" w:hAnsi="Arial"/>
                  <w:sz w:val="18"/>
                  <w:szCs w:val="18"/>
                  <w:color w:val="0000FF"/>
                  <w:w w:val="94"/>
                </w:rPr>
                <w:t>2021, by and among Viasat, Inc. and the shareholders</w:t>
              </w:r>
            </w:hyperlink>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8"/>
              </w:rPr>
            </w:pPr>
            <w:hyperlink r:id="rId335">
              <w:r>
                <w:rPr>
                  <w:rFonts w:ascii="Arial" w:cs="Arial" w:eastAsia="Arial" w:hAnsi="Arial"/>
                  <w:sz w:val="18"/>
                  <w:szCs w:val="18"/>
                  <w:color w:val="0000FF"/>
                  <w:w w:val="98"/>
                </w:rPr>
                <w:t>of Connect Topco Limited party thereto</w:t>
              </w:r>
            </w:hyperlink>
          </w:p>
        </w:tc>
        <w:tc>
          <w:tcPr>
            <w:tcW w:w="124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080" w:type="dxa"/>
            <w:vAlign w:val="bottom"/>
          </w:tcPr>
          <w:p>
            <w:pPr>
              <w:jc w:val="center"/>
              <w:spacing w:after="0"/>
              <w:rPr>
                <w:sz w:val="20"/>
                <w:szCs w:val="20"/>
                <w:color w:val="auto"/>
              </w:rPr>
            </w:pPr>
            <w:r>
              <w:rPr>
                <w:rFonts w:ascii="Arial" w:cs="Arial" w:eastAsia="Arial" w:hAnsi="Arial"/>
                <w:sz w:val="18"/>
                <w:szCs w:val="18"/>
                <w:color w:val="auto"/>
                <w:w w:val="96"/>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22"/>
          </w:tcPr>
          <w:p>
            <w:pPr>
              <w:spacing w:after="0"/>
              <w:rPr>
                <w:rFonts w:ascii="Arial" w:cs="Arial" w:eastAsia="Arial" w:hAnsi="Arial"/>
                <w:sz w:val="18"/>
                <w:szCs w:val="18"/>
                <w:color w:val="0000FF"/>
              </w:rPr>
            </w:pPr>
            <w:hyperlink r:id="rId336">
              <w:r>
                <w:rPr>
                  <w:rFonts w:ascii="Arial" w:cs="Arial" w:eastAsia="Arial" w:hAnsi="Arial"/>
                  <w:sz w:val="18"/>
                  <w:szCs w:val="18"/>
                  <w:color w:val="0000FF"/>
                </w:rPr>
                <w:t>Fifth Amendment to Credit Agreement, dated as of</w:t>
              </w:r>
            </w:hyperlink>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000-21767</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11/30/20/21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80" w:type="dxa"/>
            <w:vAlign w:val="bottom"/>
            <w:tcBorders>
              <w:top w:val="single" w:sz="8" w:color="0000FF"/>
            </w:tcBorders>
            <w:gridSpan w:val="15"/>
          </w:tcPr>
          <w:p>
            <w:pPr>
              <w:spacing w:after="0" w:line="154" w:lineRule="exact"/>
              <w:rPr>
                <w:rFonts w:ascii="Arial" w:cs="Arial" w:eastAsia="Arial" w:hAnsi="Arial"/>
                <w:sz w:val="17"/>
                <w:szCs w:val="17"/>
                <w:color w:val="0000FF"/>
              </w:rPr>
            </w:pPr>
            <w:hyperlink r:id="rId336">
              <w:r>
                <w:rPr>
                  <w:rFonts w:ascii="Arial" w:cs="Arial" w:eastAsia="Arial" w:hAnsi="Arial"/>
                  <w:sz w:val="17"/>
                  <w:szCs w:val="17"/>
                  <w:color w:val="0000FF"/>
                </w:rPr>
                <w:t>November 23, 2021, by and among Viasat, Inc.,</w:t>
              </w:r>
            </w:hyperlink>
          </w:p>
        </w:tc>
        <w:tc>
          <w:tcPr>
            <w:tcW w:w="6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60" w:type="dxa"/>
            <w:vAlign w:val="bottom"/>
            <w:tcBorders>
              <w:top w:val="single" w:sz="8" w:color="0000FF"/>
            </w:tcBorders>
            <w:gridSpan w:val="10"/>
          </w:tcPr>
          <w:p>
            <w:pPr>
              <w:spacing w:after="0" w:line="157" w:lineRule="exact"/>
              <w:rPr>
                <w:rFonts w:ascii="Arial" w:cs="Arial" w:eastAsia="Arial" w:hAnsi="Arial"/>
                <w:sz w:val="18"/>
                <w:szCs w:val="18"/>
                <w:color w:val="0000FF"/>
                <w:w w:val="97"/>
              </w:rPr>
            </w:pPr>
            <w:hyperlink r:id="rId336">
              <w:r>
                <w:rPr>
                  <w:rFonts w:ascii="Arial" w:cs="Arial" w:eastAsia="Arial" w:hAnsi="Arial"/>
                  <w:sz w:val="18"/>
                  <w:szCs w:val="18"/>
                  <w:color w:val="0000FF"/>
                  <w:w w:val="97"/>
                </w:rPr>
                <w:t>MUFG Union Bank, N.A. (as administrative agent</w:t>
              </w:r>
            </w:hyperlink>
          </w:p>
        </w:tc>
        <w:tc>
          <w:tcPr>
            <w:tcW w:w="500" w:type="dxa"/>
            <w:vAlign w:val="bottom"/>
            <w:gridSpan w:val="12"/>
          </w:tcPr>
          <w:p>
            <w:pPr>
              <w:ind w:left="120"/>
              <w:spacing w:after="0" w:line="157" w:lineRule="exact"/>
              <w:rPr>
                <w:rFonts w:ascii="Arial" w:cs="Arial" w:eastAsia="Arial" w:hAnsi="Arial"/>
                <w:sz w:val="18"/>
                <w:szCs w:val="18"/>
                <w:color w:val="0000FF"/>
              </w:rPr>
            </w:pPr>
            <w:hyperlink r:id="rId336">
              <w:r>
                <w:rPr>
                  <w:rFonts w:ascii="Arial" w:cs="Arial" w:eastAsia="Arial" w:hAnsi="Arial"/>
                  <w:sz w:val="18"/>
                  <w:szCs w:val="18"/>
                  <w:color w:val="0000FF"/>
                </w:rPr>
                <w:t>and</w:t>
              </w:r>
            </w:hyperlink>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336">
              <w:r>
                <w:rPr>
                  <w:rFonts w:ascii="Arial" w:cs="Arial" w:eastAsia="Arial" w:hAnsi="Arial"/>
                  <w:sz w:val="18"/>
                  <w:szCs w:val="18"/>
                  <w:color w:val="0000FF"/>
                </w:rPr>
                <w:t>collateral agent), and the other lenders party thereto</w:t>
              </w:r>
            </w:hyperlink>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080" w:type="dxa"/>
            <w:vAlign w:val="bottom"/>
          </w:tcPr>
          <w:p>
            <w:pPr>
              <w:jc w:val="center"/>
              <w:spacing w:after="0"/>
              <w:rPr>
                <w:sz w:val="20"/>
                <w:szCs w:val="20"/>
                <w:color w:val="auto"/>
              </w:rPr>
            </w:pPr>
            <w:r>
              <w:rPr>
                <w:rFonts w:ascii="Arial" w:cs="Arial" w:eastAsia="Arial" w:hAnsi="Arial"/>
                <w:sz w:val="18"/>
                <w:szCs w:val="18"/>
                <w:color w:val="auto"/>
                <w:w w:val="96"/>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40" w:type="dxa"/>
            <w:vAlign w:val="bottom"/>
            <w:tcBorders>
              <w:top w:val="single" w:sz="8" w:color="0000FF"/>
            </w:tcBorders>
            <w:gridSpan w:val="17"/>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Certification of Chief Executive Officer Pursuant to</w:t>
              </w:r>
            </w:hyperlink>
          </w:p>
        </w:tc>
        <w:tc>
          <w:tcPr>
            <w:tcW w:w="22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w:anchor="page63">
              <w:r>
                <w:rPr>
                  <w:rFonts w:ascii="Arial" w:cs="Arial" w:eastAsia="Arial" w:hAnsi="Arial"/>
                  <w:sz w:val="18"/>
                  <w:szCs w:val="18"/>
                  <w:color w:val="0000FF"/>
                  <w:w w:val="99"/>
                </w:rPr>
                <w:t>Section 302 of the Sarbanes-Oxley Act of 2002</w:t>
              </w:r>
            </w:hyperlink>
          </w:p>
        </w:tc>
        <w:tc>
          <w:tcPr>
            <w:tcW w:w="280" w:type="dxa"/>
            <w:vAlign w:val="bottom"/>
            <w:tcBorders>
              <w:top w:val="single" w:sz="8" w:color="0000FF"/>
            </w:tcBorders>
            <w:gridSpan w:val="6"/>
          </w:tcPr>
          <w:p>
            <w:pPr>
              <w:spacing w:after="0"/>
              <w:rPr>
                <w:sz w:val="13"/>
                <w:szCs w:val="13"/>
                <w:color w:val="auto"/>
              </w:rPr>
            </w:pPr>
          </w:p>
        </w:tc>
        <w:tc>
          <w:tcPr>
            <w:tcW w:w="240" w:type="dxa"/>
            <w:vAlign w:val="bottom"/>
            <w:gridSpan w:val="6"/>
          </w:tcPr>
          <w:p>
            <w:pPr>
              <w:spacing w:after="0"/>
              <w:rPr>
                <w:sz w:val="13"/>
                <w:szCs w:val="13"/>
                <w:color w:val="auto"/>
              </w:rPr>
            </w:pPr>
          </w:p>
        </w:tc>
        <w:tc>
          <w:tcPr>
            <w:tcW w:w="8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080" w:type="dxa"/>
            <w:vAlign w:val="bottom"/>
          </w:tcPr>
          <w:p>
            <w:pPr>
              <w:jc w:val="center"/>
              <w:spacing w:after="0"/>
              <w:rPr>
                <w:sz w:val="20"/>
                <w:szCs w:val="20"/>
                <w:color w:val="auto"/>
              </w:rPr>
            </w:pPr>
            <w:r>
              <w:rPr>
                <w:rFonts w:ascii="Arial" w:cs="Arial" w:eastAsia="Arial" w:hAnsi="Arial"/>
                <w:sz w:val="18"/>
                <w:szCs w:val="18"/>
                <w:color w:val="auto"/>
                <w:w w:val="96"/>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22"/>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Certification of Chief Financial Officer Pursuant to</w:t>
              </w:r>
            </w:hyperlink>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w:anchor="page64">
              <w:r>
                <w:rPr>
                  <w:rFonts w:ascii="Arial" w:cs="Arial" w:eastAsia="Arial" w:hAnsi="Arial"/>
                  <w:sz w:val="18"/>
                  <w:szCs w:val="18"/>
                  <w:color w:val="0000FF"/>
                  <w:w w:val="99"/>
                </w:rPr>
                <w:t>Section 302 of the 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200" w:type="dxa"/>
            <w:vAlign w:val="bottom"/>
            <w:tcBorders>
              <w:top w:val="single" w:sz="8" w:color="0000FF"/>
            </w:tcBorders>
            <w:gridSpan w:val="3"/>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7"/>
          </w:tcPr>
          <w:p>
            <w:pPr>
              <w:spacing w:after="0"/>
              <w:rPr>
                <w:sz w:val="13"/>
                <w:szCs w:val="13"/>
                <w:color w:val="auto"/>
              </w:rPr>
            </w:pPr>
          </w:p>
        </w:tc>
        <w:tc>
          <w:tcPr>
            <w:tcW w:w="8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080" w:type="dxa"/>
            <w:vAlign w:val="bottom"/>
          </w:tcPr>
          <w:p>
            <w:pPr>
              <w:jc w:val="center"/>
              <w:spacing w:after="0"/>
              <w:rPr>
                <w:sz w:val="20"/>
                <w:szCs w:val="20"/>
                <w:color w:val="auto"/>
              </w:rPr>
            </w:pPr>
            <w:r>
              <w:rPr>
                <w:rFonts w:ascii="Arial" w:cs="Arial" w:eastAsia="Arial" w:hAnsi="Arial"/>
                <w:sz w:val="18"/>
                <w:szCs w:val="18"/>
                <w:color w:val="auto"/>
                <w:w w:val="96"/>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22"/>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Certifications Pursuant to 18 U.S.C. Section 1350, as</w:t>
              </w:r>
            </w:hyperlink>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w:anchor="page65">
              <w:r>
                <w:rPr>
                  <w:rFonts w:ascii="Arial" w:cs="Arial" w:eastAsia="Arial" w:hAnsi="Arial"/>
                  <w:sz w:val="18"/>
                  <w:szCs w:val="18"/>
                  <w:color w:val="0000FF"/>
                </w:rPr>
                <w:t>Adopted Pursuant to Section 906 of the Sarbanes-</w:t>
              </w:r>
            </w:hyperlink>
          </w:p>
        </w:tc>
        <w:tc>
          <w:tcPr>
            <w:tcW w:w="8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65">
              <w:r>
                <w:rPr>
                  <w:rFonts w:ascii="Arial" w:cs="Arial" w:eastAsia="Arial" w:hAnsi="Arial"/>
                  <w:sz w:val="18"/>
                  <w:szCs w:val="18"/>
                  <w:color w:val="0000FF"/>
                </w:rPr>
                <w:t>Oxley Act of 2002</w:t>
              </w:r>
            </w:hyperlink>
          </w:p>
        </w:tc>
        <w:tc>
          <w:tcPr>
            <w:tcW w:w="340" w:type="dxa"/>
            <w:vAlign w:val="bottom"/>
            <w:gridSpan w:val="10"/>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right w:val="single" w:sz="8" w:color="0000EE"/>
            </w:tcBorders>
            <w:shd w:val="clear" w:color="auto" w:fill="0000FF"/>
          </w:tcPr>
          <w:p>
            <w:pPr>
              <w:spacing w:after="0" w:line="20" w:lineRule="exact"/>
              <w:rPr>
                <w:sz w:val="1"/>
                <w:szCs w:val="1"/>
                <w:color w:val="auto"/>
              </w:rPr>
            </w:pPr>
          </w:p>
        </w:tc>
        <w:tc>
          <w:tcPr>
            <w:tcW w:w="2920" w:type="dxa"/>
            <w:vAlign w:val="bottom"/>
            <w:gridSpan w:val="2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80" w:type="dxa"/>
            <w:vAlign w:val="bottom"/>
          </w:tcPr>
          <w:p>
            <w:pPr>
              <w:jc w:val="cente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22"/>
          </w:tcPr>
          <w:p>
            <w:pPr>
              <w:spacing w:after="0"/>
              <w:rPr>
                <w:sz w:val="20"/>
                <w:szCs w:val="20"/>
                <w:color w:val="auto"/>
              </w:rPr>
            </w:pPr>
            <w:r>
              <w:rPr>
                <w:rFonts w:ascii="Arial" w:cs="Arial" w:eastAsia="Arial" w:hAnsi="Arial"/>
                <w:sz w:val="18"/>
                <w:szCs w:val="18"/>
                <w:color w:val="auto"/>
              </w:rPr>
              <w:t>Inline XBRL Instance Document - the instance</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6"/>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60" w:type="dxa"/>
            <w:vAlign w:val="bottom"/>
            <w:gridSpan w:val="22"/>
          </w:tcPr>
          <w:p>
            <w:pPr>
              <w:spacing w:after="0" w:line="176" w:lineRule="exact"/>
              <w:rPr>
                <w:sz w:val="20"/>
                <w:szCs w:val="20"/>
                <w:color w:val="auto"/>
              </w:rPr>
            </w:pPr>
            <w:r>
              <w:rPr>
                <w:rFonts w:ascii="Arial" w:cs="Arial" w:eastAsia="Arial" w:hAnsi="Arial"/>
                <w:sz w:val="18"/>
                <w:szCs w:val="18"/>
                <w:color w:val="auto"/>
              </w:rPr>
              <w:t>document does not appear in the Interactive Data File</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60" w:type="dxa"/>
            <w:vAlign w:val="bottom"/>
            <w:gridSpan w:val="22"/>
          </w:tcPr>
          <w:p>
            <w:pPr>
              <w:spacing w:after="0" w:line="176" w:lineRule="exact"/>
              <w:rPr>
                <w:sz w:val="20"/>
                <w:szCs w:val="20"/>
                <w:color w:val="auto"/>
              </w:rPr>
            </w:pPr>
            <w:r>
              <w:rPr>
                <w:rFonts w:ascii="Arial" w:cs="Arial" w:eastAsia="Arial" w:hAnsi="Arial"/>
                <w:sz w:val="18"/>
                <w:szCs w:val="18"/>
                <w:color w:val="auto"/>
              </w:rPr>
              <w:t>because its XBRL tags are embedded within the inline</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60" w:type="dxa"/>
            <w:vAlign w:val="bottom"/>
            <w:gridSpan w:val="22"/>
          </w:tcPr>
          <w:p>
            <w:pPr>
              <w:spacing w:after="0"/>
              <w:rPr>
                <w:sz w:val="20"/>
                <w:szCs w:val="20"/>
                <w:color w:val="auto"/>
              </w:rPr>
            </w:pPr>
            <w:r>
              <w:rPr>
                <w:rFonts w:ascii="Arial" w:cs="Arial" w:eastAsia="Arial" w:hAnsi="Arial"/>
                <w:sz w:val="18"/>
                <w:szCs w:val="18"/>
                <w:color w:val="auto"/>
              </w:rPr>
              <w:t>XBRL document.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1080" w:type="dxa"/>
            <w:vAlign w:val="bottom"/>
          </w:tcPr>
          <w:p>
            <w:pPr>
              <w:jc w:val="cente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22"/>
          </w:tcPr>
          <w:p>
            <w:pPr>
              <w:spacing w:after="0"/>
              <w:rPr>
                <w:sz w:val="20"/>
                <w:szCs w:val="20"/>
                <w:color w:val="auto"/>
              </w:rPr>
            </w:pPr>
            <w:r>
              <w:rPr>
                <w:rFonts w:ascii="Arial" w:cs="Arial" w:eastAsia="Arial" w:hAnsi="Arial"/>
                <w:sz w:val="18"/>
                <w:szCs w:val="18"/>
                <w:color w:val="auto"/>
              </w:rPr>
              <w:t>Inline XBRL Taxonomy Extension Schema</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69"/>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101.CAL</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360" w:type="dxa"/>
            <w:vAlign w:val="bottom"/>
            <w:gridSpan w:val="22"/>
          </w:tcPr>
          <w:p>
            <w:pPr>
              <w:spacing w:after="0"/>
              <w:rPr>
                <w:sz w:val="20"/>
                <w:szCs w:val="20"/>
                <w:color w:val="auto"/>
              </w:rPr>
            </w:pPr>
            <w:r>
              <w:rPr>
                <w:rFonts w:ascii="Arial" w:cs="Arial" w:eastAsia="Arial" w:hAnsi="Arial"/>
                <w:sz w:val="18"/>
                <w:szCs w:val="18"/>
                <w:color w:val="auto"/>
              </w:rPr>
              <w:t>Inline XBRL Taxonomy Extension Calculation</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60" w:type="dxa"/>
            <w:vAlign w:val="bottom"/>
            <w:gridSpan w:val="22"/>
          </w:tcPr>
          <w:p>
            <w:pPr>
              <w:spacing w:after="0"/>
              <w:rPr>
                <w:sz w:val="20"/>
                <w:szCs w:val="20"/>
                <w:color w:val="auto"/>
              </w:rPr>
            </w:pPr>
            <w:r>
              <w:rPr>
                <w:rFonts w:ascii="Arial" w:cs="Arial" w:eastAsia="Arial" w:hAnsi="Arial"/>
                <w:sz w:val="18"/>
                <w:szCs w:val="18"/>
                <w:color w:val="auto"/>
              </w:rPr>
              <w:t>Linkbase</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080" w:type="dxa"/>
            <w:vAlign w:val="bottom"/>
          </w:tcPr>
          <w:p>
            <w:pPr>
              <w:jc w:val="center"/>
              <w:spacing w:after="0"/>
              <w:rPr>
                <w:sz w:val="20"/>
                <w:szCs w:val="20"/>
                <w:color w:val="auto"/>
              </w:rPr>
            </w:pPr>
            <w:r>
              <w:rPr>
                <w:rFonts w:ascii="Arial" w:cs="Arial" w:eastAsia="Arial" w:hAnsi="Arial"/>
                <w:sz w:val="18"/>
                <w:szCs w:val="18"/>
                <w:color w:val="auto"/>
                <w:w w:val="98"/>
              </w:rPr>
              <w:t>101.DEF</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22"/>
          </w:tcPr>
          <w:p>
            <w:pPr>
              <w:spacing w:after="0"/>
              <w:rPr>
                <w:sz w:val="20"/>
                <w:szCs w:val="20"/>
                <w:color w:val="auto"/>
              </w:rPr>
            </w:pPr>
            <w:r>
              <w:rPr>
                <w:rFonts w:ascii="Arial" w:cs="Arial" w:eastAsia="Arial" w:hAnsi="Arial"/>
                <w:sz w:val="18"/>
                <w:szCs w:val="18"/>
                <w:color w:val="auto"/>
              </w:rPr>
              <w:t>Inline XBRL Taxonomy Extension Definition Linkbase</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10"/>
        </w:trPr>
        <w:tc>
          <w:tcPr>
            <w:tcW w:w="1080" w:type="dxa"/>
            <w:vAlign w:val="bottom"/>
          </w:tcPr>
          <w:p>
            <w:pPr>
              <w:jc w:val="cente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22"/>
          </w:tcPr>
          <w:p>
            <w:pPr>
              <w:spacing w:after="0"/>
              <w:rPr>
                <w:sz w:val="20"/>
                <w:szCs w:val="20"/>
                <w:color w:val="auto"/>
              </w:rPr>
            </w:pPr>
            <w:r>
              <w:rPr>
                <w:rFonts w:ascii="Arial" w:cs="Arial" w:eastAsia="Arial" w:hAnsi="Arial"/>
                <w:sz w:val="18"/>
                <w:szCs w:val="18"/>
                <w:color w:val="auto"/>
              </w:rPr>
              <w:t>Inline XBRL Taxonomy Extension Labels Linkbase</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69"/>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101.PRE</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360" w:type="dxa"/>
            <w:vAlign w:val="bottom"/>
            <w:gridSpan w:val="22"/>
          </w:tcPr>
          <w:p>
            <w:pPr>
              <w:spacing w:after="0"/>
              <w:rPr>
                <w:sz w:val="20"/>
                <w:szCs w:val="20"/>
                <w:color w:val="auto"/>
              </w:rPr>
            </w:pPr>
            <w:r>
              <w:rPr>
                <w:rFonts w:ascii="Arial" w:cs="Arial" w:eastAsia="Arial" w:hAnsi="Arial"/>
                <w:sz w:val="18"/>
                <w:szCs w:val="18"/>
                <w:color w:val="auto"/>
              </w:rPr>
              <w:t>Inline XBRL Taxonomy Extension Presentation</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60" w:type="dxa"/>
            <w:vAlign w:val="bottom"/>
            <w:gridSpan w:val="22"/>
          </w:tcPr>
          <w:p>
            <w:pPr>
              <w:spacing w:after="0"/>
              <w:rPr>
                <w:sz w:val="20"/>
                <w:szCs w:val="20"/>
                <w:color w:val="auto"/>
              </w:rPr>
            </w:pPr>
            <w:r>
              <w:rPr>
                <w:rFonts w:ascii="Arial" w:cs="Arial" w:eastAsia="Arial" w:hAnsi="Arial"/>
                <w:sz w:val="18"/>
                <w:szCs w:val="18"/>
                <w:color w:val="auto"/>
              </w:rPr>
              <w:t>Linkbase</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360" w:type="dxa"/>
            <w:vAlign w:val="bottom"/>
            <w:gridSpan w:val="22"/>
          </w:tcPr>
          <w:p>
            <w:pPr>
              <w:spacing w:after="0"/>
              <w:rPr>
                <w:sz w:val="20"/>
                <w:szCs w:val="20"/>
                <w:color w:val="auto"/>
              </w:rPr>
            </w:pPr>
            <w:r>
              <w:rPr>
                <w:rFonts w:ascii="Arial" w:cs="Arial" w:eastAsia="Arial" w:hAnsi="Arial"/>
                <w:sz w:val="18"/>
                <w:szCs w:val="18"/>
                <w:color w:val="auto"/>
              </w:rPr>
              <w:t>Cover Page Interactive Data File (formatted as inline</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60" w:type="dxa"/>
            <w:vAlign w:val="bottom"/>
            <w:gridSpan w:val="22"/>
          </w:tcPr>
          <w:p>
            <w:pPr>
              <w:spacing w:after="0"/>
              <w:rPr>
                <w:sz w:val="20"/>
                <w:szCs w:val="20"/>
                <w:color w:val="auto"/>
              </w:rPr>
            </w:pPr>
            <w:r>
              <w:rPr>
                <w:rFonts w:ascii="Arial" w:cs="Arial" w:eastAsia="Arial" w:hAnsi="Arial"/>
                <w:sz w:val="18"/>
                <w:szCs w:val="18"/>
                <w:color w:val="auto"/>
              </w:rPr>
              <w:t>XBRL and contained in Exhibit 101)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63" w:lineRule="exact"/>
        <w:rPr>
          <w:sz w:val="20"/>
          <w:szCs w:val="20"/>
          <w:color w:val="auto"/>
        </w:rPr>
      </w:pPr>
    </w:p>
    <w:p>
      <w:pPr>
        <w:ind w:right="60" w:firstLine="8"/>
        <w:spacing w:after="0" w:line="237" w:lineRule="auto"/>
        <w:tabs>
          <w:tab w:leader="none" w:pos="108" w:val="left"/>
        </w:tabs>
        <w:numPr>
          <w:ilvl w:val="0"/>
          <w:numId w:val="22"/>
        </w:numPr>
        <w:rPr>
          <w:rFonts w:ascii="Arial" w:cs="Arial" w:eastAsia="Arial" w:hAnsi="Arial"/>
          <w:sz w:val="16"/>
          <w:szCs w:val="16"/>
          <w:color w:val="auto"/>
        </w:rPr>
      </w:pPr>
      <w:r>
        <w:rPr>
          <w:rFonts w:ascii="Arial" w:cs="Arial" w:eastAsia="Arial" w:hAnsi="Arial"/>
          <w:sz w:val="16"/>
          <w:szCs w:val="16"/>
          <w:color w:val="auto"/>
        </w:rPr>
        <w:t>Certain schedules to this Exhibit omitted pursuant to Regulation S-K Item 601(b)(2) or 601(a)(5) (as applicable). The registrant agrees to furnish supplementally a copy of any omitted schedule or exhibit to the SEC upon request; provided, however, that the registrant may request confidential treatment pursuant to Rule 24b-2 of the Exchange Act for any document so furnished.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61" w:name="page62"/>
    <w:bookmarkEnd w:id="61"/>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61"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VIASAT, INC.</w:t>
      </w:r>
    </w:p>
    <w:p>
      <w:pPr>
        <w:spacing w:after="0" w:line="185"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February 4, 2022</w:t>
      </w:r>
      <w:r>
        <w:rPr>
          <w:sz w:val="20"/>
          <w:szCs w:val="20"/>
          <w:color w:val="auto"/>
        </w:rPr>
        <w:tab/>
      </w:r>
      <w:r>
        <w:rPr>
          <w:rFonts w:ascii="Arial" w:cs="Arial" w:eastAsia="Arial" w:hAnsi="Arial"/>
          <w:sz w:val="18"/>
          <w:szCs w:val="18"/>
          <w:color w:val="auto"/>
        </w:rPr>
        <w:t>/s/ R</w:t>
      </w:r>
      <w:r>
        <w:rPr>
          <w:rFonts w:ascii="Arial" w:cs="Arial" w:eastAsia="Arial" w:hAnsi="Arial"/>
          <w:sz w:val="14"/>
          <w:szCs w:val="14"/>
          <w:color w:val="auto"/>
        </w:rPr>
        <w:t>ICHARD</w:t>
      </w:r>
      <w:r>
        <w:rPr>
          <w:rFonts w:ascii="Arial" w:cs="Arial" w:eastAsia="Arial" w:hAnsi="Arial"/>
          <w:sz w:val="18"/>
          <w:szCs w:val="18"/>
          <w:color w:val="auto"/>
        </w:rPr>
        <w:t xml:space="preserve"> B</w:t>
      </w:r>
      <w:r>
        <w:rPr>
          <w:rFonts w:ascii="Arial" w:cs="Arial" w:eastAsia="Arial" w:hAnsi="Arial"/>
          <w:sz w:val="14"/>
          <w:szCs w:val="14"/>
          <w:color w:val="auto"/>
        </w:rPr>
        <w:t>ALDRIDGE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-1905</wp:posOffset>
            </wp:positionV>
            <wp:extent cx="34886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8">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ind w:left="5760"/>
        <w:spacing w:after="0"/>
        <w:rPr>
          <w:sz w:val="20"/>
          <w:szCs w:val="20"/>
          <w:color w:val="auto"/>
        </w:rPr>
      </w:pPr>
      <w:r>
        <w:rPr>
          <w:rFonts w:ascii="Arial" w:cs="Arial" w:eastAsia="Arial" w:hAnsi="Arial"/>
          <w:sz w:val="18"/>
          <w:szCs w:val="18"/>
          <w:color w:val="auto"/>
        </w:rPr>
        <w:t>Richard Baldridge</w:t>
      </w:r>
    </w:p>
    <w:p>
      <w:pPr>
        <w:ind w:left="576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Executive Officer)</w:t>
      </w:r>
    </w:p>
    <w:p>
      <w:pPr>
        <w:spacing w:after="0" w:line="18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HAWN</w:t>
      </w:r>
      <w:r>
        <w:rPr>
          <w:rFonts w:ascii="Arial" w:cs="Arial" w:eastAsia="Arial" w:hAnsi="Arial"/>
          <w:sz w:val="18"/>
          <w:szCs w:val="18"/>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-1905</wp:posOffset>
            </wp:positionV>
            <wp:extent cx="34886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5760"/>
        <w:spacing w:after="0"/>
        <w:rPr>
          <w:sz w:val="20"/>
          <w:szCs w:val="20"/>
          <w:color w:val="auto"/>
        </w:rPr>
      </w:pPr>
      <w:r>
        <w:rPr>
          <w:rFonts w:ascii="Arial" w:cs="Arial" w:eastAsia="Arial" w:hAnsi="Arial"/>
          <w:sz w:val="18"/>
          <w:szCs w:val="18"/>
          <w:color w:val="auto"/>
        </w:rPr>
        <w:t>Shawn Duffy</w:t>
      </w:r>
    </w:p>
    <w:p>
      <w:pPr>
        <w:ind w:left="5760"/>
        <w:spacing w:after="0" w:line="234" w:lineRule="auto"/>
        <w:rPr>
          <w:sz w:val="20"/>
          <w:szCs w:val="20"/>
          <w:color w:val="auto"/>
        </w:rPr>
      </w:pPr>
      <w:r>
        <w:rPr>
          <w:rFonts w:ascii="Arial" w:cs="Arial" w:eastAsia="Arial" w:hAnsi="Arial"/>
          <w:sz w:val="18"/>
          <w:szCs w:val="18"/>
          <w:color w:val="auto"/>
        </w:rPr>
        <w:t>Senior Vice President and Chief Financial Officer</w:t>
      </w:r>
    </w:p>
    <w:p>
      <w:pPr>
        <w:spacing w:after="0" w:line="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1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292" w:right="739" w:bottom="1440" w:gutter="0" w:footer="0" w:header="0"/>
        </w:sectPr>
      </w:pPr>
    </w:p>
    <w:bookmarkStart w:id="62" w:name="page63"/>
    <w:bookmarkEnd w:id="62"/>
    <w:p>
      <w:pPr>
        <w:ind w:left="1020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CERTIFICATION OF CHIEF EXECUTIVE OFFICER PURSUANT</w:t>
      </w:r>
    </w:p>
    <w:p>
      <w:pPr>
        <w:jc w:val="center"/>
        <w:ind w:right="20"/>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Richard Baldridge, Chief Executive Officer of Viasat, Inc., certify that:</w:t>
      </w:r>
    </w:p>
    <w:p>
      <w:pPr>
        <w:spacing w:after="0" w:line="104"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20" w:right="6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20" w:right="24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520" w:right="4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1020" w:right="260" w:hanging="503"/>
        <w:spacing w:after="0"/>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20" w:right="260" w:hanging="503"/>
        <w:spacing w:after="0"/>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jc w:val="both"/>
        <w:ind w:left="1020" w:right="180" w:hanging="503"/>
        <w:spacing w:after="0"/>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20" w:right="24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020" w:right="180" w:hanging="503"/>
        <w:spacing w:after="0"/>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8"/>
          <w:szCs w:val="18"/>
          <w:color w:val="auto"/>
        </w:rPr>
      </w:pPr>
    </w:p>
    <w:p>
      <w:pPr>
        <w:ind w:left="1020" w:right="100" w:hanging="503"/>
        <w:spacing w:after="0" w:line="246" w:lineRule="auto"/>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8"/>
          <w:szCs w:val="18"/>
          <w:color w:val="auto"/>
        </w:rPr>
        <w:t>Date: February 4, 2022</w:t>
      </w:r>
      <w:r>
        <w:rPr>
          <w:sz w:val="20"/>
          <w:szCs w:val="20"/>
          <w:color w:val="auto"/>
        </w:rPr>
        <w:tab/>
      </w:r>
      <w:r>
        <w:rPr>
          <w:rFonts w:ascii="Arial" w:cs="Arial" w:eastAsia="Arial" w:hAnsi="Arial"/>
          <w:sz w:val="18"/>
          <w:szCs w:val="18"/>
          <w:color w:val="auto"/>
        </w:rPr>
        <w:t>/s/ R</w:t>
      </w:r>
      <w:r>
        <w:rPr>
          <w:rFonts w:ascii="Arial" w:cs="Arial" w:eastAsia="Arial" w:hAnsi="Arial"/>
          <w:sz w:val="14"/>
          <w:szCs w:val="14"/>
          <w:color w:val="auto"/>
        </w:rPr>
        <w:t>ICHARD</w:t>
      </w:r>
      <w:r>
        <w:rPr>
          <w:rFonts w:ascii="Arial" w:cs="Arial" w:eastAsia="Arial" w:hAnsi="Arial"/>
          <w:sz w:val="18"/>
          <w:szCs w:val="18"/>
          <w:color w:val="auto"/>
        </w:rPr>
        <w:t xml:space="preserve"> B</w:t>
      </w:r>
      <w:r>
        <w:rPr>
          <w:rFonts w:ascii="Arial" w:cs="Arial" w:eastAsia="Arial" w:hAnsi="Arial"/>
          <w:sz w:val="12"/>
          <w:szCs w:val="12"/>
          <w:color w:val="auto"/>
        </w:rPr>
        <w:t>A</w:t>
      </w:r>
      <w:r>
        <w:rPr>
          <w:rFonts w:ascii="Arial" w:cs="Arial" w:eastAsia="Arial" w:hAnsi="Arial"/>
          <w:sz w:val="14"/>
          <w:szCs w:val="14"/>
          <w:color w:val="auto"/>
        </w:rPr>
        <w:t>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-1905</wp:posOffset>
            </wp:positionV>
            <wp:extent cx="27774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8"/>
          <w:szCs w:val="18"/>
          <w:color w:val="auto"/>
        </w:rPr>
        <w:t>Richard Baldridge</w:t>
      </w:r>
    </w:p>
    <w:p>
      <w:pPr>
        <w:ind w:left="68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3" w:name="page64"/>
    <w:bookmarkEnd w:id="63"/>
    <w:p>
      <w:pPr>
        <w:ind w:left="1020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CERTIFICATION OF CHIEF FINANCIAL OFFICER PURSUANT</w:t>
      </w:r>
    </w:p>
    <w:p>
      <w:pPr>
        <w:ind w:left="3100"/>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04"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20" w:right="6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20" w:right="24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520" w:right="4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1020" w:right="260" w:hanging="503"/>
        <w:spacing w:after="0"/>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20" w:right="260" w:hanging="503"/>
        <w:spacing w:after="0"/>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jc w:val="both"/>
        <w:ind w:left="1020" w:right="180" w:hanging="503"/>
        <w:spacing w:after="0"/>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20" w:right="24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020" w:right="180" w:hanging="503"/>
        <w:spacing w:after="0"/>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8"/>
          <w:szCs w:val="18"/>
          <w:color w:val="auto"/>
        </w:rPr>
      </w:pPr>
    </w:p>
    <w:p>
      <w:pPr>
        <w:ind w:left="1020" w:right="100" w:hanging="503"/>
        <w:spacing w:after="0" w:line="246" w:lineRule="auto"/>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8"/>
          <w:szCs w:val="18"/>
          <w:color w:val="auto"/>
        </w:rPr>
        <w:t>Date: February 4, 2022</w:t>
      </w:r>
      <w:r>
        <w:rPr>
          <w:sz w:val="20"/>
          <w:szCs w:val="20"/>
          <w:color w:val="auto"/>
        </w:rPr>
        <w:tab/>
      </w:r>
      <w:r>
        <w:rPr>
          <w:rFonts w:ascii="Arial" w:cs="Arial" w:eastAsia="Arial" w:hAnsi="Arial"/>
          <w:sz w:val="18"/>
          <w:szCs w:val="18"/>
          <w:color w:val="auto"/>
        </w:rPr>
        <w:t>/s/ S</w:t>
      </w:r>
      <w:r>
        <w:rPr>
          <w:rFonts w:ascii="Arial" w:cs="Arial" w:eastAsia="Arial" w:hAnsi="Arial"/>
          <w:sz w:val="14"/>
          <w:szCs w:val="14"/>
          <w:color w:val="auto"/>
        </w:rPr>
        <w:t>HAWN</w:t>
      </w:r>
      <w:r>
        <w:rPr>
          <w:rFonts w:ascii="Arial" w:cs="Arial" w:eastAsia="Arial" w:hAnsi="Arial"/>
          <w:sz w:val="18"/>
          <w:szCs w:val="18"/>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-1905</wp:posOffset>
            </wp:positionV>
            <wp:extent cx="27774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8"/>
          <w:szCs w:val="18"/>
          <w:color w:val="auto"/>
        </w:rPr>
        <w:t>Shawn Duffy</w:t>
      </w:r>
    </w:p>
    <w:p>
      <w:pPr>
        <w:ind w:left="68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4" w:name="page65"/>
    <w:bookmarkEnd w:id="64"/>
    <w:p>
      <w:pPr>
        <w:ind w:left="10200"/>
        <w:spacing w:after="0"/>
        <w:rPr>
          <w:sz w:val="20"/>
          <w:szCs w:val="20"/>
          <w:color w:val="auto"/>
        </w:rPr>
      </w:pPr>
      <w:r>
        <w:rPr>
          <w:rFonts w:ascii="Arial" w:cs="Arial" w:eastAsia="Arial" w:hAnsi="Arial"/>
          <w:sz w:val="18"/>
          <w:szCs w:val="18"/>
          <w:b w:val="1"/>
          <w:bCs w:val="1"/>
          <w:color w:val="auto"/>
        </w:rPr>
        <w:t>Exhibit 32.1</w:t>
      </w: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 OF CHIEF EXECUTIVE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104" w:lineRule="exact"/>
        <w:rPr>
          <w:sz w:val="20"/>
          <w:szCs w:val="20"/>
          <w:color w:val="auto"/>
        </w:rPr>
      </w:pPr>
    </w:p>
    <w:p>
      <w:pPr>
        <w:ind w:left="1020" w:right="4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December 31, 2021 (the “Report”) fully complies with the requirements of Section 13(a) or Section 15(d), as applicable, of the Securities Exchange Act of 1934, as amended; and</w:t>
      </w:r>
    </w:p>
    <w:p>
      <w:pPr>
        <w:spacing w:after="0" w:line="94"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8"/>
          <w:szCs w:val="18"/>
          <w:color w:val="auto"/>
        </w:rPr>
        <w:t>Date: February 4, 2022</w:t>
      </w:r>
      <w:r>
        <w:rPr>
          <w:sz w:val="20"/>
          <w:szCs w:val="20"/>
          <w:color w:val="auto"/>
        </w:rPr>
        <w:tab/>
      </w:r>
      <w:r>
        <w:rPr>
          <w:rFonts w:ascii="Arial" w:cs="Arial" w:eastAsia="Arial" w:hAnsi="Arial"/>
          <w:sz w:val="18"/>
          <w:szCs w:val="18"/>
          <w:color w:val="auto"/>
        </w:rPr>
        <w:t>/s/ R</w:t>
      </w:r>
      <w:r>
        <w:rPr>
          <w:rFonts w:ascii="Arial" w:cs="Arial" w:eastAsia="Arial" w:hAnsi="Arial"/>
          <w:sz w:val="14"/>
          <w:szCs w:val="14"/>
          <w:color w:val="auto"/>
        </w:rPr>
        <w:t>ICHARD</w:t>
      </w:r>
      <w:r>
        <w:rPr>
          <w:rFonts w:ascii="Arial" w:cs="Arial" w:eastAsia="Arial" w:hAnsi="Arial"/>
          <w:sz w:val="18"/>
          <w:szCs w:val="18"/>
          <w:color w:val="auto"/>
        </w:rPr>
        <w:t xml:space="preserve"> B</w:t>
      </w:r>
      <w:r>
        <w:rPr>
          <w:rFonts w:ascii="Arial" w:cs="Arial" w:eastAsia="Arial" w:hAnsi="Arial"/>
          <w:sz w:val="14"/>
          <w:szCs w:val="14"/>
          <w:color w:val="auto"/>
        </w:rPr>
        <w:t>ALDRIDGE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-1905</wp:posOffset>
            </wp:positionV>
            <wp:extent cx="27774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8"/>
          <w:szCs w:val="18"/>
          <w:color w:val="auto"/>
        </w:rPr>
        <w:t>Richard Baldridge</w:t>
      </w:r>
    </w:p>
    <w:p>
      <w:pPr>
        <w:ind w:left="6880"/>
        <w:spacing w:after="0"/>
        <w:rPr>
          <w:sz w:val="20"/>
          <w:szCs w:val="20"/>
          <w:color w:val="auto"/>
        </w:rPr>
      </w:pPr>
      <w:r>
        <w:rPr>
          <w:rFonts w:ascii="Arial" w:cs="Arial" w:eastAsia="Arial" w:hAnsi="Arial"/>
          <w:sz w:val="18"/>
          <w:szCs w:val="18"/>
          <w:color w:val="auto"/>
        </w:rPr>
        <w:t>Chief Executive Officer</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 OF CHIEF FINANCIAL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104" w:lineRule="exact"/>
        <w:rPr>
          <w:sz w:val="20"/>
          <w:szCs w:val="20"/>
          <w:color w:val="auto"/>
        </w:rPr>
      </w:pPr>
    </w:p>
    <w:p>
      <w:pPr>
        <w:ind w:left="1020" w:right="4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December 31, 2021 (the “Report”) fully complies with the requirements of Section 13(a) or Section 15(d), as applicable, of the Securities Exchange Act of 1934, as amended; and</w:t>
      </w:r>
    </w:p>
    <w:p>
      <w:pPr>
        <w:spacing w:after="0" w:line="94"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8"/>
          <w:szCs w:val="18"/>
          <w:color w:val="auto"/>
        </w:rPr>
        <w:t>Date: February 4, 2022</w:t>
      </w:r>
      <w:r>
        <w:rPr>
          <w:sz w:val="20"/>
          <w:szCs w:val="20"/>
          <w:color w:val="auto"/>
        </w:rPr>
        <w:tab/>
      </w:r>
      <w:r>
        <w:rPr>
          <w:rFonts w:ascii="Arial" w:cs="Arial" w:eastAsia="Arial" w:hAnsi="Arial"/>
          <w:sz w:val="18"/>
          <w:szCs w:val="18"/>
          <w:color w:val="auto"/>
        </w:rPr>
        <w:t>/s/ S</w:t>
      </w:r>
      <w:r>
        <w:rPr>
          <w:rFonts w:ascii="Arial" w:cs="Arial" w:eastAsia="Arial" w:hAnsi="Arial"/>
          <w:sz w:val="14"/>
          <w:szCs w:val="14"/>
          <w:color w:val="auto"/>
        </w:rPr>
        <w:t>HAWN</w:t>
      </w:r>
      <w:r>
        <w:rPr>
          <w:rFonts w:ascii="Arial" w:cs="Arial" w:eastAsia="Arial" w:hAnsi="Arial"/>
          <w:sz w:val="18"/>
          <w:szCs w:val="18"/>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-1905</wp:posOffset>
            </wp:positionV>
            <wp:extent cx="27774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8"/>
          <w:szCs w:val="18"/>
          <w:color w:val="auto"/>
        </w:rPr>
        <w:t>Shawn Duffy</w:t>
      </w:r>
    </w:p>
    <w:p>
      <w:pPr>
        <w:ind w:left="68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5" w:name="page66"/>
    <w:bookmarkEnd w:id="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842"/>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2"/>
    </w:lvl>
  </w:abstractNum>
  <w:abstractNum w:abstractNumId="13">
    <w:nsid w:val="62BBD95A"/>
    <w:multiLevelType w:val="hybridMultilevel"/>
    <w:lvl w:ilvl="0">
      <w:lvlJc w:val="left"/>
      <w:lvlText w:val="(%1)"/>
      <w:numFmt w:val="decimal"/>
      <w:start w:val="2"/>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7" Type="http://schemas.openxmlformats.org/officeDocument/2006/relationships/image" Target="media/image325.png"/><Relationship Id="rId338" Type="http://schemas.openxmlformats.org/officeDocument/2006/relationships/image" Target="media/image326.png"/><Relationship Id="rId339" Type="http://schemas.openxmlformats.org/officeDocument/2006/relationships/image" Target="media/image327.png"/><Relationship Id="rId340" Type="http://schemas.openxmlformats.org/officeDocument/2006/relationships/image" Target="media/image328.png"/><Relationship Id="rId341" Type="http://schemas.openxmlformats.org/officeDocument/2006/relationships/image" Target="media/image329.png"/><Relationship Id="rId342" Type="http://schemas.openxmlformats.org/officeDocument/2006/relationships/image" Target="media/image330.png"/><Relationship Id="rId343" Type="http://schemas.openxmlformats.org/officeDocument/2006/relationships/image" Target="media/image331.png"/><Relationship Id="rId344" Type="http://schemas.openxmlformats.org/officeDocument/2006/relationships/image" Target="media/image332.png"/><Relationship Id="rId345" Type="http://schemas.openxmlformats.org/officeDocument/2006/relationships/image" Target="media/image333.png"/><Relationship Id="rId346" Type="http://schemas.openxmlformats.org/officeDocument/2006/relationships/image" Target="media/image334.png"/><Relationship Id="rId347" Type="http://schemas.openxmlformats.org/officeDocument/2006/relationships/image" Target="media/image335.png"/><Relationship Id="rId332" Type="http://schemas.openxmlformats.org/officeDocument/2006/relationships/hyperlink" Target="https://www.sec.gov/Archives/edgar/data/797721/000119312521322283/d210128dex21.htm" TargetMode="External"/><Relationship Id="rId333" Type="http://schemas.openxmlformats.org/officeDocument/2006/relationships/hyperlink" Target="https://www.sec.gov/Archives/edgar/data/797721/000119312521322283/d210128dex101.htm" TargetMode="External"/><Relationship Id="rId334" Type="http://schemas.openxmlformats.org/officeDocument/2006/relationships/hyperlink" Target="https://www.sec.gov/Archives/edgar/data/797721/000119312521322283/d210128dex102.htm" TargetMode="External"/><Relationship Id="rId335" Type="http://schemas.openxmlformats.org/officeDocument/2006/relationships/hyperlink" Target="https://www.sec.gov/Archives/edgar/data/797721/000119312521322283/d210128dex103.htm" TargetMode="External"/><Relationship Id="rId336" Type="http://schemas.openxmlformats.org/officeDocument/2006/relationships/hyperlink" Target="https://www.sec.gov/Archives/edgar/data/797721/000119312521343695/d22012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2022-02-07T05:13:59Z</dcterms:created>
  <dcterms:modified xsi:type="dcterms:W3CDTF">2022-02-07T05:13:59Z</dcterms:modified>
</cp:coreProperties>
</file>