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9"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December 30, 2011.</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230" w:right="239" w:bottom="1440" w:gutter="0" w:footer="0" w:header="0"/>
        </w:sectPr>
      </w:pPr>
    </w:p>
    <w:p>
      <w:pPr>
        <w:spacing w:after="0" w:line="122" w:lineRule="exact"/>
        <w:rPr>
          <w:sz w:val="24"/>
          <w:szCs w:val="24"/>
          <w:color w:val="auto"/>
        </w:rPr>
      </w:pPr>
    </w:p>
    <w:p>
      <w:pPr>
        <w:ind w:left="390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216" w:lineRule="exact"/>
        <w:rPr>
          <w:sz w:val="24"/>
          <w:szCs w:val="24"/>
          <w:color w:val="auto"/>
        </w:rPr>
      </w:pPr>
    </w:p>
    <w:p>
      <w:pPr>
        <w:sectPr>
          <w:pgSz w:w="11900" w:h="16838" w:orient="portrait"/>
          <w:cols w:equalWidth="0" w:num="3">
            <w:col w:w="6160" w:space="620"/>
            <w:col w:w="140" w:space="580"/>
            <w:col w:w="3920"/>
          </w:cols>
          <w:pgMar w:left="240" w:top="230" w:right="239" w:bottom="1440" w:gutter="0" w:footer="0" w:header="0"/>
          <w:type w:val="continuous"/>
        </w:sectPr>
      </w:pPr>
    </w:p>
    <w:p>
      <w:pPr>
        <w:jc w:val="center"/>
        <w:ind w:right="-19"/>
        <w:spacing w:after="0"/>
        <w:rPr>
          <w:sz w:val="20"/>
          <w:szCs w:val="20"/>
          <w:color w:val="auto"/>
        </w:rPr>
      </w:pPr>
      <w:r>
        <w:rPr>
          <w:rFonts w:ascii="Arial" w:cs="Arial" w:eastAsia="Arial" w:hAnsi="Arial"/>
          <w:sz w:val="15"/>
          <w:szCs w:val="15"/>
          <w:b w:val="1"/>
          <w:bCs w:val="1"/>
          <w:color w:val="auto"/>
        </w:rPr>
        <w:t>Commission File Number (000-21767)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139700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p>
      <w:pPr>
        <w:spacing w:after="0" w:line="271" w:lineRule="exact"/>
        <w:rPr>
          <w:sz w:val="24"/>
          <w:szCs w:val="24"/>
          <w:color w:val="auto"/>
        </w:rPr>
      </w:pPr>
    </w:p>
    <w:tbl>
      <w:tblPr>
        <w:tblLayout w:type="fixed"/>
        <w:tblInd w:w="1980" w:type="dxa"/>
        <w:tblCellMar>
          <w:top w:w="0" w:type="dxa"/>
          <w:left w:w="0" w:type="dxa"/>
          <w:bottom w:w="0" w:type="dxa"/>
          <w:right w:w="0" w:type="dxa"/>
        </w:tblCellMar>
      </w:tblPr>
      <w:tr>
        <w:trPr>
          <w:trHeight w:val="529"/>
        </w:trPr>
        <w:tc>
          <w:tcPr>
            <w:tcW w:w="1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700" w:type="dxa"/>
            <w:vAlign w:val="bottom"/>
            <w:gridSpan w:val="2"/>
          </w:tcPr>
          <w:p>
            <w:pPr>
              <w:jc w:val="center"/>
              <w:ind w:right="2232"/>
              <w:spacing w:after="0"/>
              <w:rPr>
                <w:sz w:val="20"/>
                <w:szCs w:val="20"/>
                <w:color w:val="auto"/>
              </w:rPr>
            </w:pPr>
            <w:r>
              <w:rPr>
                <w:rFonts w:ascii="Arial" w:cs="Arial" w:eastAsia="Arial" w:hAnsi="Arial"/>
                <w:sz w:val="43"/>
                <w:szCs w:val="43"/>
                <w:b w:val="1"/>
                <w:bCs w:val="1"/>
                <w:color w:val="auto"/>
                <w:w w:val="94"/>
              </w:rPr>
              <w:t>ViaSat, Inc.</w:t>
            </w:r>
          </w:p>
        </w:tc>
      </w:tr>
      <w:tr>
        <w:trPr>
          <w:trHeight w:val="228"/>
        </w:trPr>
        <w:tc>
          <w:tcPr>
            <w:tcW w:w="1780" w:type="dxa"/>
            <w:vAlign w:val="bottom"/>
          </w:tcPr>
          <w:p>
            <w:pPr>
              <w:spacing w:after="0"/>
              <w:rPr>
                <w:sz w:val="19"/>
                <w:szCs w:val="19"/>
                <w:color w:val="auto"/>
              </w:rPr>
            </w:pPr>
          </w:p>
        </w:tc>
        <w:tc>
          <w:tcPr>
            <w:tcW w:w="5460" w:type="dxa"/>
            <w:vAlign w:val="bottom"/>
            <w:gridSpan w:val="3"/>
          </w:tcPr>
          <w:p>
            <w:pPr>
              <w:jc w:val="center"/>
              <w:ind w:right="1472"/>
              <w:spacing w:after="0"/>
              <w:rPr>
                <w:sz w:val="20"/>
                <w:szCs w:val="20"/>
                <w:color w:val="auto"/>
              </w:rPr>
            </w:pPr>
            <w:r>
              <w:rPr>
                <w:rFonts w:ascii="Arial" w:cs="Arial" w:eastAsia="Arial" w:hAnsi="Arial"/>
                <w:sz w:val="18"/>
                <w:szCs w:val="18"/>
                <w:b w:val="1"/>
                <w:bCs w:val="1"/>
                <w:color w:val="auto"/>
                <w:w w:val="87"/>
              </w:rPr>
              <w:t>(Exact name of registrant as specified in its charter)</w:t>
            </w:r>
          </w:p>
        </w:tc>
      </w:tr>
      <w:tr>
        <w:trPr>
          <w:trHeight w:val="178"/>
        </w:trPr>
        <w:tc>
          <w:tcPr>
            <w:tcW w:w="1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380" w:type="dxa"/>
            <w:vAlign w:val="bottom"/>
            <w:tcBorders>
              <w:bottom w:val="single" w:sz="8" w:color="auto"/>
            </w:tcBorders>
          </w:tcPr>
          <w:p>
            <w:pPr>
              <w:spacing w:after="0"/>
              <w:rPr>
                <w:sz w:val="15"/>
                <w:szCs w:val="15"/>
                <w:color w:val="auto"/>
              </w:rPr>
            </w:pPr>
          </w:p>
        </w:tc>
        <w:tc>
          <w:tcPr>
            <w:tcW w:w="2320" w:type="dxa"/>
            <w:vAlign w:val="bottom"/>
          </w:tcPr>
          <w:p>
            <w:pPr>
              <w:spacing w:after="0"/>
              <w:rPr>
                <w:sz w:val="15"/>
                <w:szCs w:val="15"/>
                <w:color w:val="auto"/>
              </w:rPr>
            </w:pPr>
          </w:p>
        </w:tc>
      </w:tr>
      <w:tr>
        <w:trPr>
          <w:trHeight w:val="305"/>
        </w:trPr>
        <w:tc>
          <w:tcPr>
            <w:tcW w:w="1780" w:type="dxa"/>
            <w:vAlign w:val="bottom"/>
          </w:tcPr>
          <w:p>
            <w:pPr>
              <w:jc w:val="center"/>
              <w:spacing w:after="0"/>
              <w:rPr>
                <w:sz w:val="20"/>
                <w:szCs w:val="20"/>
                <w:color w:val="auto"/>
              </w:rPr>
            </w:pPr>
            <w:r>
              <w:rPr>
                <w:rFonts w:ascii="Arial" w:cs="Arial" w:eastAsia="Arial" w:hAnsi="Arial"/>
                <w:sz w:val="18"/>
                <w:szCs w:val="18"/>
                <w:b w:val="1"/>
                <w:bCs w:val="1"/>
                <w:color w:val="auto"/>
                <w:w w:val="88"/>
              </w:rPr>
              <w:t>Delaware</w:t>
            </w:r>
          </w:p>
        </w:tc>
        <w:tc>
          <w:tcPr>
            <w:tcW w:w="5460" w:type="dxa"/>
            <w:vAlign w:val="bottom"/>
            <w:gridSpan w:val="3"/>
          </w:tcPr>
          <w:p>
            <w:pPr>
              <w:jc w:val="center"/>
              <w:ind w:left="4297"/>
              <w:spacing w:after="0"/>
              <w:rPr>
                <w:sz w:val="20"/>
                <w:szCs w:val="20"/>
                <w:color w:val="auto"/>
              </w:rPr>
            </w:pPr>
            <w:r>
              <w:rPr>
                <w:rFonts w:ascii="Arial" w:cs="Arial" w:eastAsia="Arial" w:hAnsi="Arial"/>
                <w:sz w:val="18"/>
                <w:szCs w:val="18"/>
                <w:b w:val="1"/>
                <w:bCs w:val="1"/>
                <w:color w:val="auto"/>
                <w:w w:val="87"/>
              </w:rPr>
              <w:t>33-0174996</w:t>
            </w:r>
          </w:p>
        </w:tc>
      </w:tr>
      <w:tr>
        <w:trPr>
          <w:trHeight w:val="149"/>
        </w:trPr>
        <w:tc>
          <w:tcPr>
            <w:tcW w:w="1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7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320" w:type="dxa"/>
            <w:vAlign w:val="bottom"/>
          </w:tcPr>
          <w:p>
            <w:pPr>
              <w:jc w:val="center"/>
              <w:ind w:left="1192"/>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88"/>
              </w:rPr>
              <w:t>incorporation or organization)</w:t>
            </w:r>
          </w:p>
        </w:tc>
        <w:tc>
          <w:tcPr>
            <w:tcW w:w="76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320" w:type="dxa"/>
            <w:vAlign w:val="bottom"/>
          </w:tcPr>
          <w:p>
            <w:pPr>
              <w:jc w:val="center"/>
              <w:ind w:left="1192"/>
              <w:spacing w:after="0"/>
              <w:rPr>
                <w:sz w:val="20"/>
                <w:szCs w:val="20"/>
                <w:color w:val="auto"/>
              </w:rPr>
            </w:pPr>
            <w:r>
              <w:rPr>
                <w:rFonts w:ascii="Arial" w:cs="Arial" w:eastAsia="Arial" w:hAnsi="Arial"/>
                <w:sz w:val="14"/>
                <w:szCs w:val="14"/>
                <w:b w:val="1"/>
                <w:bCs w:val="1"/>
                <w:color w:val="auto"/>
                <w:w w:val="89"/>
              </w:rPr>
              <w:t>Identification No.)</w:t>
            </w:r>
          </w:p>
        </w:tc>
      </w:tr>
      <w:tr>
        <w:trPr>
          <w:trHeight w:val="364"/>
        </w:trPr>
        <w:tc>
          <w:tcPr>
            <w:tcW w:w="1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700" w:type="dxa"/>
            <w:vAlign w:val="bottom"/>
            <w:gridSpan w:val="2"/>
          </w:tcPr>
          <w:p>
            <w:pPr>
              <w:jc w:val="center"/>
              <w:ind w:right="2252"/>
              <w:spacing w:after="0"/>
              <w:rPr>
                <w:sz w:val="20"/>
                <w:szCs w:val="20"/>
                <w:color w:val="auto"/>
              </w:rPr>
            </w:pPr>
            <w:r>
              <w:rPr>
                <w:rFonts w:ascii="Arial" w:cs="Arial" w:eastAsia="Arial" w:hAnsi="Arial"/>
                <w:sz w:val="18"/>
                <w:szCs w:val="18"/>
                <w:b w:val="1"/>
                <w:bCs w:val="1"/>
                <w:color w:val="auto"/>
                <w:w w:val="89"/>
              </w:rPr>
              <w:t>6155 El Camino Real</w:t>
            </w:r>
          </w:p>
        </w:tc>
      </w:tr>
      <w:tr>
        <w:trPr>
          <w:trHeight w:val="216"/>
        </w:trPr>
        <w:tc>
          <w:tcPr>
            <w:tcW w:w="1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700" w:type="dxa"/>
            <w:vAlign w:val="bottom"/>
            <w:gridSpan w:val="2"/>
          </w:tcPr>
          <w:p>
            <w:pPr>
              <w:jc w:val="center"/>
              <w:ind w:right="2232"/>
              <w:spacing w:after="0"/>
              <w:rPr>
                <w:sz w:val="20"/>
                <w:szCs w:val="20"/>
                <w:color w:val="auto"/>
              </w:rPr>
            </w:pPr>
            <w:r>
              <w:rPr>
                <w:rFonts w:ascii="Arial" w:cs="Arial" w:eastAsia="Arial" w:hAnsi="Arial"/>
                <w:sz w:val="18"/>
                <w:szCs w:val="18"/>
                <w:b w:val="1"/>
                <w:bCs w:val="1"/>
                <w:color w:val="auto"/>
                <w:w w:val="90"/>
              </w:rPr>
              <w:t>Carlsbad, California 92009</w:t>
            </w:r>
          </w:p>
        </w:tc>
      </w:tr>
      <w:tr>
        <w:trPr>
          <w:trHeight w:val="218"/>
        </w:trPr>
        <w:tc>
          <w:tcPr>
            <w:tcW w:w="1780" w:type="dxa"/>
            <w:vAlign w:val="bottom"/>
          </w:tcPr>
          <w:p>
            <w:pPr>
              <w:spacing w:after="0"/>
              <w:rPr>
                <w:sz w:val="18"/>
                <w:szCs w:val="18"/>
                <w:color w:val="auto"/>
              </w:rPr>
            </w:pPr>
          </w:p>
        </w:tc>
        <w:tc>
          <w:tcPr>
            <w:tcW w:w="3140" w:type="dxa"/>
            <w:vAlign w:val="bottom"/>
            <w:gridSpan w:val="2"/>
          </w:tcPr>
          <w:p>
            <w:pPr>
              <w:jc w:val="center"/>
              <w:ind w:left="677"/>
              <w:spacing w:after="0"/>
              <w:rPr>
                <w:sz w:val="20"/>
                <w:szCs w:val="20"/>
                <w:color w:val="auto"/>
              </w:rPr>
            </w:pPr>
            <w:r>
              <w:rPr>
                <w:rFonts w:ascii="Arial" w:cs="Arial" w:eastAsia="Arial" w:hAnsi="Arial"/>
                <w:sz w:val="18"/>
                <w:szCs w:val="18"/>
                <w:b w:val="1"/>
                <w:bCs w:val="1"/>
                <w:color w:val="auto"/>
                <w:w w:val="89"/>
              </w:rPr>
              <w:t>(760) 476-2200</w:t>
            </w:r>
          </w:p>
        </w:tc>
        <w:tc>
          <w:tcPr>
            <w:tcW w:w="2320" w:type="dxa"/>
            <w:vAlign w:val="bottom"/>
          </w:tcPr>
          <w:p>
            <w:pPr>
              <w:spacing w:after="0"/>
              <w:rPr>
                <w:sz w:val="18"/>
                <w:szCs w:val="18"/>
                <w:color w:val="auto"/>
              </w:rPr>
            </w:pPr>
          </w:p>
        </w:tc>
      </w:tr>
      <w:tr>
        <w:trPr>
          <w:trHeight w:val="174"/>
        </w:trPr>
        <w:tc>
          <w:tcPr>
            <w:tcW w:w="1780" w:type="dxa"/>
            <w:vAlign w:val="bottom"/>
          </w:tcPr>
          <w:p>
            <w:pPr>
              <w:spacing w:after="0"/>
              <w:rPr>
                <w:sz w:val="15"/>
                <w:szCs w:val="15"/>
                <w:color w:val="auto"/>
              </w:rPr>
            </w:pPr>
          </w:p>
        </w:tc>
        <w:tc>
          <w:tcPr>
            <w:tcW w:w="5460" w:type="dxa"/>
            <w:vAlign w:val="bottom"/>
            <w:gridSpan w:val="3"/>
          </w:tcPr>
          <w:p>
            <w:pPr>
              <w:jc w:val="center"/>
              <w:ind w:right="1472"/>
              <w:spacing w:after="0"/>
              <w:rPr>
                <w:sz w:val="20"/>
                <w:szCs w:val="20"/>
                <w:color w:val="auto"/>
              </w:rPr>
            </w:pPr>
            <w:r>
              <w:rPr>
                <w:rFonts w:ascii="Arial" w:cs="Arial" w:eastAsia="Arial" w:hAnsi="Arial"/>
                <w:sz w:val="14"/>
                <w:szCs w:val="14"/>
                <w:b w:val="1"/>
                <w:bCs w:val="1"/>
                <w:color w:val="auto"/>
                <w:w w:val="85"/>
              </w:rPr>
              <w:t>(Address of principal executive offices and telephone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5"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6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type w:val="continuous"/>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220" w:space="720"/>
            <w:col w:w="1680" w:space="72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00" w:space="420"/>
            <w:col w:w="160" w:space="100"/>
            <w:col w:w="5960" w:space="720"/>
            <w:col w:w="1920" w:space="480"/>
            <w:col w:w="160"/>
          </w:cols>
          <w:pgMar w:left="240" w:top="230" w:right="239" w:bottom="1440" w:gutter="0" w:footer="0" w:header="0"/>
          <w:type w:val="continuous"/>
        </w:sectPr>
      </w:pPr>
    </w:p>
    <w:p>
      <w:pPr>
        <w:spacing w:after="0" w:line="32"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20" w:lineRule="exact"/>
        <w:rPr>
          <w:sz w:val="24"/>
          <w:szCs w:val="24"/>
          <w:color w:val="auto"/>
        </w:rPr>
      </w:pPr>
    </w:p>
    <w:p>
      <w:pPr>
        <w:sectPr>
          <w:pgSz w:w="11900" w:h="16838" w:orient="portrait"/>
          <w:cols w:equalWidth="0" w:num="4">
            <w:col w:w="8440" w:space="160"/>
            <w:col w:w="260" w:space="100"/>
            <w:col w:w="140" w:space="200"/>
            <w:col w:w="2120"/>
          </w:cols>
          <w:pgMar w:left="240" w:top="230" w:right="239" w:bottom="1440" w:gutter="0" w:footer="0" w:header="0"/>
          <w:type w:val="continuous"/>
        </w:sectPr>
      </w:pPr>
    </w:p>
    <w:p>
      <w:pPr>
        <w:spacing w:after="0" w:line="6" w:lineRule="exact"/>
        <w:rPr>
          <w:sz w:val="24"/>
          <w:szCs w:val="24"/>
          <w:color w:val="auto"/>
        </w:rPr>
      </w:pPr>
    </w:p>
    <w:p>
      <w:pPr>
        <w:ind w:left="460"/>
        <w:spacing w:after="0"/>
        <w:rPr>
          <w:sz w:val="20"/>
          <w:szCs w:val="20"/>
          <w:color w:val="auto"/>
        </w:rPr>
      </w:pPr>
      <w:r>
        <w:rPr>
          <w:rFonts w:ascii="Arial" w:cs="Arial" w:eastAsia="Arial" w:hAnsi="Arial"/>
          <w:sz w:val="15"/>
          <w:szCs w:val="15"/>
          <w:color w:val="auto"/>
        </w:rPr>
        <w:t>The number of shares outstanding of the registrant’s common stock, $0.0001 par value, as of February 1, 2012 was 42,838,630.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40" w:type="dxa"/>
            <w:vAlign w:val="bottom"/>
            <w:gridSpan w:val="3"/>
          </w:tcPr>
          <w:p>
            <w:pPr>
              <w:jc w:val="center"/>
              <w:ind w:right="4420"/>
              <w:spacing w:after="0"/>
              <w:rPr>
                <w:sz w:val="20"/>
                <w:szCs w:val="20"/>
                <w:color w:val="auto"/>
              </w:rPr>
            </w:pPr>
            <w:r>
              <w:rPr>
                <w:rFonts w:ascii="Arial" w:cs="Arial" w:eastAsia="Arial" w:hAnsi="Arial"/>
                <w:sz w:val="18"/>
                <w:szCs w:val="18"/>
                <w:b w:val="1"/>
                <w:bCs w:val="1"/>
                <w:color w:val="auto"/>
                <w:w w:val="98"/>
              </w:rPr>
              <w:t>VIASAT, INC.</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40" w:type="dxa"/>
            <w:vAlign w:val="bottom"/>
            <w:gridSpan w:val="4"/>
          </w:tcPr>
          <w:p>
            <w:pPr>
              <w:jc w:val="center"/>
              <w:ind w:right="4200"/>
              <w:spacing w:after="0"/>
              <w:rPr>
                <w:sz w:val="20"/>
                <w:szCs w:val="20"/>
                <w:color w:val="auto"/>
              </w:rPr>
            </w:pPr>
            <w:r>
              <w:rPr>
                <w:rFonts w:ascii="Arial" w:cs="Arial" w:eastAsia="Arial" w:hAnsi="Arial"/>
                <w:sz w:val="18"/>
                <w:szCs w:val="18"/>
                <w:b w:val="1"/>
                <w:bCs w:val="1"/>
                <w:color w:val="auto"/>
                <w:w w:val="96"/>
              </w:rPr>
              <w:t>TABLE OF CONTENTS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3000" w:type="dxa"/>
            <w:vAlign w:val="bottom"/>
            <w:gridSpan w:val="10"/>
            <w:vMerge w:val="restart"/>
          </w:tcPr>
          <w:p>
            <w:pPr>
              <w:spacing w:after="0"/>
              <w:rPr>
                <w:rFonts w:ascii="Arial" w:cs="Arial" w:eastAsia="Arial" w:hAnsi="Arial"/>
                <w:sz w:val="18"/>
                <w:szCs w:val="18"/>
                <w:b w:val="1"/>
                <w:bCs w:val="1"/>
                <w:color w:val="0000EE"/>
                <w:w w:val="99"/>
              </w:rPr>
            </w:pPr>
            <w:hyperlink w:anchor="page3">
              <w:r>
                <w:rPr>
                  <w:rFonts w:ascii="Arial" w:cs="Arial" w:eastAsia="Arial" w:hAnsi="Arial"/>
                  <w:sz w:val="18"/>
                  <w:szCs w:val="18"/>
                  <w:b w:val="1"/>
                  <w:bCs w:val="1"/>
                  <w:color w:val="0000EE"/>
                  <w:w w:val="99"/>
                </w:rPr>
                <w:t>PART I. FINANCIAL INFORMATION</w:t>
              </w:r>
            </w:hyperlink>
          </w:p>
        </w:tc>
        <w:tc>
          <w:tcPr>
            <w:tcW w:w="8040" w:type="dxa"/>
            <w:vAlign w:val="bottom"/>
            <w:gridSpan w:val="8"/>
            <w:vMerge w:val="restart"/>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1"/>
        </w:trPr>
        <w:tc>
          <w:tcPr>
            <w:tcW w:w="3000" w:type="dxa"/>
            <w:vAlign w:val="bottom"/>
            <w:tcBorders>
              <w:bottom w:val="single" w:sz="8" w:color="0000EE"/>
            </w:tcBorders>
            <w:gridSpan w:val="10"/>
            <w:vMerge w:val="continue"/>
          </w:tcPr>
          <w:p>
            <w:pPr>
              <w:spacing w:after="0"/>
              <w:rPr>
                <w:sz w:val="13"/>
                <w:szCs w:val="13"/>
                <w:color w:val="auto"/>
              </w:rPr>
            </w:pPr>
          </w:p>
        </w:tc>
        <w:tc>
          <w:tcPr>
            <w:tcW w:w="8040" w:type="dxa"/>
            <w:vAlign w:val="bottom"/>
            <w:gridSpan w:val="8"/>
            <w:vMerge w:val="continue"/>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1040" w:type="dxa"/>
            <w:vAlign w:val="bottom"/>
            <w:gridSpan w:val="18"/>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Item 1. Financial Statements (Unaudited)</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17"/>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17"/>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17"/>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360" w:type="dxa"/>
            <w:vAlign w:val="bottom"/>
            <w:gridSpan w:val="5"/>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5220" w:type="dxa"/>
            <w:vAlign w:val="bottom"/>
            <w:tcBorders>
              <w:bottom w:val="single" w:sz="8" w:color="0000EE"/>
            </w:tcBorders>
            <w:gridSpan w:val="15"/>
          </w:tcPr>
          <w:p>
            <w:pPr>
              <w:spacing w:after="0" w:line="19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Condensed Consolidated Statement of Equity and Comprehensive Income</w:t>
              </w:r>
            </w:hyperlink>
          </w:p>
        </w:tc>
        <w:tc>
          <w:tcPr>
            <w:tcW w:w="538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160" w:type="dxa"/>
            <w:vAlign w:val="bottom"/>
            <w:tcBorders>
              <w:bottom w:val="single" w:sz="8" w:color="0000EE"/>
            </w:tcBorders>
            <w:gridSpan w:val="13"/>
          </w:tcPr>
          <w:p>
            <w:pPr>
              <w:spacing w:after="0" w:line="196" w:lineRule="exact"/>
              <w:rPr>
                <w:rFonts w:ascii="Arial" w:cs="Arial" w:eastAsia="Arial" w:hAnsi="Arial"/>
                <w:sz w:val="18"/>
                <w:szCs w:val="18"/>
                <w:color w:val="0000EE"/>
                <w:w w:val="86"/>
              </w:rPr>
            </w:pPr>
            <w:hyperlink w:anchor="page7">
              <w:r>
                <w:rPr>
                  <w:rFonts w:ascii="Arial" w:cs="Arial" w:eastAsia="Arial" w:hAnsi="Arial"/>
                  <w:sz w:val="18"/>
                  <w:szCs w:val="18"/>
                  <w:color w:val="0000EE"/>
                  <w:w w:val="86"/>
                </w:rPr>
                <w:t>Notes to the Condensed Consolidated Financial Statements</w:t>
              </w:r>
            </w:hyperlink>
          </w:p>
        </w:tc>
        <w:tc>
          <w:tcPr>
            <w:tcW w:w="644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1040" w:type="dxa"/>
            <w:vAlign w:val="bottom"/>
            <w:gridSpan w:val="18"/>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Item 2. Management’s Discussion and Analysis of Financial Condition and Results of Operations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gridSpan w:val="2"/>
          </w:tcPr>
          <w:p>
            <w:pPr>
              <w:spacing w:after="0" w:line="196" w:lineRule="exact"/>
              <w:rPr>
                <w:rFonts w:ascii="Arial" w:cs="Arial" w:eastAsia="Arial" w:hAnsi="Arial"/>
                <w:sz w:val="18"/>
                <w:szCs w:val="18"/>
                <w:color w:val="0000EE"/>
                <w:w w:val="90"/>
              </w:rPr>
            </w:pPr>
            <w:hyperlink w:anchor="page53">
              <w:r>
                <w:rPr>
                  <w:rFonts w:ascii="Arial" w:cs="Arial" w:eastAsia="Arial" w:hAnsi="Arial"/>
                  <w:sz w:val="18"/>
                  <w:szCs w:val="18"/>
                  <w:color w:val="0000EE"/>
                  <w:w w:val="90"/>
                </w:rPr>
                <w:t>Item 3.</w:t>
              </w:r>
            </w:hyperlink>
          </w:p>
        </w:tc>
        <w:tc>
          <w:tcPr>
            <w:tcW w:w="6320" w:type="dxa"/>
            <w:vAlign w:val="bottom"/>
            <w:tcBorders>
              <w:top w:val="single" w:sz="8" w:color="0000EE"/>
            </w:tcBorders>
            <w:gridSpan w:val="15"/>
          </w:tcPr>
          <w:p>
            <w:pPr>
              <w:ind w:left="20"/>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Quantitative and Qualitative Disclosures About Market Risk</w:t>
              </w:r>
            </w:hyperlink>
          </w:p>
        </w:tc>
        <w:tc>
          <w:tcPr>
            <w:tcW w:w="420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53">
              <w:r>
                <w:rPr>
                  <w:rFonts w:ascii="Arial" w:cs="Arial" w:eastAsia="Arial" w:hAnsi="Arial"/>
                  <w:sz w:val="18"/>
                  <w:szCs w:val="18"/>
                  <w:color w:val="0000EE"/>
                  <w:w w:val="90"/>
                </w:rPr>
                <w:t>Item 4.</w:t>
              </w:r>
            </w:hyperlink>
          </w:p>
        </w:tc>
        <w:tc>
          <w:tcPr>
            <w:tcW w:w="1760" w:type="dxa"/>
            <w:vAlign w:val="bottom"/>
            <w:tcBorders>
              <w:top w:val="single" w:sz="8" w:color="0000EE"/>
              <w:bottom w:val="single" w:sz="8" w:color="0000EE"/>
            </w:tcBorders>
            <w:gridSpan w:val="5"/>
          </w:tcPr>
          <w:p>
            <w:pPr>
              <w:ind w:left="20"/>
              <w:spacing w:after="0" w:line="196" w:lineRule="exact"/>
              <w:rPr>
                <w:rFonts w:ascii="Arial" w:cs="Arial" w:eastAsia="Arial" w:hAnsi="Arial"/>
                <w:sz w:val="18"/>
                <w:szCs w:val="18"/>
                <w:color w:val="0000EE"/>
                <w:w w:val="86"/>
              </w:rPr>
            </w:pPr>
            <w:hyperlink w:anchor="page53">
              <w:r>
                <w:rPr>
                  <w:rFonts w:ascii="Arial" w:cs="Arial" w:eastAsia="Arial" w:hAnsi="Arial"/>
                  <w:sz w:val="18"/>
                  <w:szCs w:val="18"/>
                  <w:color w:val="0000EE"/>
                  <w:w w:val="86"/>
                </w:rPr>
                <w:t>Controls and Procedures</w:t>
              </w:r>
            </w:hyperlink>
          </w:p>
        </w:tc>
        <w:tc>
          <w:tcPr>
            <w:tcW w:w="2520" w:type="dxa"/>
            <w:vAlign w:val="bottom"/>
            <w:tcBorders>
              <w:top w:val="single" w:sz="8" w:color="0000EE"/>
            </w:tcBorders>
            <w:gridSpan w:val="8"/>
          </w:tcPr>
          <w:p>
            <w:pPr>
              <w:spacing w:after="0"/>
              <w:rPr>
                <w:sz w:val="17"/>
                <w:szCs w:val="17"/>
                <w:color w:val="auto"/>
              </w:rPr>
            </w:pPr>
          </w:p>
        </w:tc>
        <w:tc>
          <w:tcPr>
            <w:tcW w:w="624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11040" w:type="dxa"/>
            <w:vAlign w:val="bottom"/>
            <w:gridSpan w:val="18"/>
          </w:tcPr>
          <w:p>
            <w:pPr>
              <w:spacing w:after="0" w:line="196" w:lineRule="exact"/>
              <w:rPr>
                <w:rFonts w:ascii="Arial" w:cs="Arial" w:eastAsia="Arial" w:hAnsi="Arial"/>
                <w:sz w:val="18"/>
                <w:szCs w:val="18"/>
                <w:b w:val="1"/>
                <w:bCs w:val="1"/>
                <w:color w:val="0000EE"/>
              </w:rPr>
            </w:pPr>
            <w:hyperlink w:anchor="page54">
              <w:r>
                <w:rPr>
                  <w:rFonts w:ascii="Arial" w:cs="Arial" w:eastAsia="Arial" w:hAnsi="Arial"/>
                  <w:sz w:val="18"/>
                  <w:szCs w:val="18"/>
                  <w:b w:val="1"/>
                  <w:bCs w:val="1"/>
                  <w:color w:val="0000EE"/>
                </w:rPr>
                <w:t>PART II. OTHER INFORMATION</w:t>
              </w:r>
            </w:hyperlink>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54">
              <w:r>
                <w:rPr>
                  <w:rFonts w:ascii="Arial" w:cs="Arial" w:eastAsia="Arial" w:hAnsi="Arial"/>
                  <w:sz w:val="18"/>
                  <w:szCs w:val="18"/>
                  <w:color w:val="0000EE"/>
                  <w:w w:val="90"/>
                </w:rPr>
                <w:t>Item 1.</w:t>
              </w:r>
            </w:hyperlink>
          </w:p>
        </w:tc>
        <w:tc>
          <w:tcPr>
            <w:tcW w:w="1340" w:type="dxa"/>
            <w:vAlign w:val="bottom"/>
            <w:tcBorders>
              <w:top w:val="single" w:sz="8" w:color="0000EE"/>
              <w:bottom w:val="single" w:sz="8" w:color="0000EE"/>
            </w:tcBorders>
            <w:gridSpan w:val="4"/>
          </w:tcPr>
          <w:p>
            <w:pPr>
              <w:ind w:left="20"/>
              <w:spacing w:after="0" w:line="196" w:lineRule="exact"/>
              <w:rPr>
                <w:rFonts w:ascii="Arial" w:cs="Arial" w:eastAsia="Arial" w:hAnsi="Arial"/>
                <w:sz w:val="18"/>
                <w:szCs w:val="18"/>
                <w:color w:val="0000EE"/>
                <w:w w:val="87"/>
              </w:rPr>
            </w:pPr>
            <w:hyperlink w:anchor="page54">
              <w:r>
                <w:rPr>
                  <w:rFonts w:ascii="Arial" w:cs="Arial" w:eastAsia="Arial" w:hAnsi="Arial"/>
                  <w:sz w:val="18"/>
                  <w:szCs w:val="18"/>
                  <w:color w:val="0000EE"/>
                  <w:w w:val="87"/>
                </w:rPr>
                <w:t>Legal Proceedings</w:t>
              </w:r>
            </w:hyperlink>
          </w:p>
        </w:tc>
        <w:tc>
          <w:tcPr>
            <w:tcW w:w="840" w:type="dxa"/>
            <w:vAlign w:val="bottom"/>
            <w:tcBorders>
              <w:top w:val="single" w:sz="8" w:color="0000EE"/>
            </w:tcBorders>
            <w:gridSpan w:val="2"/>
          </w:tcPr>
          <w:p>
            <w:pPr>
              <w:spacing w:after="0"/>
              <w:rPr>
                <w:sz w:val="17"/>
                <w:szCs w:val="17"/>
                <w:color w:val="auto"/>
              </w:rPr>
            </w:pPr>
          </w:p>
        </w:tc>
        <w:tc>
          <w:tcPr>
            <w:tcW w:w="8340" w:type="dxa"/>
            <w:vAlign w:val="bottom"/>
            <w:gridSpan w:val="1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6"/>
        </w:trPr>
        <w:tc>
          <w:tcPr>
            <w:tcW w:w="156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Item 1A. Risk Factors</w:t>
              </w:r>
            </w:hyperlink>
          </w:p>
        </w:tc>
        <w:tc>
          <w:tcPr>
            <w:tcW w:w="9480" w:type="dxa"/>
            <w:vAlign w:val="bottom"/>
            <w:gridSpan w:val="1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54">
              <w:r>
                <w:rPr>
                  <w:rFonts w:ascii="Arial" w:cs="Arial" w:eastAsia="Arial" w:hAnsi="Arial"/>
                  <w:sz w:val="18"/>
                  <w:szCs w:val="18"/>
                  <w:color w:val="0000EE"/>
                  <w:w w:val="90"/>
                </w:rPr>
                <w:t>Item 6.</w:t>
              </w:r>
            </w:hyperlink>
          </w:p>
        </w:tc>
        <w:tc>
          <w:tcPr>
            <w:tcW w:w="620" w:type="dxa"/>
            <w:vAlign w:val="bottom"/>
            <w:tcBorders>
              <w:bottom w:val="single" w:sz="8" w:color="0000EE"/>
            </w:tcBorders>
            <w:gridSpan w:val="2"/>
          </w:tcPr>
          <w:p>
            <w:pPr>
              <w:ind w:left="20"/>
              <w:spacing w:after="0" w:line="196" w:lineRule="exact"/>
              <w:rPr>
                <w:rFonts w:ascii="Arial" w:cs="Arial" w:eastAsia="Arial" w:hAnsi="Arial"/>
                <w:sz w:val="18"/>
                <w:szCs w:val="18"/>
                <w:color w:val="0000EE"/>
                <w:w w:val="91"/>
              </w:rPr>
            </w:pPr>
            <w:hyperlink w:anchor="page54">
              <w:r>
                <w:rPr>
                  <w:rFonts w:ascii="Arial" w:cs="Arial" w:eastAsia="Arial" w:hAnsi="Arial"/>
                  <w:sz w:val="18"/>
                  <w:szCs w:val="18"/>
                  <w:color w:val="0000EE"/>
                  <w:w w:val="91"/>
                </w:rPr>
                <w:t>Exhibits</w:t>
              </w:r>
            </w:hyperlink>
          </w:p>
        </w:tc>
        <w:tc>
          <w:tcPr>
            <w:tcW w:w="9900" w:type="dxa"/>
            <w:vAlign w:val="bottom"/>
            <w:gridSpan w:val="1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6"/>
        </w:trPr>
        <w:tc>
          <w:tcPr>
            <w:tcW w:w="11040" w:type="dxa"/>
            <w:vAlign w:val="bottom"/>
            <w:gridSpan w:val="18"/>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Signatures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383"/>
        </w:trPr>
        <w:tc>
          <w:tcPr>
            <w:tcW w:w="4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100" w:type="dxa"/>
            <w:vAlign w:val="bottom"/>
            <w:gridSpan w:val="14"/>
          </w:tcPr>
          <w:p>
            <w:pPr>
              <w:jc w:val="center"/>
              <w:ind w:left="3772"/>
              <w:spacing w:after="0"/>
              <w:rPr>
                <w:sz w:val="20"/>
                <w:szCs w:val="20"/>
                <w:color w:val="auto"/>
              </w:rPr>
            </w:pPr>
            <w:r>
              <w:rPr>
                <w:rFonts w:ascii="Arial" w:cs="Arial" w:eastAsia="Arial" w:hAnsi="Arial"/>
                <w:sz w:val="18"/>
                <w:szCs w:val="18"/>
                <w:color w:val="auto"/>
                <w:w w:val="79"/>
              </w:rPr>
              <w:t>2</w:t>
            </w:r>
          </w:p>
        </w:tc>
        <w:tc>
          <w:tcPr>
            <w:tcW w:w="4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rPr>
              <w:t>As of</w:t>
            </w:r>
          </w:p>
        </w:tc>
        <w:tc>
          <w:tcPr>
            <w:tcW w:w="80" w:type="dxa"/>
            <w:vAlign w:val="bottom"/>
          </w:tcPr>
          <w:p>
            <w:pPr>
              <w:spacing w:after="0"/>
              <w:rPr>
                <w:sz w:val="14"/>
                <w:szCs w:val="14"/>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860" w:type="dxa"/>
            <w:vAlign w:val="bottom"/>
          </w:tcPr>
          <w:p>
            <w:pPr>
              <w:spacing w:after="0"/>
              <w:rPr>
                <w:sz w:val="14"/>
                <w:szCs w:val="14"/>
                <w:color w:val="auto"/>
              </w:rPr>
            </w:pPr>
          </w:p>
        </w:tc>
        <w:tc>
          <w:tcPr>
            <w:tcW w:w="1640" w:type="dxa"/>
            <w:vAlign w:val="bottom"/>
            <w:gridSpan w:val="3"/>
          </w:tcPr>
          <w:p>
            <w:pPr>
              <w:spacing w:after="0"/>
              <w:rPr>
                <w:sz w:val="20"/>
                <w:szCs w:val="20"/>
                <w:color w:val="auto"/>
              </w:rPr>
            </w:pPr>
            <w:r>
              <w:rPr>
                <w:rFonts w:ascii="Arial" w:cs="Arial" w:eastAsia="Arial" w:hAnsi="Arial"/>
                <w:sz w:val="14"/>
                <w:szCs w:val="14"/>
                <w:b w:val="1"/>
                <w:bCs w:val="1"/>
                <w:color w:val="auto"/>
              </w:rPr>
              <w:t>December 30, 2011</w:t>
            </w:r>
          </w:p>
        </w:tc>
        <w:tc>
          <w:tcPr>
            <w:tcW w:w="9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89"/>
              </w:rPr>
              <w:t>April 1, 2011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388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45,842</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184,299</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191,889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129,763</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18,581</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18,805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51,411</w:t>
            </w:r>
          </w:p>
        </w:tc>
        <w:tc>
          <w:tcPr>
            <w:tcW w:w="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860" w:type="dxa"/>
            <w:vAlign w:val="bottom"/>
          </w:tcPr>
          <w:p>
            <w:pPr>
              <w:ind w:left="42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429,896</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370,880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Satellites, net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597,236</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275,598</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233,139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Other acquired intangible assets, net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67,226</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83,151</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83,532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126,556</w:t>
            </w:r>
          </w:p>
        </w:tc>
        <w:tc>
          <w:tcPr>
            <w:tcW w:w="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103,308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60" w:type="dxa"/>
            <w:vAlign w:val="bottom"/>
          </w:tcPr>
          <w:p>
            <w:pPr>
              <w:ind w:left="420"/>
              <w:spacing w:after="0"/>
              <w:rPr>
                <w:sz w:val="20"/>
                <w:szCs w:val="20"/>
                <w:color w:val="auto"/>
              </w:rPr>
            </w:pPr>
            <w:r>
              <w:rPr>
                <w:rFonts w:ascii="Arial" w:cs="Arial" w:eastAsia="Arial" w:hAnsi="Arial"/>
                <w:sz w:val="18"/>
                <w:szCs w:val="18"/>
                <w:color w:val="auto"/>
              </w:rPr>
              <w:t>Total assets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1,579,663</w:t>
            </w:r>
          </w:p>
        </w:tc>
        <w:tc>
          <w:tcPr>
            <w:tcW w:w="5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1,405,748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8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3080"/>
              <w:spacing w:after="0"/>
              <w:rPr>
                <w:sz w:val="20"/>
                <w:szCs w:val="20"/>
                <w:color w:val="auto"/>
              </w:rPr>
            </w:pPr>
            <w:r>
              <w:rPr>
                <w:rFonts w:ascii="Arial" w:cs="Arial" w:eastAsia="Arial" w:hAnsi="Arial"/>
                <w:sz w:val="18"/>
                <w:szCs w:val="18"/>
                <w:b w:val="1"/>
                <w:bCs w:val="1"/>
                <w:color w:val="auto"/>
              </w:rPr>
              <w:t>LIABILITIES AND EQUITY</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62,880</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420"/>
              <w:spacing w:after="0"/>
              <w:rPr>
                <w:sz w:val="20"/>
                <w:szCs w:val="20"/>
                <w:color w:val="auto"/>
              </w:rPr>
            </w:pPr>
            <w:r>
              <w:rPr>
                <w:rFonts w:ascii="Arial" w:cs="Arial" w:eastAsia="Arial" w:hAnsi="Arial"/>
                <w:sz w:val="18"/>
                <w:szCs w:val="18"/>
                <w:color w:val="auto"/>
              </w:rPr>
              <w:t>Accrued liabilities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139,360</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130,583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other long-term debt</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1,226</w:t>
            </w:r>
          </w:p>
        </w:tc>
        <w:tc>
          <w:tcPr>
            <w:tcW w:w="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860" w:type="dxa"/>
            <w:vAlign w:val="bottom"/>
          </w:tcPr>
          <w:p>
            <w:pPr>
              <w:ind w:left="42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203,466</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203,423</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Senior Notes due 2016, net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272,667</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Other long-term debt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171,089</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61,946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45,242</w:t>
            </w:r>
          </w:p>
        </w:tc>
        <w:tc>
          <w:tcPr>
            <w:tcW w:w="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60" w:type="dxa"/>
            <w:vAlign w:val="bottom"/>
          </w:tcPr>
          <w:p>
            <w:pPr>
              <w:ind w:left="420"/>
              <w:spacing w:after="0"/>
              <w:rPr>
                <w:sz w:val="20"/>
                <w:szCs w:val="20"/>
                <w:color w:val="auto"/>
              </w:rPr>
            </w:pPr>
            <w:r>
              <w:rPr>
                <w:rFonts w:ascii="Arial" w:cs="Arial" w:eastAsia="Arial" w:hAnsi="Arial"/>
                <w:sz w:val="18"/>
                <w:szCs w:val="18"/>
                <w:color w:val="auto"/>
              </w:rPr>
              <w:t>Total liabilities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692,464</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561,507</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886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8)</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Equity:</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ViaSat, Inc. stockholders’ equity</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420"/>
              <w:spacing w:after="0"/>
              <w:rPr>
                <w:sz w:val="20"/>
                <w:szCs w:val="20"/>
                <w:color w:val="auto"/>
              </w:rPr>
            </w:pPr>
            <w:r>
              <w:rPr>
                <w:rFonts w:ascii="Arial" w:cs="Arial" w:eastAsia="Arial" w:hAnsi="Arial"/>
                <w:sz w:val="18"/>
                <w:szCs w:val="18"/>
                <w:color w:val="auto"/>
              </w:rPr>
              <w:t>Common stock</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Paid-in capital</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637,616</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269,596</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254,722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 held in treasury</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(24,898)</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(17,907)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60" w:type="dxa"/>
            <w:vAlign w:val="bottom"/>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w:t>
            </w:r>
          </w:p>
        </w:tc>
        <w:tc>
          <w:tcPr>
            <w:tcW w:w="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ViaSat, Inc. stockholders’ equity</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883,076</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840,125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Noncontrolling interest in subsidiary</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4,123</w:t>
            </w:r>
          </w:p>
        </w:tc>
        <w:tc>
          <w:tcPr>
            <w:tcW w:w="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equity</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887,199</w:t>
            </w:r>
          </w:p>
        </w:tc>
        <w:tc>
          <w:tcPr>
            <w:tcW w:w="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844,241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60" w:type="dxa"/>
            <w:vAlign w:val="bottom"/>
          </w:tcPr>
          <w:p>
            <w:pPr>
              <w:ind w:left="420"/>
              <w:spacing w:after="0"/>
              <w:rPr>
                <w:sz w:val="20"/>
                <w:szCs w:val="20"/>
                <w:color w:val="auto"/>
              </w:rPr>
            </w:pPr>
            <w:r>
              <w:rPr>
                <w:rFonts w:ascii="Arial" w:cs="Arial" w:eastAsia="Arial" w:hAnsi="Arial"/>
                <w:sz w:val="18"/>
                <w:szCs w:val="18"/>
                <w:color w:val="auto"/>
              </w:rPr>
              <w:t>Total liabilities and equity</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1,579,663</w:t>
            </w:r>
          </w:p>
        </w:tc>
        <w:tc>
          <w:tcPr>
            <w:tcW w:w="5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1,405,748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w w:val="89"/>
              </w:rPr>
              <w:t>Three Months Ended</w:t>
            </w:r>
          </w:p>
        </w:tc>
        <w:tc>
          <w:tcPr>
            <w:tcW w:w="78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w w:val="97"/>
              </w:rPr>
              <w:t>Nine Months Ended</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76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December 30, 2011</w:t>
            </w:r>
          </w:p>
        </w:tc>
        <w:tc>
          <w:tcPr>
            <w:tcW w:w="11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December 31, 2010</w:t>
            </w:r>
          </w:p>
        </w:tc>
        <w:tc>
          <w:tcPr>
            <w:tcW w:w="68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December 30, 2011</w:t>
            </w:r>
          </w:p>
        </w:tc>
        <w:tc>
          <w:tcPr>
            <w:tcW w:w="11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December 31, 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40" w:type="dxa"/>
            <w:vAlign w:val="bottom"/>
            <w:gridSpan w:val="5"/>
          </w:tcPr>
          <w:p>
            <w:pPr>
              <w:jc w:val="right"/>
              <w:ind w:right="1040"/>
              <w:spacing w:after="0" w:line="142" w:lineRule="exact"/>
              <w:rPr>
                <w:sz w:val="20"/>
                <w:szCs w:val="20"/>
                <w:color w:val="auto"/>
              </w:rPr>
            </w:pPr>
            <w:r>
              <w:rPr>
                <w:rFonts w:ascii="Arial" w:cs="Arial" w:eastAsia="Arial" w:hAnsi="Arial"/>
                <w:sz w:val="14"/>
                <w:szCs w:val="14"/>
                <w:b w:val="1"/>
                <w:bCs w:val="1"/>
                <w:color w:val="auto"/>
                <w:w w:val="87"/>
              </w:rPr>
              <w:t>(In thousands, except per share data)</w:t>
            </w: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420"/>
              <w:spacing w:after="0"/>
              <w:rPr>
                <w:sz w:val="20"/>
                <w:szCs w:val="20"/>
                <w:color w:val="auto"/>
              </w:rPr>
            </w:pPr>
            <w:r>
              <w:rPr>
                <w:rFonts w:ascii="Arial" w:cs="Arial" w:eastAsia="Arial" w:hAnsi="Arial"/>
                <w:sz w:val="18"/>
                <w:szCs w:val="18"/>
                <w:color w:val="auto"/>
              </w:rPr>
              <w:t>Product revenues</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121,862</w:t>
            </w:r>
          </w:p>
        </w:tc>
        <w:tc>
          <w:tcPr>
            <w:tcW w:w="66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126,434</w:t>
            </w:r>
          </w:p>
        </w:tc>
        <w:tc>
          <w:tcPr>
            <w:tcW w:w="68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391,019</w:t>
            </w:r>
          </w:p>
        </w:tc>
        <w:tc>
          <w:tcPr>
            <w:tcW w:w="70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379,022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Service revenues</w:t>
            </w: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83,102</w:t>
            </w:r>
          </w:p>
        </w:tc>
        <w:tc>
          <w:tcPr>
            <w:tcW w:w="6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69,507</w:t>
            </w:r>
          </w:p>
        </w:tc>
        <w:tc>
          <w:tcPr>
            <w:tcW w:w="6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232,070</w:t>
            </w:r>
          </w:p>
        </w:tc>
        <w:tc>
          <w:tcPr>
            <w:tcW w:w="7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206,812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90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204,964</w:t>
            </w: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195,941</w:t>
            </w: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623,089</w:t>
            </w:r>
          </w:p>
        </w:tc>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585,834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420"/>
              <w:spacing w:after="0"/>
              <w:rPr>
                <w:sz w:val="20"/>
                <w:szCs w:val="20"/>
                <w:color w:val="auto"/>
              </w:rPr>
            </w:pPr>
            <w:r>
              <w:rPr>
                <w:rFonts w:ascii="Arial" w:cs="Arial" w:eastAsia="Arial" w:hAnsi="Arial"/>
                <w:sz w:val="18"/>
                <w:szCs w:val="18"/>
                <w:color w:val="auto"/>
              </w:rPr>
              <w:t>Cost of product revenues</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89,463</w:t>
            </w: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95,009</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289,657</w:t>
            </w: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278,174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service revenues</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57,318</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41,923</w:t>
            </w: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160,838</w:t>
            </w: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42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45,640</w:t>
            </w: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40,413</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131,752</w:t>
            </w: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121,286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Independent research and development</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5,999</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6,661</w:t>
            </w: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18,502</w:t>
            </w: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Pr>
          <w:p>
            <w:pPr>
              <w:ind w:left="420"/>
              <w:spacing w:after="0"/>
              <w:rPr>
                <w:sz w:val="20"/>
                <w:szCs w:val="20"/>
                <w:color w:val="auto"/>
              </w:rPr>
            </w:pPr>
            <w:r>
              <w:rPr>
                <w:rFonts w:ascii="Arial" w:cs="Arial" w:eastAsia="Arial" w:hAnsi="Arial"/>
                <w:sz w:val="18"/>
                <w:szCs w:val="18"/>
                <w:color w:val="auto"/>
              </w:rPr>
              <w:t>Amortization of acquired intangible assets</w:t>
            </w: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4,752</w:t>
            </w:r>
          </w:p>
        </w:tc>
        <w:tc>
          <w:tcPr>
            <w:tcW w:w="6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4,923</w:t>
            </w:r>
          </w:p>
        </w:tc>
        <w:tc>
          <w:tcPr>
            <w:tcW w:w="6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14,291</w:t>
            </w:r>
          </w:p>
        </w:tc>
        <w:tc>
          <w:tcPr>
            <w:tcW w:w="7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7,012</w:t>
            </w: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8,049</w:t>
            </w: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27,468</w:t>
            </w:r>
          </w:p>
        </w:tc>
        <w:tc>
          <w:tcPr>
            <w:tcW w:w="0" w:type="dxa"/>
            <w:vAlign w:val="bottom"/>
          </w:tcPr>
          <w:p>
            <w:pPr>
              <w:spacing w:after="0"/>
              <w:rPr>
                <w:sz w:val="1"/>
                <w:szCs w:val="1"/>
                <w:color w:val="auto"/>
              </w:rPr>
            </w:pPr>
          </w:p>
        </w:tc>
      </w:tr>
      <w:tr>
        <w:trPr>
          <w:trHeight w:val="323"/>
        </w:trPr>
        <w:tc>
          <w:tcPr>
            <w:tcW w:w="490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9"/>
                <w:szCs w:val="19"/>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(331)</w:t>
            </w:r>
          </w:p>
        </w:tc>
        <w:tc>
          <w:tcPr>
            <w:tcW w:w="320" w:type="dxa"/>
            <w:vAlign w:val="bottom"/>
          </w:tcPr>
          <w:p>
            <w:pPr>
              <w:spacing w:after="0"/>
              <w:rPr>
                <w:sz w:val="19"/>
                <w:szCs w:val="19"/>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(60)</w:t>
            </w:r>
          </w:p>
        </w:tc>
        <w:tc>
          <w:tcPr>
            <w:tcW w:w="300" w:type="dxa"/>
            <w:vAlign w:val="bottom"/>
          </w:tcPr>
          <w:p>
            <w:pPr>
              <w:spacing w:after="0"/>
              <w:rPr>
                <w:sz w:val="19"/>
                <w:szCs w:val="19"/>
                <w:color w:val="auto"/>
              </w:rPr>
            </w:pP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(542)</w:t>
            </w:r>
          </w:p>
        </w:tc>
        <w:tc>
          <w:tcPr>
            <w:tcW w:w="3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1,481</w:t>
            </w:r>
          </w:p>
        </w:tc>
        <w:tc>
          <w:tcPr>
            <w:tcW w:w="66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6,998</w:t>
            </w:r>
          </w:p>
        </w:tc>
        <w:tc>
          <w:tcPr>
            <w:tcW w:w="6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7,566</w:t>
            </w:r>
          </w:p>
        </w:tc>
        <w:tc>
          <w:tcPr>
            <w:tcW w:w="70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4900" w:type="dxa"/>
            <w:vAlign w:val="bottom"/>
            <w:gridSpan w:val="2"/>
          </w:tcPr>
          <w:p>
            <w:pPr>
              <w:spacing w:after="0"/>
              <w:rPr>
                <w:sz w:val="20"/>
                <w:szCs w:val="20"/>
                <w:color w:val="auto"/>
              </w:rPr>
            </w:pPr>
            <w:r>
              <w:rPr>
                <w:rFonts w:ascii="Arial" w:cs="Arial" w:eastAsia="Arial" w:hAnsi="Arial"/>
                <w:sz w:val="18"/>
                <w:szCs w:val="18"/>
                <w:color w:val="auto"/>
              </w:rPr>
              <w:t>(Benefit from) provision for income taxes</w:t>
            </w:r>
          </w:p>
        </w:tc>
        <w:tc>
          <w:tcPr>
            <w:tcW w:w="300" w:type="dxa"/>
            <w:vAlign w:val="bottom"/>
          </w:tcPr>
          <w:p>
            <w:pPr>
              <w:spacing w:after="0"/>
              <w:rPr>
                <w:sz w:val="24"/>
                <w:szCs w:val="24"/>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(3,637)</w:t>
            </w:r>
          </w:p>
        </w:tc>
        <w:tc>
          <w:tcPr>
            <w:tcW w:w="320" w:type="dxa"/>
            <w:vAlign w:val="bottom"/>
          </w:tcPr>
          <w:p>
            <w:pPr>
              <w:spacing w:after="0"/>
              <w:rPr>
                <w:sz w:val="24"/>
                <w:szCs w:val="24"/>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(5,929)</w:t>
            </w:r>
          </w:p>
        </w:tc>
        <w:tc>
          <w:tcPr>
            <w:tcW w:w="300" w:type="dxa"/>
            <w:vAlign w:val="bottom"/>
          </w:tcPr>
          <w:p>
            <w:pPr>
              <w:spacing w:after="0"/>
              <w:rPr>
                <w:sz w:val="24"/>
                <w:szCs w:val="24"/>
                <w:color w:val="auto"/>
              </w:rPr>
            </w:pP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(7,315)</w:t>
            </w:r>
          </w:p>
        </w:tc>
        <w:tc>
          <w:tcPr>
            <w:tcW w:w="38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5,118</w:t>
            </w:r>
          </w:p>
        </w:tc>
        <w:tc>
          <w:tcPr>
            <w:tcW w:w="66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12,927</w:t>
            </w:r>
          </w:p>
        </w:tc>
        <w:tc>
          <w:tcPr>
            <w:tcW w:w="6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14,881</w:t>
            </w:r>
          </w:p>
        </w:tc>
        <w:tc>
          <w:tcPr>
            <w:tcW w:w="70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Less: Net (loss) income attributable to the noncontrolling</w:t>
            </w: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880" w:type="dxa"/>
            <w:vAlign w:val="bottom"/>
          </w:tcPr>
          <w:p>
            <w:pPr>
              <w:ind w:left="200"/>
              <w:spacing w:after="0"/>
              <w:rPr>
                <w:sz w:val="20"/>
                <w:szCs w:val="20"/>
                <w:color w:val="auto"/>
              </w:rPr>
            </w:pPr>
            <w:r>
              <w:rPr>
                <w:rFonts w:ascii="Arial" w:cs="Arial" w:eastAsia="Arial" w:hAnsi="Arial"/>
                <w:sz w:val="18"/>
                <w:szCs w:val="18"/>
                <w:color w:val="auto"/>
              </w:rPr>
              <w:t>interest, net of tax</w:t>
            </w:r>
          </w:p>
        </w:tc>
        <w:tc>
          <w:tcPr>
            <w:tcW w:w="300" w:type="dxa"/>
            <w:vAlign w:val="bottom"/>
          </w:tcPr>
          <w:p>
            <w:pPr>
              <w:spacing w:after="0"/>
              <w:rPr>
                <w:sz w:val="20"/>
                <w:szCs w:val="20"/>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(22)</w:t>
            </w: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w:t>
            </w:r>
          </w:p>
        </w:tc>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ViaSat, Inc.</w:t>
            </w: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5,140</w:t>
            </w:r>
          </w:p>
        </w:tc>
        <w:tc>
          <w:tcPr>
            <w:tcW w:w="660" w:type="dxa"/>
            <w:vAlign w:val="bottom"/>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12,924</w:t>
            </w:r>
          </w:p>
        </w:tc>
        <w:tc>
          <w:tcPr>
            <w:tcW w:w="680" w:type="dxa"/>
            <w:vAlign w:val="bottom"/>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14,874</w:t>
            </w:r>
          </w:p>
        </w:tc>
        <w:tc>
          <w:tcPr>
            <w:tcW w:w="700" w:type="dxa"/>
            <w:vAlign w:val="bottom"/>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Arial" w:cs="Arial" w:eastAsia="Arial" w:hAnsi="Arial"/>
                <w:sz w:val="18"/>
                <w:szCs w:val="18"/>
                <w:color w:val="auto"/>
              </w:rPr>
              <w:t>Basic net income per share attributable to ViaSat, Inc.</w:t>
            </w: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90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80" w:type="dxa"/>
            <w:vAlign w:val="bottom"/>
          </w:tcPr>
          <w:p>
            <w:pPr>
              <w:ind w:left="200"/>
              <w:spacing w:after="0"/>
              <w:rPr>
                <w:sz w:val="20"/>
                <w:szCs w:val="20"/>
                <w:color w:val="auto"/>
              </w:rPr>
            </w:pPr>
            <w:r>
              <w:rPr>
                <w:rFonts w:ascii="Arial" w:cs="Arial" w:eastAsia="Arial" w:hAnsi="Arial"/>
                <w:sz w:val="18"/>
                <w:szCs w:val="18"/>
                <w:color w:val="auto"/>
              </w:rPr>
              <w:t>common stockholders</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0.12</w:t>
            </w:r>
          </w:p>
        </w:tc>
        <w:tc>
          <w:tcPr>
            <w:tcW w:w="660" w:type="dxa"/>
            <w:vAlign w:val="bottom"/>
          </w:tcPr>
          <w:p>
            <w:pPr>
              <w:spacing w:after="0"/>
              <w:rPr>
                <w:sz w:val="19"/>
                <w:szCs w:val="19"/>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0.31</w:t>
            </w:r>
          </w:p>
        </w:tc>
        <w:tc>
          <w:tcPr>
            <w:tcW w:w="680" w:type="dxa"/>
            <w:vAlign w:val="bottom"/>
          </w:tcPr>
          <w:p>
            <w:pPr>
              <w:spacing w:after="0"/>
              <w:rPr>
                <w:sz w:val="19"/>
                <w:szCs w:val="19"/>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0.35</w:t>
            </w:r>
          </w:p>
        </w:tc>
        <w:tc>
          <w:tcPr>
            <w:tcW w:w="700" w:type="dxa"/>
            <w:vAlign w:val="bottom"/>
          </w:tcPr>
          <w:p>
            <w:pPr>
              <w:spacing w:after="0"/>
              <w:rPr>
                <w:sz w:val="19"/>
                <w:szCs w:val="19"/>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share attributable to ViaSat, Inc.</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stockholders</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6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6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7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322"/>
        </w:trPr>
        <w:tc>
          <w:tcPr>
            <w:tcW w:w="4900" w:type="dxa"/>
            <w:vAlign w:val="bottom"/>
            <w:gridSpan w:val="2"/>
          </w:tcPr>
          <w:p>
            <w:pPr>
              <w:spacing w:after="0"/>
              <w:rPr>
                <w:sz w:val="20"/>
                <w:szCs w:val="20"/>
                <w:color w:val="auto"/>
              </w:rPr>
            </w:pPr>
            <w:r>
              <w:rPr>
                <w:rFonts w:ascii="Arial" w:cs="Arial" w:eastAsia="Arial" w:hAnsi="Arial"/>
                <w:sz w:val="18"/>
                <w:szCs w:val="18"/>
                <w:color w:val="auto"/>
              </w:rPr>
              <w:t>Shares used in computing basic net income per share</w:t>
            </w:r>
          </w:p>
        </w:tc>
        <w:tc>
          <w:tcPr>
            <w:tcW w:w="3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42,452</w:t>
            </w: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41,205</w:t>
            </w: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42,132</w:t>
            </w: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40,604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diluted net income per share</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44,333</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43,352</w:t>
            </w: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44,015</w:t>
            </w: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42,799</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ind w:left="700"/>
              <w:spacing w:after="0"/>
              <w:rPr>
                <w:sz w:val="20"/>
                <w:szCs w:val="20"/>
                <w:color w:val="auto"/>
              </w:rPr>
            </w:pPr>
            <w:r>
              <w:rPr>
                <w:rFonts w:ascii="Arial" w:cs="Arial" w:eastAsia="Arial" w:hAnsi="Arial"/>
                <w:sz w:val="14"/>
                <w:szCs w:val="14"/>
                <w:b w:val="1"/>
                <w:bCs w:val="1"/>
                <w:color w:val="auto"/>
                <w:w w:val="99"/>
              </w:rPr>
              <w:t>Nine Months Ended</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20" w:type="dxa"/>
            <w:vAlign w:val="bottom"/>
          </w:tcPr>
          <w:p>
            <w:pPr>
              <w:spacing w:after="0"/>
              <w:rPr>
                <w:sz w:val="12"/>
                <w:szCs w:val="12"/>
                <w:color w:val="auto"/>
              </w:rPr>
            </w:pPr>
          </w:p>
        </w:tc>
        <w:tc>
          <w:tcPr>
            <w:tcW w:w="198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December 30, 2011</w:t>
            </w:r>
          </w:p>
        </w:tc>
        <w:tc>
          <w:tcPr>
            <w:tcW w:w="11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December 31, 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14,881</w:t>
            </w:r>
          </w:p>
        </w:tc>
        <w:tc>
          <w:tcPr>
            <w:tcW w:w="90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24,128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to reconcile net income to net cash provided by operating activities:</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860"/>
              <w:spacing w:after="0"/>
              <w:rPr>
                <w:sz w:val="20"/>
                <w:szCs w:val="20"/>
                <w:color w:val="auto"/>
              </w:rPr>
            </w:pPr>
            <w:r>
              <w:rPr>
                <w:rFonts w:ascii="Arial" w:cs="Arial" w:eastAsia="Arial" w:hAnsi="Arial"/>
                <w:sz w:val="18"/>
                <w:szCs w:val="18"/>
                <w:color w:val="auto"/>
              </w:rPr>
              <w:t>Depreciation</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71,762</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61,980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of intangible assets</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17,476</w:t>
            </w: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86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18"/>
                <w:szCs w:val="18"/>
                <w:color w:val="auto"/>
              </w:rPr>
            </w:pPr>
          </w:p>
        </w:tc>
        <w:tc>
          <w:tcPr>
            <w:tcW w:w="1720" w:type="dxa"/>
            <w:vAlign w:val="bottom"/>
            <w:gridSpan w:val="2"/>
          </w:tcPr>
          <w:p>
            <w:pPr>
              <w:jc w:val="right"/>
              <w:ind w:right="772"/>
              <w:spacing w:after="0"/>
              <w:rPr>
                <w:sz w:val="20"/>
                <w:szCs w:val="20"/>
                <w:color w:val="auto"/>
              </w:rPr>
            </w:pPr>
            <w:r>
              <w:rPr>
                <w:rFonts w:ascii="Arial" w:cs="Arial" w:eastAsia="Arial" w:hAnsi="Arial"/>
                <w:sz w:val="18"/>
                <w:szCs w:val="18"/>
                <w:color w:val="auto"/>
              </w:rPr>
              <w:t>(7,385)</w:t>
            </w:r>
          </w:p>
        </w:tc>
        <w:tc>
          <w:tcPr>
            <w:tcW w:w="3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Stock-based compensation expense</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14,778</w:t>
            </w: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860"/>
              <w:spacing w:after="0"/>
              <w:rPr>
                <w:sz w:val="20"/>
                <w:szCs w:val="20"/>
                <w:color w:val="auto"/>
              </w:rPr>
            </w:pPr>
            <w:r>
              <w:rPr>
                <w:rFonts w:ascii="Arial" w:cs="Arial" w:eastAsia="Arial" w:hAnsi="Arial"/>
                <w:sz w:val="18"/>
                <w:szCs w:val="18"/>
                <w:color w:val="auto"/>
              </w:rPr>
              <w:t>Loss on disposition of fixed assets</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3,697</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non-cash adjustments</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20" w:type="dxa"/>
            <w:vAlign w:val="bottom"/>
          </w:tcPr>
          <w:p>
            <w:pPr>
              <w:ind w:left="420"/>
              <w:spacing w:after="0"/>
              <w:rPr>
                <w:sz w:val="20"/>
                <w:szCs w:val="20"/>
                <w:color w:val="auto"/>
              </w:rPr>
            </w:pPr>
            <w:r>
              <w:rPr>
                <w:rFonts w:ascii="Arial" w:cs="Arial" w:eastAsia="Arial" w:hAnsi="Arial"/>
                <w:sz w:val="18"/>
                <w:szCs w:val="18"/>
                <w:color w:val="auto"/>
                <w:w w:val="97"/>
              </w:rPr>
              <w:t>Increase (decrease) in cash resulting from changes in operating assets and liabilities, net of effect of</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tcPr>
          <w:p>
            <w:pPr>
              <w:ind w:left="640"/>
              <w:spacing w:after="0"/>
              <w:rPr>
                <w:sz w:val="20"/>
                <w:szCs w:val="20"/>
                <w:color w:val="auto"/>
              </w:rPr>
            </w:pPr>
            <w:r>
              <w:rPr>
                <w:rFonts w:ascii="Arial" w:cs="Arial" w:eastAsia="Arial" w:hAnsi="Arial"/>
                <w:sz w:val="18"/>
                <w:szCs w:val="18"/>
                <w:color w:val="auto"/>
              </w:rPr>
              <w:t>acquisition</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receivable</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6,531</w:t>
            </w: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86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18"/>
                <w:szCs w:val="18"/>
                <w:color w:val="auto"/>
              </w:rPr>
            </w:pPr>
          </w:p>
        </w:tc>
        <w:tc>
          <w:tcPr>
            <w:tcW w:w="1720" w:type="dxa"/>
            <w:vAlign w:val="bottom"/>
            <w:gridSpan w:val="2"/>
          </w:tcPr>
          <w:p>
            <w:pPr>
              <w:jc w:val="right"/>
              <w:ind w:right="772"/>
              <w:spacing w:after="0"/>
              <w:rPr>
                <w:sz w:val="20"/>
                <w:szCs w:val="20"/>
                <w:color w:val="auto"/>
              </w:rPr>
            </w:pPr>
            <w:r>
              <w:rPr>
                <w:rFonts w:ascii="Arial" w:cs="Arial" w:eastAsia="Arial" w:hAnsi="Arial"/>
                <w:sz w:val="18"/>
                <w:szCs w:val="18"/>
                <w:color w:val="auto"/>
              </w:rPr>
              <w:t>(28,197)</w:t>
            </w:r>
          </w:p>
        </w:tc>
        <w:tc>
          <w:tcPr>
            <w:tcW w:w="3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(11,273)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assets</w:t>
            </w:r>
          </w:p>
        </w:tc>
        <w:tc>
          <w:tcPr>
            <w:tcW w:w="2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72"/>
              <w:spacing w:after="0"/>
              <w:rPr>
                <w:sz w:val="20"/>
                <w:szCs w:val="20"/>
                <w:color w:val="auto"/>
              </w:rPr>
            </w:pPr>
            <w:r>
              <w:rPr>
                <w:rFonts w:ascii="Arial" w:cs="Arial" w:eastAsia="Arial" w:hAnsi="Arial"/>
                <w:sz w:val="18"/>
                <w:szCs w:val="18"/>
                <w:color w:val="auto"/>
              </w:rPr>
              <w:t>(13,075)</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86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18"/>
                <w:szCs w:val="18"/>
                <w:color w:val="auto"/>
              </w:rPr>
            </w:pPr>
          </w:p>
        </w:tc>
        <w:tc>
          <w:tcPr>
            <w:tcW w:w="1720" w:type="dxa"/>
            <w:vAlign w:val="bottom"/>
            <w:gridSpan w:val="2"/>
          </w:tcPr>
          <w:p>
            <w:pPr>
              <w:jc w:val="right"/>
              <w:ind w:right="772"/>
              <w:spacing w:after="0"/>
              <w:rPr>
                <w:sz w:val="20"/>
                <w:szCs w:val="20"/>
                <w:color w:val="auto"/>
              </w:rPr>
            </w:pPr>
            <w:r>
              <w:rPr>
                <w:rFonts w:ascii="Arial" w:cs="Arial" w:eastAsia="Arial" w:hAnsi="Arial"/>
                <w:sz w:val="18"/>
                <w:szCs w:val="18"/>
                <w:color w:val="auto"/>
              </w:rPr>
              <w:t>(6,682)</w:t>
            </w:r>
          </w:p>
        </w:tc>
        <w:tc>
          <w:tcPr>
            <w:tcW w:w="3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Accrued liabilities</w:t>
            </w:r>
          </w:p>
        </w:tc>
        <w:tc>
          <w:tcPr>
            <w:tcW w:w="2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72"/>
              <w:spacing w:after="0"/>
              <w:rPr>
                <w:sz w:val="20"/>
                <w:szCs w:val="20"/>
                <w:color w:val="auto"/>
              </w:rPr>
            </w:pPr>
            <w:r>
              <w:rPr>
                <w:rFonts w:ascii="Arial" w:cs="Arial" w:eastAsia="Arial" w:hAnsi="Arial"/>
                <w:sz w:val="18"/>
                <w:szCs w:val="18"/>
                <w:color w:val="auto"/>
              </w:rPr>
              <w:t>(10,940)</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tcPr>
          <w:p>
            <w:pPr>
              <w:ind w:left="860"/>
              <w:spacing w:after="0"/>
              <w:rPr>
                <w:sz w:val="20"/>
                <w:szCs w:val="20"/>
                <w:color w:val="auto"/>
              </w:rPr>
            </w:pPr>
            <w:r>
              <w:rPr>
                <w:rFonts w:ascii="Arial" w:cs="Arial" w:eastAsia="Arial" w:hAnsi="Arial"/>
                <w:sz w:val="18"/>
                <w:szCs w:val="18"/>
                <w:color w:val="auto"/>
              </w:rPr>
              <w:t>Other liabilities</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w:t>
            </w:r>
          </w:p>
        </w:tc>
        <w:tc>
          <w:tcPr>
            <w:tcW w:w="9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64,965</w:t>
            </w: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123,312</w:t>
            </w:r>
          </w:p>
        </w:tc>
        <w:tc>
          <w:tcPr>
            <w:tcW w:w="0" w:type="dxa"/>
            <w:vAlign w:val="bottom"/>
          </w:tcPr>
          <w:p>
            <w:pPr>
              <w:spacing w:after="0"/>
              <w:rPr>
                <w:sz w:val="1"/>
                <w:szCs w:val="1"/>
                <w:color w:val="auto"/>
              </w:rPr>
            </w:pPr>
          </w:p>
        </w:tc>
      </w:tr>
      <w:tr>
        <w:trPr>
          <w:trHeight w:val="323"/>
        </w:trPr>
        <w:tc>
          <w:tcPr>
            <w:tcW w:w="82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property, equipment and satellites, net</w:t>
            </w:r>
          </w:p>
        </w:tc>
        <w:tc>
          <w:tcPr>
            <w:tcW w:w="2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72"/>
              <w:spacing w:after="0"/>
              <w:rPr>
                <w:sz w:val="20"/>
                <w:szCs w:val="20"/>
                <w:color w:val="auto"/>
              </w:rPr>
            </w:pPr>
            <w:r>
              <w:rPr>
                <w:rFonts w:ascii="Arial" w:cs="Arial" w:eastAsia="Arial" w:hAnsi="Arial"/>
                <w:sz w:val="18"/>
                <w:szCs w:val="18"/>
                <w:color w:val="auto"/>
              </w:rPr>
              <w:t>(159,167)</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420"/>
              <w:spacing w:after="0"/>
              <w:rPr>
                <w:sz w:val="20"/>
                <w:szCs w:val="20"/>
                <w:color w:val="auto"/>
              </w:rPr>
            </w:pPr>
            <w:r>
              <w:rPr>
                <w:rFonts w:ascii="Arial" w:cs="Arial" w:eastAsia="Arial" w:hAnsi="Arial"/>
                <w:sz w:val="18"/>
                <w:szCs w:val="18"/>
                <w:color w:val="auto"/>
              </w:rPr>
              <w:t>Cash paid for patents, licenses and other assets</w:t>
            </w:r>
          </w:p>
        </w:tc>
        <w:tc>
          <w:tcPr>
            <w:tcW w:w="260" w:type="dxa"/>
            <w:vAlign w:val="bottom"/>
          </w:tcPr>
          <w:p>
            <w:pPr>
              <w:spacing w:after="0"/>
              <w:rPr>
                <w:sz w:val="18"/>
                <w:szCs w:val="18"/>
                <w:color w:val="auto"/>
              </w:rPr>
            </w:pPr>
          </w:p>
        </w:tc>
        <w:tc>
          <w:tcPr>
            <w:tcW w:w="1720" w:type="dxa"/>
            <w:vAlign w:val="bottom"/>
            <w:gridSpan w:val="2"/>
          </w:tcPr>
          <w:p>
            <w:pPr>
              <w:jc w:val="right"/>
              <w:ind w:right="772"/>
              <w:spacing w:after="0"/>
              <w:rPr>
                <w:sz w:val="20"/>
                <w:szCs w:val="20"/>
                <w:color w:val="auto"/>
              </w:rPr>
            </w:pPr>
            <w:r>
              <w:rPr>
                <w:rFonts w:ascii="Arial" w:cs="Arial" w:eastAsia="Arial" w:hAnsi="Arial"/>
                <w:sz w:val="18"/>
                <w:szCs w:val="18"/>
                <w:color w:val="auto"/>
              </w:rPr>
              <w:t>(17,104)</w:t>
            </w:r>
          </w:p>
        </w:tc>
        <w:tc>
          <w:tcPr>
            <w:tcW w:w="3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(11,524)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 related to acquisition of business, net of cash acquired</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vMerge w:val="restart"/>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82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gridSpan w:val="2"/>
          </w:tcPr>
          <w:p>
            <w:pPr>
              <w:jc w:val="right"/>
              <w:ind w:right="772"/>
              <w:spacing w:after="0"/>
              <w:rPr>
                <w:sz w:val="20"/>
                <w:szCs w:val="20"/>
                <w:color w:val="auto"/>
              </w:rPr>
            </w:pPr>
            <w:r>
              <w:rPr>
                <w:rFonts w:ascii="Arial" w:cs="Arial" w:eastAsia="Arial" w:hAnsi="Arial"/>
                <w:sz w:val="18"/>
                <w:szCs w:val="18"/>
                <w:color w:val="auto"/>
              </w:rPr>
              <w:t>(176,271)</w:t>
            </w:r>
          </w:p>
        </w:tc>
        <w:tc>
          <w:tcPr>
            <w:tcW w:w="3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(176,710)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420"/>
              <w:spacing w:after="0"/>
              <w:rPr>
                <w:sz w:val="20"/>
                <w:szCs w:val="20"/>
                <w:color w:val="auto"/>
              </w:rPr>
            </w:pPr>
            <w:r>
              <w:rPr>
                <w:rFonts w:ascii="Arial" w:cs="Arial" w:eastAsia="Arial" w:hAnsi="Arial"/>
                <w:sz w:val="18"/>
                <w:szCs w:val="18"/>
                <w:color w:val="auto"/>
              </w:rPr>
              <w:t>Proceeds from line of credit borrowings</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130,000</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on line of credit</w:t>
            </w:r>
          </w:p>
        </w:tc>
        <w:tc>
          <w:tcPr>
            <w:tcW w:w="2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72"/>
              <w:spacing w:after="0"/>
              <w:rPr>
                <w:sz w:val="20"/>
                <w:szCs w:val="20"/>
                <w:color w:val="auto"/>
              </w:rPr>
            </w:pPr>
            <w:r>
              <w:rPr>
                <w:rFonts w:ascii="Arial" w:cs="Arial" w:eastAsia="Arial" w:hAnsi="Arial"/>
                <w:sz w:val="18"/>
                <w:szCs w:val="18"/>
                <w:color w:val="auto"/>
              </w:rPr>
              <w:t>(20,000)</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420"/>
              <w:spacing w:after="0"/>
              <w:rPr>
                <w:sz w:val="20"/>
                <w:szCs w:val="20"/>
                <w:color w:val="auto"/>
              </w:rPr>
            </w:pPr>
            <w:r>
              <w:rPr>
                <w:rFonts w:ascii="Arial" w:cs="Arial" w:eastAsia="Arial" w:hAnsi="Arial"/>
                <w:sz w:val="18"/>
                <w:szCs w:val="18"/>
                <w:color w:val="auto"/>
              </w:rPr>
              <w:t>Proceeds from issuance of common stock under equity plans</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14,369</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24,391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common stock in treasury</w:t>
            </w:r>
          </w:p>
        </w:tc>
        <w:tc>
          <w:tcPr>
            <w:tcW w:w="2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72"/>
              <w:spacing w:after="0"/>
              <w:rPr>
                <w:sz w:val="20"/>
                <w:szCs w:val="20"/>
                <w:color w:val="auto"/>
              </w:rPr>
            </w:pPr>
            <w:r>
              <w:rPr>
                <w:rFonts w:ascii="Arial" w:cs="Arial" w:eastAsia="Arial" w:hAnsi="Arial"/>
                <w:sz w:val="18"/>
                <w:szCs w:val="18"/>
                <w:color w:val="auto"/>
              </w:rPr>
              <w:t>(6,991)</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tcPr>
          <w:p>
            <w:pPr>
              <w:ind w:left="420"/>
              <w:spacing w:after="0"/>
              <w:rPr>
                <w:sz w:val="20"/>
                <w:szCs w:val="20"/>
                <w:color w:val="auto"/>
              </w:rPr>
            </w:pPr>
            <w:r>
              <w:rPr>
                <w:rFonts w:ascii="Arial" w:cs="Arial" w:eastAsia="Arial" w:hAnsi="Arial"/>
                <w:sz w:val="18"/>
                <w:szCs w:val="18"/>
                <w:color w:val="auto"/>
              </w:rPr>
              <w:t>Payments on capital lease</w:t>
            </w:r>
          </w:p>
        </w:tc>
        <w:tc>
          <w:tcPr>
            <w:tcW w:w="260" w:type="dxa"/>
            <w:vAlign w:val="bottom"/>
          </w:tcPr>
          <w:p>
            <w:pPr>
              <w:spacing w:after="0"/>
              <w:rPr>
                <w:sz w:val="19"/>
                <w:szCs w:val="19"/>
                <w:color w:val="auto"/>
              </w:rPr>
            </w:pPr>
          </w:p>
        </w:tc>
        <w:tc>
          <w:tcPr>
            <w:tcW w:w="1720" w:type="dxa"/>
            <w:vAlign w:val="bottom"/>
            <w:gridSpan w:val="2"/>
          </w:tcPr>
          <w:p>
            <w:pPr>
              <w:jc w:val="right"/>
              <w:ind w:right="772"/>
              <w:spacing w:after="0"/>
              <w:rPr>
                <w:sz w:val="20"/>
                <w:szCs w:val="20"/>
                <w:color w:val="auto"/>
              </w:rPr>
            </w:pPr>
            <w:r>
              <w:rPr>
                <w:rFonts w:ascii="Arial" w:cs="Arial" w:eastAsia="Arial" w:hAnsi="Arial"/>
                <w:sz w:val="18"/>
                <w:szCs w:val="18"/>
                <w:color w:val="auto"/>
              </w:rPr>
              <w:t>(762)</w:t>
            </w:r>
          </w:p>
        </w:tc>
        <w:tc>
          <w:tcPr>
            <w:tcW w:w="3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financing activities</w:t>
            </w:r>
          </w:p>
        </w:tc>
        <w:tc>
          <w:tcPr>
            <w:tcW w:w="2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116,616</w:t>
            </w:r>
          </w:p>
        </w:tc>
        <w:tc>
          <w:tcPr>
            <w:tcW w:w="9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9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5,352</w:t>
            </w: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(44,267)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40,490</w:t>
            </w:r>
          </w:p>
        </w:tc>
        <w:tc>
          <w:tcPr>
            <w:tcW w:w="9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45,842</w:t>
            </w: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45,364</w:t>
            </w:r>
          </w:p>
        </w:tc>
        <w:tc>
          <w:tcPr>
            <w:tcW w:w="0" w:type="dxa"/>
            <w:vAlign w:val="bottom"/>
          </w:tcPr>
          <w:p>
            <w:pPr>
              <w:spacing w:after="0"/>
              <w:rPr>
                <w:sz w:val="1"/>
                <w:szCs w:val="1"/>
                <w:color w:val="auto"/>
              </w:rPr>
            </w:pPr>
          </w:p>
        </w:tc>
      </w:tr>
      <w:tr>
        <w:trPr>
          <w:trHeight w:val="20"/>
        </w:trPr>
        <w:tc>
          <w:tcPr>
            <w:tcW w:w="8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2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 of common stock in satisfaction of certain accrued employee compensation liabilities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6,340</w:t>
            </w: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420"/>
              <w:spacing w:after="0"/>
              <w:rPr>
                <w:sz w:val="20"/>
                <w:szCs w:val="20"/>
                <w:color w:val="auto"/>
              </w:rPr>
            </w:pPr>
            <w:r>
              <w:rPr>
                <w:rFonts w:ascii="Arial" w:cs="Arial" w:eastAsia="Arial" w:hAnsi="Arial"/>
                <w:sz w:val="18"/>
                <w:szCs w:val="18"/>
                <w:color w:val="auto"/>
              </w:rPr>
              <w:t>Issuance of common stock in connection with acquisition</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9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Equipment acquired under capital lease</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91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2,751</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EQUITY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7"/>
          </w:tcPr>
          <w:p>
            <w:pPr>
              <w:ind w:left="560"/>
              <w:spacing w:after="0"/>
              <w:rPr>
                <w:sz w:val="20"/>
                <w:szCs w:val="20"/>
                <w:color w:val="auto"/>
              </w:rPr>
            </w:pPr>
            <w:r>
              <w:rPr>
                <w:rFonts w:ascii="Arial" w:cs="Arial" w:eastAsia="Arial" w:hAnsi="Arial"/>
                <w:sz w:val="14"/>
                <w:szCs w:val="14"/>
                <w:b w:val="1"/>
                <w:bCs w:val="1"/>
                <w:color w:val="auto"/>
              </w:rPr>
              <w:t>ViaSat, Inc. Stockholders</w:t>
            </w:r>
          </w:p>
        </w:tc>
        <w:tc>
          <w:tcPr>
            <w:tcW w:w="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0" w:type="dxa"/>
            <w:vAlign w:val="bottom"/>
            <w:tcBorders>
              <w:bottom w:val="single" w:sz="8" w:color="auto"/>
            </w:tcBorders>
            <w:gridSpan w:val="3"/>
          </w:tcPr>
          <w:p>
            <w:pPr>
              <w:ind w:left="300"/>
              <w:spacing w:after="0" w:line="129" w:lineRule="exact"/>
              <w:rPr>
                <w:sz w:val="20"/>
                <w:szCs w:val="20"/>
                <w:color w:val="auto"/>
              </w:rPr>
            </w:pPr>
            <w:r>
              <w:rPr>
                <w:rFonts w:ascii="Arial" w:cs="Arial" w:eastAsia="Arial" w:hAnsi="Arial"/>
                <w:sz w:val="14"/>
                <w:szCs w:val="14"/>
                <w:b w:val="1"/>
                <w:bCs w:val="1"/>
                <w:color w:val="auto"/>
                <w:w w:val="85"/>
              </w:rPr>
              <w:t>Common Stock</w:t>
            </w:r>
          </w:p>
        </w:tc>
        <w:tc>
          <w:tcPr>
            <w:tcW w:w="3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gridSpan w:val="5"/>
          </w:tcPr>
          <w:p>
            <w:pPr>
              <w:ind w:left="160"/>
              <w:spacing w:after="0" w:line="129" w:lineRule="exact"/>
              <w:rPr>
                <w:sz w:val="20"/>
                <w:szCs w:val="20"/>
                <w:color w:val="auto"/>
              </w:rPr>
            </w:pPr>
            <w:r>
              <w:rPr>
                <w:rFonts w:ascii="Arial" w:cs="Arial" w:eastAsia="Arial" w:hAnsi="Arial"/>
                <w:sz w:val="14"/>
                <w:szCs w:val="14"/>
                <w:b w:val="1"/>
                <w:bCs w:val="1"/>
                <w:color w:val="auto"/>
              </w:rPr>
              <w:t>Common Stock Held</w:t>
            </w:r>
          </w:p>
        </w:tc>
        <w:tc>
          <w:tcPr>
            <w:tcW w:w="1080" w:type="dxa"/>
            <w:vAlign w:val="bottom"/>
            <w:gridSpan w:val="3"/>
          </w:tcPr>
          <w:p>
            <w:pPr>
              <w:jc w:val="center"/>
              <w:ind w:right="180"/>
              <w:spacing w:after="0" w:line="129" w:lineRule="exact"/>
              <w:rPr>
                <w:sz w:val="20"/>
                <w:szCs w:val="20"/>
                <w:color w:val="auto"/>
              </w:rPr>
            </w:pPr>
            <w:r>
              <w:rPr>
                <w:rFonts w:ascii="Arial" w:cs="Arial" w:eastAsia="Arial" w:hAnsi="Arial"/>
                <w:sz w:val="14"/>
                <w:szCs w:val="14"/>
                <w:b w:val="1"/>
                <w:bCs w:val="1"/>
                <w:color w:val="auto"/>
                <w:w w:val="88"/>
              </w:rPr>
              <w:t>Accumulated</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1"/>
              </w:rPr>
              <w:t>Number of</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gridSpan w:val="5"/>
          </w:tcPr>
          <w:p>
            <w:pPr>
              <w:ind w:left="440"/>
              <w:spacing w:after="0" w:line="142" w:lineRule="exact"/>
              <w:rPr>
                <w:sz w:val="20"/>
                <w:szCs w:val="20"/>
                <w:color w:val="auto"/>
              </w:rPr>
            </w:pPr>
            <w:r>
              <w:rPr>
                <w:rFonts w:ascii="Arial" w:cs="Arial" w:eastAsia="Arial" w:hAnsi="Arial"/>
                <w:sz w:val="14"/>
                <w:szCs w:val="14"/>
                <w:b w:val="1"/>
                <w:bCs w:val="1"/>
                <w:color w:val="auto"/>
              </w:rPr>
              <w:t>in Treasury</w:t>
            </w:r>
          </w:p>
        </w:tc>
        <w:tc>
          <w:tcPr>
            <w:tcW w:w="180" w:type="dxa"/>
            <w:vAlign w:val="bottom"/>
          </w:tcPr>
          <w:p>
            <w:pPr>
              <w:spacing w:after="0"/>
              <w:rPr>
                <w:sz w:val="12"/>
                <w:szCs w:val="12"/>
                <w:color w:val="auto"/>
              </w:rPr>
            </w:pPr>
          </w:p>
        </w:tc>
        <w:tc>
          <w:tcPr>
            <w:tcW w:w="900" w:type="dxa"/>
            <w:vAlign w:val="bottom"/>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w w:val="90"/>
              </w:rPr>
              <w:t>Other</w:t>
            </w:r>
          </w:p>
        </w:tc>
        <w:tc>
          <w:tcPr>
            <w:tcW w:w="9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4"/>
              </w:rPr>
              <w:t>Noncontrolling</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8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Shares</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89"/>
              </w:rPr>
              <w:t>Paid-in</w:t>
            </w:r>
          </w:p>
        </w:tc>
        <w:tc>
          <w:tcPr>
            <w:tcW w:w="10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4"/>
              </w:rPr>
              <w:t>Retained</w:t>
            </w:r>
          </w:p>
        </w:tc>
        <w:tc>
          <w:tcPr>
            <w:tcW w:w="160" w:type="dxa"/>
            <w:vAlign w:val="bottom"/>
          </w:tcPr>
          <w:p>
            <w:pPr>
              <w:spacing w:after="0"/>
              <w:rPr>
                <w:sz w:val="11"/>
                <w:szCs w:val="11"/>
                <w:color w:val="auto"/>
              </w:rPr>
            </w:pPr>
          </w:p>
        </w:tc>
        <w:tc>
          <w:tcPr>
            <w:tcW w:w="820" w:type="dxa"/>
            <w:vAlign w:val="bottom"/>
            <w:tcBorders>
              <w:top w:val="single" w:sz="8" w:color="auto"/>
            </w:tcBorders>
            <w:gridSpan w:val="2"/>
          </w:tcPr>
          <w:p>
            <w:pPr>
              <w:ind w:left="40"/>
              <w:spacing w:after="0" w:line="129" w:lineRule="exact"/>
              <w:rPr>
                <w:sz w:val="20"/>
                <w:szCs w:val="20"/>
                <w:color w:val="auto"/>
              </w:rPr>
            </w:pPr>
            <w:r>
              <w:rPr>
                <w:rFonts w:ascii="Arial" w:cs="Arial" w:eastAsia="Arial" w:hAnsi="Arial"/>
                <w:sz w:val="14"/>
                <w:szCs w:val="14"/>
                <w:b w:val="1"/>
                <w:bCs w:val="1"/>
                <w:color w:val="auto"/>
              </w:rPr>
              <w:t>Number of</w:t>
            </w:r>
          </w:p>
        </w:tc>
        <w:tc>
          <w:tcPr>
            <w:tcW w:w="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gridSpan w:val="3"/>
          </w:tcPr>
          <w:p>
            <w:pPr>
              <w:jc w:val="center"/>
              <w:ind w:right="180"/>
              <w:spacing w:after="0" w:line="129" w:lineRule="exact"/>
              <w:rPr>
                <w:sz w:val="20"/>
                <w:szCs w:val="20"/>
                <w:color w:val="auto"/>
              </w:rPr>
            </w:pPr>
            <w:r>
              <w:rPr>
                <w:rFonts w:ascii="Arial" w:cs="Arial" w:eastAsia="Arial" w:hAnsi="Arial"/>
                <w:sz w:val="14"/>
                <w:szCs w:val="14"/>
                <w:b w:val="1"/>
                <w:bCs w:val="1"/>
                <w:color w:val="auto"/>
                <w:w w:val="85"/>
              </w:rPr>
              <w:t>Comprehensive</w:t>
            </w:r>
          </w:p>
        </w:tc>
        <w:tc>
          <w:tcPr>
            <w:tcW w:w="100" w:type="dxa"/>
            <w:vAlign w:val="bottom"/>
          </w:tcPr>
          <w:p>
            <w:pPr>
              <w:spacing w:after="0"/>
              <w:rPr>
                <w:sz w:val="11"/>
                <w:szCs w:val="11"/>
                <w:color w:val="auto"/>
              </w:rPr>
            </w:pPr>
          </w:p>
        </w:tc>
        <w:tc>
          <w:tcPr>
            <w:tcW w:w="86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Interest in</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w w:val="93"/>
              </w:rPr>
              <w:t>Comprehensive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1"/>
              </w:rPr>
              <w:t>Issued</w:t>
            </w:r>
          </w:p>
        </w:tc>
        <w:tc>
          <w:tcPr>
            <w:tcW w:w="160" w:type="dxa"/>
            <w:vAlign w:val="bottom"/>
          </w:tcPr>
          <w:p>
            <w:pPr>
              <w:spacing w:after="0"/>
              <w:rPr>
                <w:sz w:val="14"/>
                <w:szCs w:val="14"/>
                <w:color w:val="auto"/>
              </w:rPr>
            </w:pP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Amount</w:t>
            </w:r>
          </w:p>
        </w:tc>
        <w:tc>
          <w:tcPr>
            <w:tcW w:w="160" w:type="dxa"/>
            <w:vAlign w:val="bottom"/>
          </w:tcPr>
          <w:p>
            <w:pPr>
              <w:spacing w:after="0"/>
              <w:rPr>
                <w:sz w:val="14"/>
                <w:szCs w:val="14"/>
                <w:color w:val="auto"/>
              </w:rPr>
            </w:pPr>
          </w:p>
        </w:tc>
        <w:tc>
          <w:tcPr>
            <w:tcW w:w="7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Capital</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96"/>
              </w:rPr>
              <w:t>Earnings</w:t>
            </w:r>
          </w:p>
        </w:tc>
        <w:tc>
          <w:tcPr>
            <w:tcW w:w="160" w:type="dxa"/>
            <w:vAlign w:val="bottom"/>
          </w:tcPr>
          <w:p>
            <w:pPr>
              <w:spacing w:after="0"/>
              <w:rPr>
                <w:sz w:val="14"/>
                <w:szCs w:val="14"/>
                <w:color w:val="auto"/>
              </w:rPr>
            </w:pPr>
          </w:p>
        </w:tc>
        <w:tc>
          <w:tcPr>
            <w:tcW w:w="820" w:type="dxa"/>
            <w:vAlign w:val="bottom"/>
            <w:gridSpan w:val="2"/>
          </w:tcPr>
          <w:p>
            <w:pPr>
              <w:ind w:left="16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4"/>
                <w:szCs w:val="1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Amount</w:t>
            </w:r>
          </w:p>
        </w:tc>
        <w:tc>
          <w:tcPr>
            <w:tcW w:w="10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6"/>
              </w:rPr>
              <w:t>Income (Loss)</w:t>
            </w:r>
          </w:p>
        </w:tc>
        <w:tc>
          <w:tcPr>
            <w:tcW w:w="10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Subsidiary</w:t>
            </w:r>
          </w:p>
        </w:tc>
        <w:tc>
          <w:tcPr>
            <w:tcW w:w="8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7"/>
              </w:rPr>
              <w:t>Income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April 1, 2011</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42,225,130</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w w:val="79"/>
              </w:rPr>
              <w:t>4</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$601,029</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$254,722</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0"/>
              </w:rPr>
              <w:t>(560,363)</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5"/>
              </w:rPr>
              <w:t>$ (17,907)</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2,277</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4,116</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$844,241</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840" w:type="dxa"/>
            <w:vAlign w:val="bottom"/>
          </w:tcPr>
          <w:p>
            <w:pPr>
              <w:jc w:val="right"/>
              <w:spacing w:after="0"/>
              <w:rPr>
                <w:sz w:val="20"/>
                <w:szCs w:val="20"/>
                <w:color w:val="auto"/>
              </w:rPr>
            </w:pPr>
            <w:r>
              <w:rPr>
                <w:rFonts w:ascii="Arial" w:cs="Arial" w:eastAsia="Arial" w:hAnsi="Arial"/>
                <w:sz w:val="18"/>
                <w:szCs w:val="18"/>
                <w:color w:val="auto"/>
              </w:rPr>
              <w:t>558,088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9,709</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9,709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Issuance of stock under</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Employee Stock Purchase</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Plan</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126,302</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4,660</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4,660</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00" w:type="dxa"/>
            <w:vAlign w:val="bottom"/>
          </w:tcPr>
          <w:p>
            <w:pPr>
              <w:ind w:left="200"/>
              <w:spacing w:after="0"/>
              <w:rPr>
                <w:sz w:val="20"/>
                <w:szCs w:val="20"/>
                <w:color w:val="auto"/>
              </w:rPr>
            </w:pPr>
            <w:r>
              <w:rPr>
                <w:rFonts w:ascii="Arial" w:cs="Arial" w:eastAsia="Arial" w:hAnsi="Arial"/>
                <w:sz w:val="18"/>
                <w:szCs w:val="18"/>
                <w:color w:val="auto"/>
              </w:rPr>
              <w:t>expense</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15,878</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15,878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w w:val="98"/>
              </w:rPr>
              <w:t>Shares issued in settlement of</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certain accrued employee</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compensation liabilities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156,825</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6,340</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6,340</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RSU awards vesting</w:t>
            </w:r>
          </w:p>
        </w:tc>
        <w:tc>
          <w:tcPr>
            <w:tcW w:w="840" w:type="dxa"/>
            <w:vAlign w:val="bottom"/>
          </w:tcPr>
          <w:p>
            <w:pPr>
              <w:jc w:val="right"/>
              <w:spacing w:after="0"/>
              <w:rPr>
                <w:sz w:val="20"/>
                <w:szCs w:val="20"/>
                <w:color w:val="auto"/>
              </w:rPr>
            </w:pPr>
            <w:r>
              <w:rPr>
                <w:rFonts w:ascii="Arial" w:cs="Arial" w:eastAsia="Arial" w:hAnsi="Arial"/>
                <w:sz w:val="18"/>
                <w:szCs w:val="18"/>
                <w:color w:val="auto"/>
              </w:rPr>
              <w:t>443,607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Purchase of treasury shares</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4"/>
              </w:rPr>
              <w:t>pursuant to vesting of certain</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RSU agreements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w w:val="95"/>
              </w:rPr>
              <w:t>(157,183)</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(6,991)</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(6,991)</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Net income</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14,874</w:t>
            </w:r>
          </w:p>
        </w:tc>
        <w:tc>
          <w:tcPr>
            <w:tcW w:w="160" w:type="dxa"/>
            <w:vAlign w:val="bottom"/>
          </w:tcPr>
          <w:p>
            <w:pPr>
              <w:spacing w:after="0"/>
              <w:rPr>
                <w:sz w:val="18"/>
                <w:szCs w:val="18"/>
                <w:color w:val="auto"/>
              </w:rPr>
            </w:pPr>
          </w:p>
        </w:tc>
        <w:tc>
          <w:tcPr>
            <w:tcW w:w="8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14,881</w:t>
            </w:r>
          </w:p>
        </w:tc>
        <w:tc>
          <w:tcPr>
            <w:tcW w:w="100" w:type="dxa"/>
            <w:vAlign w:val="bottom"/>
          </w:tcPr>
          <w:p>
            <w:pPr>
              <w:spacing w:after="0"/>
              <w:rPr>
                <w:sz w:val="18"/>
                <w:szCs w:val="18"/>
                <w:color w:val="auto"/>
              </w:rPr>
            </w:pPr>
          </w:p>
        </w:tc>
        <w:tc>
          <w:tcPr>
            <w:tcW w:w="2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14,881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w w:val="94"/>
              </w:rPr>
              <w:t>Hedging transactions, net of tax</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(584)</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(584)</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w w:val="92"/>
              </w:rPr>
              <w:t>Foreign currency translation, net</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400" w:type="dxa"/>
            <w:vAlign w:val="bottom"/>
          </w:tcPr>
          <w:p>
            <w:pPr>
              <w:ind w:left="200"/>
              <w:spacing w:after="0"/>
              <w:rPr>
                <w:sz w:val="20"/>
                <w:szCs w:val="20"/>
                <w:color w:val="auto"/>
              </w:rPr>
            </w:pPr>
            <w:r>
              <w:rPr>
                <w:rFonts w:ascii="Arial" w:cs="Arial" w:eastAsia="Arial" w:hAnsi="Arial"/>
                <w:sz w:val="18"/>
                <w:szCs w:val="18"/>
                <w:color w:val="auto"/>
              </w:rPr>
              <w:t>of tax</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(935)</w:t>
            </w:r>
          </w:p>
        </w:tc>
        <w:tc>
          <w:tcPr>
            <w:tcW w:w="100" w:type="dxa"/>
            <w:vAlign w:val="bottom"/>
          </w:tcPr>
          <w:p>
            <w:pPr>
              <w:spacing w:after="0"/>
              <w:rPr>
                <w:sz w:val="20"/>
                <w:szCs w:val="20"/>
                <w:color w:val="auto"/>
              </w:rPr>
            </w:pPr>
          </w:p>
        </w:tc>
        <w:tc>
          <w:tcPr>
            <w:tcW w:w="8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(935)</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20" w:type="dxa"/>
            <w:vAlign w:val="bottom"/>
            <w:gridSpan w:val="2"/>
            <w:vMerge w:val="restart"/>
          </w:tcPr>
          <w:p>
            <w:pPr>
              <w:spacing w:after="0"/>
              <w:rPr>
                <w:sz w:val="20"/>
                <w:szCs w:val="20"/>
                <w:color w:val="auto"/>
              </w:rPr>
            </w:pPr>
            <w:r>
              <w:rPr>
                <w:rFonts w:ascii="Arial" w:cs="Arial" w:eastAsia="Arial" w:hAnsi="Arial"/>
                <w:sz w:val="18"/>
                <w:szCs w:val="18"/>
                <w:color w:val="auto"/>
                <w:w w:val="96"/>
              </w:rPr>
              <w:t>Balance at December 30, 2011</w:t>
            </w: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420" w:type="dxa"/>
            <w:vAlign w:val="bottom"/>
            <w:gridSpan w:val="2"/>
            <w:vMerge w:val="continue"/>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43,509,952</w:t>
            </w: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00" w:type="dxa"/>
            <w:vAlign w:val="bottom"/>
          </w:tcPr>
          <w:p>
            <w:pPr>
              <w:ind w:left="200"/>
              <w:spacing w:after="0"/>
              <w:rPr>
                <w:sz w:val="20"/>
                <w:szCs w:val="20"/>
                <w:color w:val="auto"/>
              </w:rPr>
            </w:pPr>
            <w:r>
              <w:rPr>
                <w:rFonts w:ascii="Arial" w:cs="Arial" w:eastAsia="Arial" w:hAnsi="Arial"/>
                <w:sz w:val="18"/>
                <w:szCs w:val="18"/>
                <w:color w:val="auto"/>
                <w:w w:val="79"/>
              </w:rPr>
              <w:t>4</w:t>
            </w:r>
          </w:p>
        </w:tc>
        <w:tc>
          <w:tcPr>
            <w:tcW w:w="900" w:type="dxa"/>
            <w:vAlign w:val="bottom"/>
            <w:gridSpan w:val="3"/>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637,616</w:t>
            </w:r>
          </w:p>
        </w:tc>
        <w:tc>
          <w:tcPr>
            <w:tcW w:w="7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269,596</w:t>
            </w:r>
          </w:p>
        </w:tc>
        <w:tc>
          <w:tcPr>
            <w:tcW w:w="980" w:type="dxa"/>
            <w:vAlign w:val="bottom"/>
            <w:gridSpan w:val="3"/>
          </w:tcPr>
          <w:p>
            <w:pPr>
              <w:ind w:left="220"/>
              <w:spacing w:after="0"/>
              <w:rPr>
                <w:sz w:val="20"/>
                <w:szCs w:val="20"/>
                <w:color w:val="auto"/>
              </w:rPr>
            </w:pPr>
            <w:r>
              <w:rPr>
                <w:rFonts w:ascii="Arial" w:cs="Arial" w:eastAsia="Arial" w:hAnsi="Arial"/>
                <w:sz w:val="18"/>
                <w:szCs w:val="18"/>
                <w:color w:val="auto"/>
                <w:w w:val="95"/>
              </w:rPr>
              <w:t>(717,546)</w:t>
            </w:r>
          </w:p>
        </w:tc>
        <w:tc>
          <w:tcPr>
            <w:tcW w:w="880" w:type="dxa"/>
            <w:vAlign w:val="bottom"/>
            <w:gridSpan w:val="3"/>
          </w:tcPr>
          <w:p>
            <w:pPr>
              <w:jc w:val="right"/>
              <w:ind w:right="12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 xml:space="preserve"> (24,898)</w:t>
            </w:r>
          </w:p>
        </w:tc>
        <w:tc>
          <w:tcPr>
            <w:tcW w:w="180" w:type="dxa"/>
            <w:vAlign w:val="bottom"/>
          </w:tcPr>
          <w:p>
            <w:pPr>
              <w:jc w:val="right"/>
              <w:ind w:right="29"/>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ind w:left="460"/>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4,123</w:t>
            </w:r>
          </w:p>
        </w:tc>
        <w:tc>
          <w:tcPr>
            <w:tcW w:w="7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887,199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accompanying condensed consolidated balance sheet at December 30, 2011, the condensed consolidated statements of operations for the three and nine months ended December 30, 2011 and December 31, 2010, the condensed consolidated statements of cash flows for the nine months ended December 30, 2011 and December 31, 2010, and the condensed consolidated statement of equity and comprehensive income for the nine months ended December 30, 2011 have been prepared by the management of ViaSat, Inc. (also referred to hereafter as the Company or ViaSat), and have not been audited. These financial statements have been prepared on the same basis as the audited consolidated financial statements for the fiscal year ended April 1, 2011 and, in the opinion of management, include all adjustments (consisting only of normal recurring adjustments) necessary for a fair statement of the Company’s results for the periods presented. These financial statements should be read in conjunction with the financial statements and notes thereto for the fiscal year ended April 1, 2011 included in the Company’s Annual Report on Form 10-K. Interim operating results are not necessarily indicative of operating results for the full year. The year-end condensed consolidated balance sheet data was derived from audited financial statements, but does not include all disclosures required by accounting principles generally accepted in the United States of America (GAAP).</w:t>
      </w:r>
    </w:p>
    <w:p>
      <w:pPr>
        <w:spacing w:after="0" w:line="123"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The Company’s condensed consolidated financial statements include the assets, liabilities and results of operations of ViaSat, its wholly owned subsidiaries and TrellisWare Technologies, Inc. (TrellisWare), a majority-owned subsidiary. All significant intercompany amounts have been eliminated.</w:t>
      </w:r>
    </w:p>
    <w:p>
      <w:pPr>
        <w:spacing w:after="0" w:line="85"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Company’s fiscal year is the 52 or 53 weeks ending on the Friday closest to March 31 of the specified year. For example, references to fiscal year 2012 refer to the fiscal year ending on March 30, 2012. The Company’s quarters for fiscal year 2012 end on July 1, 2011, September 30, 2011, December 30, 2011 and March 30, 2012. This results in a 53 week fiscal year approximately every four to five years. Fiscal years 2012 and 2011 are both 52-week years.</w:t>
      </w:r>
    </w:p>
    <w:p>
      <w:pPr>
        <w:spacing w:after="0" w:line="10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During the second quarter of fiscal year 2011, the Company completed the acquisition of Stonewood Group Limited (Stonewood), a privately held company registered in England and Wales. This acquisition was accounted for as a purchase and, accordingly, the condensed consolidated financial statements include the operating results of Stonewood from the date of acquisition (see Note 10).</w:t>
      </w:r>
    </w:p>
    <w:p>
      <w:pPr>
        <w:spacing w:after="0" w:line="140" w:lineRule="exact"/>
        <w:rPr>
          <w:sz w:val="20"/>
          <w:szCs w:val="20"/>
          <w:color w:val="auto"/>
        </w:rPr>
      </w:pPr>
    </w:p>
    <w:p>
      <w:pPr>
        <w:ind w:right="80" w:firstLine="456"/>
        <w:spacing w:after="0" w:line="314" w:lineRule="auto"/>
        <w:rPr>
          <w:sz w:val="20"/>
          <w:szCs w:val="20"/>
          <w:color w:val="auto"/>
        </w:rPr>
      </w:pPr>
      <w:r>
        <w:rPr>
          <w:rFonts w:ascii="Arial" w:cs="Arial" w:eastAsia="Arial" w:hAnsi="Arial"/>
          <w:sz w:val="15"/>
          <w:szCs w:val="15"/>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Estimates have been prepared on the basis of the most current and best available information and actual results could differ from those estimates. Significant estimates made by management include revenue recognition, stock-based compensation, self-insurance reserves, allowance for doubtful accounts, warranty accrual, valuation of goodwill and other intangible assets, patents, orbital slots and other licenses, software development, property, equipment and satellites, long-lived assets, derivatives, contingencies and income taxes including the valuation allowance on deferred tax assets.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 substantial portion of the Company’s revenues are derived from long-term contracts requiring development and delivery of complex equipment built to customer specifications. Sales related to long-term contracts are accounted for under the authoritative guidance for the percentage-of-completion method of accounting (Accounting Standards Codification (ASC) 605-35). Sales and earnings under these contracts are recorded either based on the ratio of actual costs incurred to date to total estimated costs expected to be incurred related to the contract, or as products are shipped under the units-of-delivery method. Anticipated losses on contracts are recognized in full in the period in which losses become probable and estimable. Changes in estimates of profit or loss on contracts are included in earnings on a cumulative basis in the period the estimate is changed.</w:t>
      </w:r>
    </w:p>
    <w:p>
      <w:pPr>
        <w:spacing w:after="0" w:line="12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During the three months ended December 30, 2011 and December 31, 2010, the Company recorded losses of approximately $0.5 million and $2.3 million, respectively, related to loss contracts. In the first quarter of fiscal year 2011, the Company recorded an additional forward loss of $8.5 million on a government satellite communication program due to the significant additional labor and material costs for rework and testing required to complete the program requirements and specifications. Including this program, during the nine months ended December 30, 2011 and December 31, 2010, the Company recorded losses of approximately $1.2 million and $11.5 million, respectively, related to loss contracts.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Company also derives a substantial portion of its revenues from contracts and purchase orders where revenue is recorded on delivery of products or performance of services in accordance with the authoritative guidance for revenue recognition (ASC 605). Under this standard, the Company recognizes revenue when an arrangement exists, prices are determinable, collectability is reasonably assured and the goods or services have been delivered.</w:t>
      </w:r>
    </w:p>
    <w:p>
      <w:pPr>
        <w:spacing w:after="0" w:line="10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Company also enters into certain leasing arrangements with customers and evaluates the contracts in accordance with the authoritative guidance for leases (ASC 840). The Company’s accounting for equipment leases involves specific determinations under the authoritative guidance for leases, which often involve complex provisions and significant judgments. In accordance with the authoritative guidance for leases, the Company classifies the transactions as sales type or operating leases based on (1) review for transfers of ownership of the equipment to the lessee by the end of the lease term, (2) review of the lease terms to determine if it contains an option to purchase the leased equipment for a price which is sufficiently lower than the expected fair value of the equipment at the date of the option, (3) review of the lease term to determine if it is equal to or greater than 75% of the economic life of the equipment, and (4) review of the present value of the minimum lease payments to determine if they are equal to or greater than 90% of the fair market value of the equipment at the inception of the lease. Additionally, the Company considers the cancelability of the contract and any related uncertainty of collections or risk in recoverability of the lease investment at lease inception. Revenue from sales type leases is recognized at the inception of the lease or when the equipment has been delivered and installed at the customer site, if installation is required. Revenues from equipment rentals under operating leases are recognized as earned over the lease term, which is generally on a straight-line basis.</w:t>
      </w:r>
    </w:p>
    <w:p>
      <w:pPr>
        <w:spacing w:after="0" w:line="12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Beginning in the first quarter of fiscal year 2012, the Company adopted Accounting Standards Update (ASU) 2009-13 (ASU 2009-13), Revenue Recognition (ASC 605) Multiple-Deliverable Revenue Arrangements, which updates ASC 605-25, Revenue Recognition-Multiple element arrangements, of the Financial Accounting Standards Board (FASB) codification. ASU 2009-13 amended accounting guidance for revenue recognition to eliminate the use of the residual method and requires entities to allocate revenue using the relative selling price method. For substantially all of the arrangements with multiple deliverables, the Company allocates revenue to each element based on a selling price hierarchy at the arrangement inception. The selling price for each element is based upon the following selling price hierarchy: vendor specific objective evidence (VSOE) if available, third party evidence (TPE) if VSOE is not available, or estimated selling price (ESP) if neither VSOE nor TPE are available (a description as to how the Company determines VSOE, TPE and ESP is provided below). If a tangible hardware systems product includes software, the Company determines whether the tangible hardware systems product and the software work together to deliver the product’s essential functionality and, if so, the entire product is treated as a nonsoftware deliverable. The total arrangement consideration is allocated to each separate unit of accounting for each of the nonsoftware deliverables using the relative selling prices of each unit based on the aforementioned selling price hierarchy. Revenue for each separate unit of accounting is recognized when the applicable revenue recognition criteria for each element have been met.</w:t>
      </w:r>
    </w:p>
    <w:p>
      <w:pPr>
        <w:spacing w:after="0" w:line="124"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color w:val="auto"/>
        </w:rPr>
        <w:t>To determine the selling price in multiple-element arrangements, the Company establishes VSOE of the selling price using the price charged for a deliverable when sold separately and for software license updates and product support and hardware systems support, based on the renewal rates offered to customers. For nonsoftware multiple-element arrangements, TPE is established by evaluating similar and/or interchangeable competitor products or services in standalone arrangements with similarly situated customers and/or agreements. If the Company is unable to determine the selling price because VSOE or TPE doesn’t exist, the Company determines ESP for the purposes of allocating the arrangement by reviewing historical transactions, including transactions whereby the deliverable was sold on a standalone basis and considers several other external and internal factors including, but not limited to, pricing practices including discounting, margin objectives, competition, the geographies in which the Company offers its products and services, the type of customer (i.e., distributor, value added reseller, government agency or direct end user, among others) and the stage of the product lifecycle. The determination of ESP considers the Company’s pricing model and go-to-market strategy. As the Company, or its competitors’, pricing and go-to-market strategies evolve, the Company may modify its pricing practices in the future, which could result in changes to its determination of VSOE, TPE and ESP. As a result, the Company’s future revenue recognition for multiple-element arrangements could differ materially from those in the current period. The Company adopted this authoritative guidance in the first quarter of fiscal year 2012 without a material impact on its consolidated financial statements and disclosures.</w:t>
      </w:r>
    </w:p>
    <w:p>
      <w:pPr>
        <w:spacing w:after="0" w:line="124"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In accordance with the authoritative guidance for shipping and handling fees and costs (ASC 605-45), the Company records shipping and handling costs billed to customers as a component of revenues, and shipping and handling costs incurred by the Company for inbound and outbound freight are recorded as a component of cost of revenues.</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Collections in excess of revenues and deferred revenues represent cash collected from customers in advance of revenue recognition and are recorded in accrued liabilities for obligations within the next twelve months. Amounts for obligations extending beyond twelve months are recorded within other liabilities in the condensed consolidated financial statements.</w:t>
      </w:r>
    </w:p>
    <w:p>
      <w:pPr>
        <w:spacing w:after="0" w:line="140"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Contract costs on U.S. government contracts are subject to audit and negotiations with U.S. government representatives. The Company’s incurred cost audits by the Defense Contract Audit Agency (DCAA) have not been completed for fiscal year 2003 and subsequent fiscal years. Although the Company has recorded contract revenues subsequent to fiscal year 2002 based upon an estimate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of costs that the Company believes will be approved upon final audit or review, the Company does not know the outcome of any ongoing or future audits or reviews and adjustments, and if future adjustments exceed the Company’s estimates, its profitability would be adversely affected. As of December 30, 2011 and April 1, 2011, the Company had $6.7 million in contract-related reserves for its estimate of potential refunds to customers for potential cost adjustments on several multi-year U.S. government cost reimbursable contracts (see Note 8).</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equipment and satellites</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Equipment, computers and software, furniture and fixtures, the Company’s ViaSat-1 high-capacity satellite, and related gateway and networking equipment under construction are recorded at cost, net of accumulated depreciation. The Company computes depreciation using the straight-line method over the estimated useful lives of the assets ranging from two to twenty-four years. Leasehold improvements are capitalized and amortized using the straight-line method over the shorter of the lease term or the life of the improvement. Costs incurred for additions to property, equipment and satellites, together with major renewals and betterments, are capitalized and depreciated over the remaining life of the underlying asset. Costs incurred for maintenance, repairs and minor renewals and betterments are charged to expense as incurred. When assets are sold or otherwise disposed of, the cost and related accumulated depreciation or amortization are removed from the accounts and any resulting gain or loss is recognized in operations.</w:t>
      </w:r>
    </w:p>
    <w:p>
      <w:pPr>
        <w:spacing w:after="0" w:line="118"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Satellite costs, including launch services and insurance, are generally procured under long-term contracts that provide for payments over the contract periods and are capitalized as incurred. The Company is also constructing gateway facilities and network operations systems to support the ViaSat-1 satellite, which are also capitalized as incurred.</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On October 19, 2011, the Company’s new high-capacity Ka-band spot-beam satellite, ViaSat-1, was successfully launched into orbit. The satellite manufacturer handed over operation of the satellite to the Company in December 2011, following the successful completion of the manufacturer’s in-orbit testing. In January 2012, subsequent to the quarter end, the Company commenced ViaSat-1 commercial services.</w:t>
      </w:r>
    </w:p>
    <w:p>
      <w:pPr>
        <w:spacing w:after="0" w:line="14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The Company’s contract with the manufacturer of ViaSat-1 requires the Company to make monthly in-orbit performance incentive payments, including interest, over a fifteen-year period, commencing from the transfer of title of the satellite to the Company, subject to the continued satisfactory performance of the satellite. The Company recorded the net present value of these expected future payments as a liability and as a component of the cost of the satellite. As of December 30, 2011, the Company recorded an estimated liability of $22.3 million relating to satellite performance incentives in the condensed consolidated balance sheets, of which $1.6 million and $20.7 million have been classified as current in accounts payable and non-current in other liabilities, respectively. If all performance incentives are earned as scheduled in the agreement, the Company could be required to pay a total of $39.4 million in in-orbit incentive payments, including accrued interest, over the fifteen-year period.</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Interest expense is capitalized on the carrying value of property, equipment and satellites under construction until they are placed in service, in accordance with the authoritative guidance for the capitalization of interest (ASC 835-20). With respect to ViaSat-1, certain related gateway and networking equipment and other assets currently under construction, the Company capitalized $8.1 million and $23.4 million of interest expense during the three and nine months ended December 30, 2011, respectively, and $7.8 million and $20.5 million of interest expense during the three and nine months ended December 31, 2010, respectively. As a result of the acquisition of WildBlue Holding, Inc. (WildBlue) in December 2009, the Company acquired the WildBlue-1 satellite (which was placed into service in March 2007), an exclusive prepaid lifetime capital lease of Ka-band capacity over the continental United States on Telesat Canada’s Anik F2 satellite (which was placed into service in April 2005) and related gateway and networking equipment on both satellites. The acquired assets also included the indoor and outdoor customer premise equipment (CPE) units leased to subscribers under a retail leasing program. The Company depreciates the satellites, gateway and networking equipment, CPE units and related installation costs over their estimated useful lives. The total cost and accumulated depreciation of CPE units included in property and equipment, net, as of December 30, 2011 were $73.8 million and $29.9 million, respectively. The total cost and accumulated depreciation of CPE units included in property and equipment, net, as of April 1, 2011 were $61.6 million and $19.2 million, respectively.</w:t>
      </w:r>
    </w:p>
    <w:p>
      <w:pPr>
        <w:spacing w:after="0" w:line="12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Occasionally, the Company may enter into capital lease arrangements for various machinery, equipment, computer-related equipment, software, furniture or fixtures. As of December 30, 2011, assets under capital leases totaled approximately $3.1 million and accumulated amortization related to such capital leases was $0.6 million. As of April 1, 2011, assets under capital leases totaled approximately $3.1 million and accumulated amortization related to such capital leases was immaterial. The Company records amortization of assets leased under capital lease arrangements within depreciation expense.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 orbital slots and other licenses</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Company capitalizes the costs of obtaining or acquiring patents, orbital slots and other licenses. Amortization of intangible assets that have finite lives is provided for by the straight-line method over the shorter of the legal or estimated economic life. Total capitalized costs of $3.2 million related to patents were included in other assets as of December 30, 2011 and April 1, 2011.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Company has capitalized costs of $8.4 million and $5.7 million related to acquiring and obtaining orbital slots and other licenses, included in other assets as of December 30, 2011 and April 1, 2011, respectively. Accumulated amortization related to these assets was approximately $0.4 million and $0.3 million as of December 30, 2011 and April 1, 2011, respectively. Amortization expense related to these assets was an immaterial amount for the three and nine months ended December 30, 2011 and December 31, 2010. If a patent, orbital slot or orbital license is rejected, abandoned or otherwise invalidated, the unamortized cost is expensed in that period. During the three and nine months ended December 30, 2011 and December 31, 2010, the Company did not write off any material costs due to abandonment or impairment.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development</w:t>
      </w:r>
    </w:p>
    <w:p>
      <w:pPr>
        <w:spacing w:after="0" w:line="9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Costs of developing software for sale are charged to research and development expense when incurred, until technological feasibility has been established. Software development costs incurred from the time technological feasibility is reached until the product is available for general release to customers are capitalized and reported at the lower of unamortized cost or net realizable value. Once the product is available for general release, the software development costs are amortized based on the ratio of current to future revenue for each product with an annual minimum equal to straight-line amortization over the remaining estimated economic life of the product, generally within five years. Capitalized costs, net, of $37.1 million and $24.5 million related to software developed for resale were included in other assets as of December 30, 2011 and April 1, 2011, respectively. The Company capitalized $6.5 million and $15.8 million of costs related to software developed for resale for the three and nine months ended December 30, 2011, respectively. The Company capitalized $3.4 million and $11.4 million of costs related to software developed for resale for the three and nine months ended December 31, 2010, respectively. Amortization expense for software development costs was $0.8 million and $3.2 million for the three and nine months ended December 30, 2011, respectively. There was no amortization expense of software development costs for the three and nine months ended December 31, 2010.</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Self-insurance liabilities</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Company has self-insurance plans to retain a portion of the exposure for losses related to employee medical benefits and workers’ compensation. The self-insurance policies provide for both specific and aggregate stop-loss limits. The Company utilizes internal actuarial methods as well as other historical information for the purpose of estimating ultimate costs for a particular policy year. Based on these actuarial methods, along with currently available information and insurance industry statistics, the Company’s self-insurance liability for the plans was $1.6 million and $1.5 million as of December 30, 2011 and April 1, 2011, respectively. The Company’s estimate, which is subject to inherent variability, is based on average claims experience in the Company’s industry and its own experience in terms of frequency and severity of claims, including asserted and unasserted claims incurred but not reported, with no explicit provision for adverse fluctuation from year to year. This variability may lead to ultimate payments being either greater or less than the amounts presented above. Self-insurance liabilities have been classified as a current liability in accrued liabilities in accordance with the estimated timing of the projected payments.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provisions</w:t>
      </w:r>
    </w:p>
    <w:p>
      <w:pPr>
        <w:spacing w:after="0" w:line="9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In the ordinary course of business, the Company includes indemnification provisions in certain of its contracts, generally relating to parties with which the Company has commercial relations. Pursuant to these agreements, the Company will indemnify, hold harmless and agree to reimburse the indemnified party for losses suffered or incurred by the indemnified party, including but not limited to losses relating to third-party intellectual property claims. To date, there have not been any material costs incurred in connection with such indemnification clauses. The Company’s insurance policies do not necessarily cover the cost of defending indemnification claims or providing indemnification, so if a claim was filed against the Company by any party that the Company has agreed to indemnify, the Company could incur substantial legal costs and damages. A claim would be accrued when a loss is considered probable and the amount can be reasonably estimated. At December 30, 2011 and April 1, 2011, no such amounts were accrued related to the aforementioned provisions.</w:t>
      </w:r>
    </w:p>
    <w:p>
      <w:pPr>
        <w:spacing w:after="0" w:line="11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Company entered into an indemnification agreement dated September 30, 2009 (the Indemnification Agreement) with several of the former stockholders of WildBlue (the Indemnitors) in connection with the Company’s acquisition of WildBlue. Pursuant to the terms of the Indemnification Agreement, the Indemnitors agreed to indemnify the Company for any damages relating to, among other things, an existing appraisal action involving WildBlue’s 2008 recapitalization (the Action). During the third quarter of fiscal year 2012, the parties to the Action entered into a settlement agreement whereby the parties agreed to release all claims in exchange for a payment of $20.5 million by WildBlue to the plaintiffs. Payment of this amount by WildBlue was expressly conditioned upon the Indemnitors fully funding all amounts other than the $0.5 million the Company was obligated to pay under the Indemnification Agreement. Accordingly, the Company recorded an additional $20.0 million liability related to the probable settlement of the Action and corresponding indemnification receivable of $20.0 million pursuant to the Indemnification Agreement in the condensed consolidated balance sheets as of December 30, 2011 as an element of current accrued liabilities and prepaid expenses and other current assets, respectively. Subsequent to the quarter end, in January 2012, in accordance with the terms of the settlement agreement, the Company received $20.0 million in cash from the Indemnitors and paid $20.5 million to the plaintiffs in the Action.</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 noncontrolling interest represents the equity interest in a subsidiary that is not attributable, either directly or indirectly, to the Company and is reported as equity of the Company, separately from the Company’s controlling interest. Revenues, expenses, gains, losses, net income or loss and other comprehensive income are reported in the condensed consolidated financial statements at the consolidated amounts, which include the amounts attributable to both the controlling and noncontrolling interest.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held in treasury</w:t>
      </w:r>
    </w:p>
    <w:p>
      <w:pPr>
        <w:spacing w:after="0" w:line="9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During the first nine months of fiscal year 2012 and 2011, the Company issued 443,607 and 409,642 shares of common stock, respectively, based on the vesting terms of certain restricted stock unit agreements. In order for employees to satisfy minimum statutory employee tax withholding requirements related to the issuance of common stock underlying these restricted stock unit agreements, the Company repurchased 157,183 and 144,871 shares of common stock with a total value of $7.0 million and $5.5 million during the first nine months of fiscal year 2012 and 2011, respectively. Repurchased shares of common stock of 717,546 and 560,363 were held in treasury as of December 30, 2011 and April 1, 2011,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90" w:lineRule="exact"/>
        <w:rPr>
          <w:sz w:val="20"/>
          <w:szCs w:val="20"/>
          <w:color w:val="auto"/>
        </w:rPr>
      </w:pPr>
    </w:p>
    <w:p>
      <w:pPr>
        <w:ind w:right="100" w:firstLine="456"/>
        <w:spacing w:after="0" w:line="318" w:lineRule="auto"/>
        <w:rPr>
          <w:sz w:val="20"/>
          <w:szCs w:val="20"/>
          <w:color w:val="auto"/>
        </w:rPr>
      </w:pPr>
      <w:r>
        <w:rPr>
          <w:rFonts w:ascii="Arial" w:cs="Arial" w:eastAsia="Arial" w:hAnsi="Arial"/>
          <w:sz w:val="15"/>
          <w:szCs w:val="15"/>
          <w:color w:val="auto"/>
        </w:rPr>
        <w:t>The Company enters into foreign currency forward and option contracts from time to time to hedge certain forecasted foreign currency transactions. Gains and losses arising from foreign currency forward and option contracts not designated as hedging instruments are recorded in other income (expense) as gains (losses) on derivative instruments. Gains and losses arising from the effective portion of foreign currency forward and option contracts which are designated as cash-flow hedging instruments are recorded in accumulated other comprehensive income (loss) as unrealized gains (losses) on derivative instruments until the underlying transaction affects the Company’s earnings, at which time they are then recorded in the same income statement line as the underlying transaction.</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fair values of the Company’s outstanding foreign currency forward contracts as of December 30, 2011 and April 1, 2011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b w:val="1"/>
                <w:bCs w:val="1"/>
                <w:color w:val="auto"/>
              </w:rPr>
              <w:t>December 30, 2011</w:t>
            </w:r>
          </w:p>
        </w:tc>
        <w:tc>
          <w:tcPr>
            <w:tcW w:w="52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April 1, 2011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Derivatives designated as hedging instruments</w:t>
            </w: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7"/>
              </w:rPr>
              <w:t>Other current</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9"/>
              </w:rPr>
              <w:t>Other current</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55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ind w:left="80"/>
              <w:spacing w:after="0" w:line="148" w:lineRule="exact"/>
              <w:rPr>
                <w:sz w:val="20"/>
                <w:szCs w:val="20"/>
                <w:color w:val="auto"/>
              </w:rPr>
            </w:pPr>
            <w:r>
              <w:rPr>
                <w:rFonts w:ascii="Arial" w:cs="Arial" w:eastAsia="Arial" w:hAnsi="Arial"/>
                <w:sz w:val="14"/>
                <w:szCs w:val="14"/>
                <w:b w:val="1"/>
                <w:bCs w:val="1"/>
                <w:color w:val="auto"/>
              </w:rPr>
              <w:t>assets</w:t>
            </w:r>
          </w:p>
        </w:tc>
        <w:tc>
          <w:tcPr>
            <w:tcW w:w="720" w:type="dxa"/>
            <w:vAlign w:val="bottom"/>
          </w:tcPr>
          <w:p>
            <w:pPr>
              <w:spacing w:after="0"/>
              <w:rPr>
                <w:sz w:val="13"/>
                <w:szCs w:val="13"/>
                <w:color w:val="auto"/>
              </w:rPr>
            </w:pPr>
          </w:p>
        </w:tc>
        <w:tc>
          <w:tcPr>
            <w:tcW w:w="106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86"/>
              </w:rPr>
              <w:t>Accrued liabilities</w:t>
            </w: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ind w:right="159"/>
              <w:spacing w:after="0" w:line="148" w:lineRule="exact"/>
              <w:rPr>
                <w:sz w:val="20"/>
                <w:szCs w:val="20"/>
                <w:color w:val="auto"/>
              </w:rPr>
            </w:pPr>
            <w:r>
              <w:rPr>
                <w:rFonts w:ascii="Arial" w:cs="Arial" w:eastAsia="Arial" w:hAnsi="Arial"/>
                <w:sz w:val="14"/>
                <w:szCs w:val="14"/>
                <w:b w:val="1"/>
                <w:bCs w:val="1"/>
                <w:color w:val="auto"/>
                <w:w w:val="91"/>
              </w:rPr>
              <w:t>assets</w:t>
            </w:r>
          </w:p>
        </w:tc>
        <w:tc>
          <w:tcPr>
            <w:tcW w:w="720" w:type="dxa"/>
            <w:vAlign w:val="bottom"/>
          </w:tcPr>
          <w:p>
            <w:pPr>
              <w:spacing w:after="0"/>
              <w:rPr>
                <w:sz w:val="13"/>
                <w:szCs w:val="13"/>
                <w:color w:val="auto"/>
              </w:rPr>
            </w:pPr>
          </w:p>
        </w:tc>
        <w:tc>
          <w:tcPr>
            <w:tcW w:w="114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w w:val="93"/>
              </w:rPr>
              <w:t>Accrued liabilities</w:t>
            </w:r>
          </w:p>
        </w:tc>
        <w:tc>
          <w:tcPr>
            <w:tcW w:w="0" w:type="dxa"/>
            <w:vAlign w:val="bottom"/>
          </w:tcPr>
          <w:p>
            <w:pPr>
              <w:spacing w:after="0"/>
              <w:rPr>
                <w:sz w:val="1"/>
                <w:szCs w:val="1"/>
                <w:color w:val="auto"/>
              </w:rPr>
            </w:pPr>
          </w:p>
        </w:tc>
      </w:tr>
      <w:tr>
        <w:trPr>
          <w:trHeight w:val="149"/>
        </w:trPr>
        <w:tc>
          <w:tcPr>
            <w:tcW w:w="2860" w:type="dxa"/>
            <w:vAlign w:val="bottom"/>
            <w:tcBorders>
              <w:top w:val="single" w:sz="8" w:color="auto"/>
            </w:tcBorders>
          </w:tcPr>
          <w:p>
            <w:pPr>
              <w:spacing w:after="0"/>
              <w:rPr>
                <w:sz w:val="12"/>
                <w:szCs w:val="12"/>
                <w:color w:val="auto"/>
              </w:rPr>
            </w:pPr>
          </w:p>
        </w:tc>
        <w:tc>
          <w:tcPr>
            <w:tcW w:w="26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3"/>
          </w:tcPr>
          <w:p>
            <w:pPr>
              <w:ind w:left="420"/>
              <w:spacing w:after="0" w:line="149" w:lineRule="exact"/>
              <w:rPr>
                <w:sz w:val="20"/>
                <w:szCs w:val="20"/>
                <w:color w:val="auto"/>
              </w:rPr>
            </w:pPr>
            <w:r>
              <w:rPr>
                <w:rFonts w:ascii="Arial" w:cs="Arial" w:eastAsia="Arial" w:hAnsi="Arial"/>
                <w:sz w:val="14"/>
                <w:szCs w:val="14"/>
                <w:b w:val="1"/>
                <w:bCs w:val="1"/>
                <w:color w:val="auto"/>
                <w:w w:val="93"/>
              </w:rPr>
              <w:t>(In thousands)</w:t>
            </w:r>
          </w:p>
        </w:tc>
        <w:tc>
          <w:tcPr>
            <w:tcW w:w="6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forward contracts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8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1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spacing w:after="0"/>
              <w:rPr>
                <w:sz w:val="20"/>
                <w:szCs w:val="20"/>
                <w:color w:val="auto"/>
              </w:rPr>
            </w:pPr>
            <w:r>
              <w:rPr>
                <w:rFonts w:ascii="Arial" w:cs="Arial" w:eastAsia="Arial" w:hAnsi="Arial"/>
                <w:sz w:val="18"/>
                <w:szCs w:val="18"/>
                <w:color w:val="auto"/>
              </w:rPr>
              <w:t>Total derivatives designated as hedging instruments</w:t>
            </w: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500" w:type="dxa"/>
            <w:vAlign w:val="bottom"/>
            <w:gridSpan w:val="2"/>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669</w:t>
            </w:r>
          </w:p>
        </w:tc>
        <w:tc>
          <w:tcPr>
            <w:tcW w:w="8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182</w:t>
            </w:r>
          </w:p>
        </w:tc>
        <w:tc>
          <w:tcPr>
            <w:tcW w:w="11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notional value of foreign currency forward contracts outstanding as of December 30, 2011 and April 1, 2011 was $10.8 million and $4.6 million, respectively.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effects of foreign currency forward contracts in cash flow hedging relationships during the three months ended December 30, 2011 were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8"/>
              </w:rPr>
              <w:t>Amount of</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Gain or</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0"/>
              </w:rPr>
              <w:t>(Loss)</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Amount</w:t>
            </w:r>
          </w:p>
        </w:tc>
        <w:tc>
          <w:tcPr>
            <w:tcW w:w="2220" w:type="dxa"/>
            <w:vAlign w:val="bottom"/>
          </w:tcPr>
          <w:p>
            <w:pPr>
              <w:jc w:val="center"/>
              <w:ind w:right="9"/>
              <w:spacing w:after="0" w:line="149" w:lineRule="exact"/>
              <w:rPr>
                <w:sz w:val="20"/>
                <w:szCs w:val="20"/>
                <w:color w:val="auto"/>
              </w:rPr>
            </w:pPr>
            <w:r>
              <w:rPr>
                <w:rFonts w:ascii="Arial" w:cs="Arial" w:eastAsia="Arial" w:hAnsi="Arial"/>
                <w:sz w:val="14"/>
                <w:szCs w:val="14"/>
                <w:b w:val="1"/>
                <w:bCs w:val="1"/>
                <w:color w:val="auto"/>
                <w:w w:val="87"/>
              </w:rPr>
              <w:t>Location of</w:t>
            </w:r>
          </w:p>
        </w:tc>
        <w:tc>
          <w:tcPr>
            <w:tcW w:w="220" w:type="dxa"/>
            <w:vAlign w:val="bottom"/>
          </w:tcPr>
          <w:p>
            <w:pPr>
              <w:spacing w:after="0"/>
              <w:rPr>
                <w:sz w:val="12"/>
                <w:szCs w:val="12"/>
                <w:color w:val="auto"/>
              </w:rPr>
            </w:pPr>
          </w:p>
        </w:tc>
        <w:tc>
          <w:tcPr>
            <w:tcW w:w="10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Amount of</w:t>
            </w:r>
          </w:p>
        </w:tc>
        <w:tc>
          <w:tcPr>
            <w:tcW w:w="1740" w:type="dxa"/>
            <w:vAlign w:val="bottom"/>
          </w:tcPr>
          <w:p>
            <w:pPr>
              <w:jc w:val="center"/>
              <w:ind w:right="171"/>
              <w:spacing w:after="0" w:line="149" w:lineRule="exact"/>
              <w:rPr>
                <w:sz w:val="20"/>
                <w:szCs w:val="20"/>
                <w:color w:val="auto"/>
              </w:rPr>
            </w:pPr>
            <w:r>
              <w:rPr>
                <w:rFonts w:ascii="Arial" w:cs="Arial" w:eastAsia="Arial" w:hAnsi="Arial"/>
                <w:sz w:val="14"/>
                <w:szCs w:val="14"/>
                <w:b w:val="1"/>
                <w:bCs w:val="1"/>
                <w:color w:val="auto"/>
                <w:w w:val="88"/>
              </w:rPr>
              <w:t>Location of Gain</w:t>
            </w:r>
          </w:p>
        </w:tc>
        <w:tc>
          <w:tcPr>
            <w:tcW w:w="8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Recognized</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of Gain or</w:t>
            </w:r>
          </w:p>
        </w:tc>
        <w:tc>
          <w:tcPr>
            <w:tcW w:w="2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Gain or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Gain or</w:t>
            </w:r>
          </w:p>
        </w:tc>
        <w:tc>
          <w:tcPr>
            <w:tcW w:w="1740" w:type="dxa"/>
            <w:vAlign w:val="bottom"/>
          </w:tcPr>
          <w:p>
            <w:pPr>
              <w:jc w:val="center"/>
              <w:ind w:right="191"/>
              <w:spacing w:after="0" w:line="149" w:lineRule="exact"/>
              <w:rPr>
                <w:sz w:val="20"/>
                <w:szCs w:val="20"/>
                <w:color w:val="auto"/>
              </w:rPr>
            </w:pPr>
            <w:r>
              <w:rPr>
                <w:rFonts w:ascii="Arial" w:cs="Arial" w:eastAsia="Arial" w:hAnsi="Arial"/>
                <w:sz w:val="14"/>
                <w:szCs w:val="14"/>
                <w:b w:val="1"/>
                <w:bCs w:val="1"/>
                <w:color w:val="auto"/>
                <w:w w:val="86"/>
              </w:rPr>
              <w:t>or (Loss)</w:t>
            </w:r>
          </w:p>
        </w:tc>
        <w:tc>
          <w:tcPr>
            <w:tcW w:w="8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in Income on</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0"/>
              </w:rPr>
              <w:t>(Loss)</w:t>
            </w:r>
          </w:p>
        </w:tc>
        <w:tc>
          <w:tcPr>
            <w:tcW w:w="2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(Loss)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0"/>
              </w:rPr>
              <w:t>(Loss)</w:t>
            </w:r>
          </w:p>
        </w:tc>
        <w:tc>
          <w:tcPr>
            <w:tcW w:w="1740" w:type="dxa"/>
            <w:vAlign w:val="bottom"/>
          </w:tcPr>
          <w:p>
            <w:pPr>
              <w:jc w:val="center"/>
              <w:ind w:right="191"/>
              <w:spacing w:after="0" w:line="149" w:lineRule="exact"/>
              <w:rPr>
                <w:sz w:val="20"/>
                <w:szCs w:val="20"/>
                <w:color w:val="auto"/>
              </w:rPr>
            </w:pPr>
            <w:r>
              <w:rPr>
                <w:rFonts w:ascii="Arial" w:cs="Arial" w:eastAsia="Arial" w:hAnsi="Arial"/>
                <w:sz w:val="14"/>
                <w:szCs w:val="14"/>
                <w:b w:val="1"/>
                <w:bCs w:val="1"/>
                <w:color w:val="auto"/>
                <w:w w:val="84"/>
              </w:rPr>
              <w:t>Recognized in</w:t>
            </w:r>
          </w:p>
        </w:tc>
        <w:tc>
          <w:tcPr>
            <w:tcW w:w="8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Derivatives</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3"/>
              </w:rPr>
              <w:t>Recognized</w:t>
            </w:r>
          </w:p>
        </w:tc>
        <w:tc>
          <w:tcPr>
            <w:tcW w:w="2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Reclassified</w:t>
            </w:r>
          </w:p>
        </w:tc>
        <w:tc>
          <w:tcPr>
            <w:tcW w:w="220" w:type="dxa"/>
            <w:vAlign w:val="bottom"/>
          </w:tcPr>
          <w:p>
            <w:pPr>
              <w:spacing w:after="0"/>
              <w:rPr>
                <w:sz w:val="12"/>
                <w:szCs w:val="12"/>
                <w:color w:val="auto"/>
              </w:rPr>
            </w:pPr>
          </w:p>
        </w:tc>
        <w:tc>
          <w:tcPr>
            <w:tcW w:w="104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Reclassified</w:t>
            </w:r>
          </w:p>
        </w:tc>
        <w:tc>
          <w:tcPr>
            <w:tcW w:w="1740" w:type="dxa"/>
            <w:vAlign w:val="bottom"/>
          </w:tcPr>
          <w:p>
            <w:pPr>
              <w:jc w:val="center"/>
              <w:ind w:right="191"/>
              <w:spacing w:after="0" w:line="149" w:lineRule="exact"/>
              <w:rPr>
                <w:sz w:val="20"/>
                <w:szCs w:val="20"/>
                <w:color w:val="auto"/>
              </w:rPr>
            </w:pPr>
            <w:r>
              <w:rPr>
                <w:rFonts w:ascii="Arial" w:cs="Arial" w:eastAsia="Arial" w:hAnsi="Arial"/>
                <w:sz w:val="14"/>
                <w:szCs w:val="14"/>
                <w:b w:val="1"/>
                <w:bCs w:val="1"/>
                <w:color w:val="auto"/>
                <w:w w:val="85"/>
              </w:rPr>
              <w:t>Income on</w:t>
            </w:r>
          </w:p>
        </w:tc>
        <w:tc>
          <w:tcPr>
            <w:tcW w:w="8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(Ineffective</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in Accumulated</w:t>
            </w:r>
          </w:p>
        </w:tc>
        <w:tc>
          <w:tcPr>
            <w:tcW w:w="2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from</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from</w:t>
            </w:r>
          </w:p>
        </w:tc>
        <w:tc>
          <w:tcPr>
            <w:tcW w:w="1740" w:type="dxa"/>
            <w:vAlign w:val="bottom"/>
          </w:tcPr>
          <w:p>
            <w:pPr>
              <w:jc w:val="center"/>
              <w:ind w:right="191"/>
              <w:spacing w:after="0" w:line="149" w:lineRule="exact"/>
              <w:rPr>
                <w:sz w:val="20"/>
                <w:szCs w:val="20"/>
                <w:color w:val="auto"/>
              </w:rPr>
            </w:pPr>
            <w:r>
              <w:rPr>
                <w:rFonts w:ascii="Arial" w:cs="Arial" w:eastAsia="Arial" w:hAnsi="Arial"/>
                <w:sz w:val="14"/>
                <w:szCs w:val="14"/>
                <w:b w:val="1"/>
                <w:bCs w:val="1"/>
                <w:color w:val="auto"/>
                <w:w w:val="85"/>
              </w:rPr>
              <w:t>Derivatives</w:t>
            </w:r>
          </w:p>
        </w:tc>
        <w:tc>
          <w:tcPr>
            <w:tcW w:w="8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Portion and</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rPr>
              <w:t>OCI</w:t>
            </w:r>
          </w:p>
        </w:tc>
        <w:tc>
          <w:tcPr>
            <w:tcW w:w="2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Accumulated</w:t>
            </w:r>
          </w:p>
        </w:tc>
        <w:tc>
          <w:tcPr>
            <w:tcW w:w="220" w:type="dxa"/>
            <w:vAlign w:val="bottom"/>
          </w:tcPr>
          <w:p>
            <w:pPr>
              <w:spacing w:after="0"/>
              <w:rPr>
                <w:sz w:val="12"/>
                <w:szCs w:val="12"/>
                <w:color w:val="auto"/>
              </w:rPr>
            </w:pPr>
          </w:p>
        </w:tc>
        <w:tc>
          <w:tcPr>
            <w:tcW w:w="10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Accumulated</w:t>
            </w:r>
          </w:p>
        </w:tc>
        <w:tc>
          <w:tcPr>
            <w:tcW w:w="1740" w:type="dxa"/>
            <w:vAlign w:val="bottom"/>
          </w:tcPr>
          <w:p>
            <w:pPr>
              <w:jc w:val="center"/>
              <w:ind w:right="191"/>
              <w:spacing w:after="0" w:line="149" w:lineRule="exact"/>
              <w:rPr>
                <w:sz w:val="20"/>
                <w:szCs w:val="20"/>
                <w:color w:val="auto"/>
              </w:rPr>
            </w:pPr>
            <w:r>
              <w:rPr>
                <w:rFonts w:ascii="Arial" w:cs="Arial" w:eastAsia="Arial" w:hAnsi="Arial"/>
                <w:sz w:val="14"/>
                <w:szCs w:val="14"/>
                <w:b w:val="1"/>
                <w:bCs w:val="1"/>
                <w:color w:val="auto"/>
                <w:w w:val="86"/>
              </w:rPr>
              <w:t>(Ineffective</w:t>
            </w:r>
          </w:p>
        </w:tc>
        <w:tc>
          <w:tcPr>
            <w:tcW w:w="100" w:type="dxa"/>
            <w:vAlign w:val="bottom"/>
          </w:tcPr>
          <w:p>
            <w:pPr>
              <w:spacing w:after="0"/>
              <w:rPr>
                <w:sz w:val="12"/>
                <w:szCs w:val="12"/>
                <w:color w:val="auto"/>
              </w:rPr>
            </w:pPr>
          </w:p>
        </w:tc>
        <w:tc>
          <w:tcPr>
            <w:tcW w:w="7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Amount</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1"/>
              </w:rPr>
              <w:t>on</w:t>
            </w:r>
          </w:p>
        </w:tc>
        <w:tc>
          <w:tcPr>
            <w:tcW w:w="2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OCI into</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OCI into</w:t>
            </w:r>
          </w:p>
        </w:tc>
        <w:tc>
          <w:tcPr>
            <w:tcW w:w="1740" w:type="dxa"/>
            <w:vAlign w:val="bottom"/>
          </w:tcPr>
          <w:p>
            <w:pPr>
              <w:jc w:val="center"/>
              <w:ind w:right="191"/>
              <w:spacing w:after="0" w:line="149" w:lineRule="exact"/>
              <w:rPr>
                <w:sz w:val="20"/>
                <w:szCs w:val="20"/>
                <w:color w:val="auto"/>
              </w:rPr>
            </w:pPr>
            <w:r>
              <w:rPr>
                <w:rFonts w:ascii="Arial" w:cs="Arial" w:eastAsia="Arial" w:hAnsi="Arial"/>
                <w:sz w:val="14"/>
                <w:szCs w:val="14"/>
                <w:b w:val="1"/>
                <w:bCs w:val="1"/>
                <w:color w:val="auto"/>
                <w:w w:val="87"/>
              </w:rPr>
              <w:t>Portion and</w:t>
            </w:r>
          </w:p>
        </w:tc>
        <w:tc>
          <w:tcPr>
            <w:tcW w:w="100" w:type="dxa"/>
            <w:vAlign w:val="bottom"/>
          </w:tcPr>
          <w:p>
            <w:pPr>
              <w:spacing w:after="0"/>
              <w:rPr>
                <w:sz w:val="12"/>
                <w:szCs w:val="12"/>
                <w:color w:val="auto"/>
              </w:rPr>
            </w:pPr>
          </w:p>
        </w:tc>
        <w:tc>
          <w:tcPr>
            <w:tcW w:w="7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Excluded</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Derivatives</w:t>
            </w:r>
          </w:p>
        </w:tc>
        <w:tc>
          <w:tcPr>
            <w:tcW w:w="2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Income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Income</w:t>
            </w:r>
          </w:p>
        </w:tc>
        <w:tc>
          <w:tcPr>
            <w:tcW w:w="1740" w:type="dxa"/>
            <w:vAlign w:val="bottom"/>
          </w:tcPr>
          <w:p>
            <w:pPr>
              <w:jc w:val="center"/>
              <w:ind w:right="191"/>
              <w:spacing w:after="0" w:line="149" w:lineRule="exact"/>
              <w:rPr>
                <w:sz w:val="20"/>
                <w:szCs w:val="20"/>
                <w:color w:val="auto"/>
              </w:rPr>
            </w:pPr>
            <w:r>
              <w:rPr>
                <w:rFonts w:ascii="Arial" w:cs="Arial" w:eastAsia="Arial" w:hAnsi="Arial"/>
                <w:sz w:val="14"/>
                <w:szCs w:val="14"/>
                <w:b w:val="1"/>
                <w:bCs w:val="1"/>
                <w:color w:val="auto"/>
                <w:w w:val="87"/>
              </w:rPr>
              <w:t>Amount Excluded</w:t>
            </w:r>
          </w:p>
        </w:tc>
        <w:tc>
          <w:tcPr>
            <w:tcW w:w="10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from</w:t>
            </w:r>
          </w:p>
        </w:tc>
        <w:tc>
          <w:tcPr>
            <w:tcW w:w="0" w:type="dxa"/>
            <w:vAlign w:val="bottom"/>
          </w:tcPr>
          <w:p>
            <w:pPr>
              <w:spacing w:after="0"/>
              <w:rPr>
                <w:sz w:val="1"/>
                <w:szCs w:val="1"/>
                <w:color w:val="auto"/>
              </w:rPr>
            </w:pPr>
          </w:p>
        </w:tc>
      </w:tr>
      <w:tr>
        <w:trPr>
          <w:trHeight w:val="149"/>
        </w:trPr>
        <w:tc>
          <w:tcPr>
            <w:tcW w:w="2960" w:type="dxa"/>
            <w:vAlign w:val="bottom"/>
            <w:vMerge w:val="restart"/>
          </w:tcPr>
          <w:p>
            <w:pPr>
              <w:spacing w:after="0"/>
              <w:rPr>
                <w:sz w:val="20"/>
                <w:szCs w:val="20"/>
                <w:color w:val="auto"/>
              </w:rPr>
            </w:pPr>
            <w:r>
              <w:rPr>
                <w:rFonts w:ascii="Arial" w:cs="Arial" w:eastAsia="Arial" w:hAnsi="Arial"/>
                <w:sz w:val="14"/>
                <w:szCs w:val="14"/>
                <w:b w:val="1"/>
                <w:bCs w:val="1"/>
                <w:color w:val="auto"/>
                <w:w w:val="91"/>
              </w:rPr>
              <w:t>Derivatives in Cash Flow Hedging Relationships</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(Effective</w:t>
            </w:r>
          </w:p>
        </w:tc>
        <w:tc>
          <w:tcPr>
            <w:tcW w:w="2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(Effective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(Effective</w:t>
            </w:r>
          </w:p>
        </w:tc>
        <w:tc>
          <w:tcPr>
            <w:tcW w:w="1740" w:type="dxa"/>
            <w:vAlign w:val="bottom"/>
          </w:tcPr>
          <w:p>
            <w:pPr>
              <w:jc w:val="center"/>
              <w:ind w:right="191"/>
              <w:spacing w:after="0" w:line="149" w:lineRule="exact"/>
              <w:rPr>
                <w:sz w:val="20"/>
                <w:szCs w:val="20"/>
                <w:color w:val="auto"/>
              </w:rPr>
            </w:pPr>
            <w:r>
              <w:rPr>
                <w:rFonts w:ascii="Arial" w:cs="Arial" w:eastAsia="Arial" w:hAnsi="Arial"/>
                <w:sz w:val="14"/>
                <w:szCs w:val="14"/>
                <w:b w:val="1"/>
                <w:bCs w:val="1"/>
                <w:color w:val="auto"/>
                <w:w w:val="86"/>
              </w:rPr>
              <w:t>from Effectiveness</w:t>
            </w:r>
          </w:p>
        </w:tc>
        <w:tc>
          <w:tcPr>
            <w:tcW w:w="8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1"/>
              </w:rPr>
              <w:t>Effectiveness</w:t>
            </w:r>
          </w:p>
        </w:tc>
        <w:tc>
          <w:tcPr>
            <w:tcW w:w="0" w:type="dxa"/>
            <w:vAlign w:val="bottom"/>
          </w:tcPr>
          <w:p>
            <w:pPr>
              <w:spacing w:after="0"/>
              <w:rPr>
                <w:sz w:val="1"/>
                <w:szCs w:val="1"/>
                <w:color w:val="auto"/>
              </w:rPr>
            </w:pPr>
          </w:p>
        </w:tc>
      </w:tr>
      <w:tr>
        <w:trPr>
          <w:trHeight w:val="155"/>
        </w:trPr>
        <w:tc>
          <w:tcPr>
            <w:tcW w:w="2960" w:type="dxa"/>
            <w:vAlign w:val="bottom"/>
            <w:vMerge w:val="continue"/>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380"/>
              <w:spacing w:after="0" w:line="148" w:lineRule="exact"/>
              <w:rPr>
                <w:sz w:val="20"/>
                <w:szCs w:val="20"/>
                <w:color w:val="auto"/>
              </w:rPr>
            </w:pPr>
            <w:r>
              <w:rPr>
                <w:rFonts w:ascii="Arial" w:cs="Arial" w:eastAsia="Arial" w:hAnsi="Arial"/>
                <w:sz w:val="14"/>
                <w:szCs w:val="14"/>
                <w:b w:val="1"/>
                <w:bCs w:val="1"/>
                <w:color w:val="auto"/>
                <w:w w:val="89"/>
              </w:rPr>
              <w:t>Portion)</w:t>
            </w:r>
          </w:p>
        </w:tc>
        <w:tc>
          <w:tcPr>
            <w:tcW w:w="22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Portion)</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340"/>
              <w:spacing w:after="0" w:line="148" w:lineRule="exact"/>
              <w:rPr>
                <w:sz w:val="20"/>
                <w:szCs w:val="20"/>
                <w:color w:val="auto"/>
              </w:rPr>
            </w:pPr>
            <w:r>
              <w:rPr>
                <w:rFonts w:ascii="Arial" w:cs="Arial" w:eastAsia="Arial" w:hAnsi="Arial"/>
                <w:sz w:val="14"/>
                <w:szCs w:val="14"/>
                <w:b w:val="1"/>
                <w:bCs w:val="1"/>
                <w:color w:val="auto"/>
                <w:w w:val="89"/>
              </w:rPr>
              <w:t>Portion)</w:t>
            </w:r>
          </w:p>
        </w:tc>
        <w:tc>
          <w:tcPr>
            <w:tcW w:w="1740" w:type="dxa"/>
            <w:vAlign w:val="bottom"/>
          </w:tcPr>
          <w:p>
            <w:pPr>
              <w:jc w:val="center"/>
              <w:ind w:right="171"/>
              <w:spacing w:after="0" w:line="148" w:lineRule="exact"/>
              <w:rPr>
                <w:sz w:val="20"/>
                <w:szCs w:val="20"/>
                <w:color w:val="auto"/>
              </w:rPr>
            </w:pPr>
            <w:r>
              <w:rPr>
                <w:rFonts w:ascii="Arial" w:cs="Arial" w:eastAsia="Arial" w:hAnsi="Arial"/>
                <w:sz w:val="14"/>
                <w:szCs w:val="14"/>
                <w:b w:val="1"/>
                <w:bCs w:val="1"/>
                <w:color w:val="auto"/>
                <w:w w:val="84"/>
              </w:rPr>
              <w:t>Testing)</w:t>
            </w:r>
          </w:p>
        </w:tc>
        <w:tc>
          <w:tcPr>
            <w:tcW w:w="100" w:type="dxa"/>
            <w:vAlign w:val="bottom"/>
          </w:tcPr>
          <w:p>
            <w:pPr>
              <w:spacing w:after="0"/>
              <w:rPr>
                <w:sz w:val="13"/>
                <w:szCs w:val="13"/>
                <w:color w:val="auto"/>
              </w:rPr>
            </w:pPr>
          </w:p>
        </w:tc>
        <w:tc>
          <w:tcPr>
            <w:tcW w:w="7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4"/>
              </w:rPr>
              <w:t>Testing)</w:t>
            </w:r>
          </w:p>
        </w:tc>
        <w:tc>
          <w:tcPr>
            <w:tcW w:w="0" w:type="dxa"/>
            <w:vAlign w:val="bottom"/>
          </w:tcPr>
          <w:p>
            <w:pPr>
              <w:spacing w:after="0"/>
              <w:rPr>
                <w:sz w:val="1"/>
                <w:szCs w:val="1"/>
                <w:color w:val="auto"/>
              </w:rPr>
            </w:pPr>
          </w:p>
        </w:tc>
      </w:tr>
      <w:tr>
        <w:trPr>
          <w:trHeight w:val="149"/>
        </w:trPr>
        <w:tc>
          <w:tcPr>
            <w:tcW w:w="2960" w:type="dxa"/>
            <w:vAlign w:val="bottom"/>
            <w:tcBorders>
              <w:top w:val="single" w:sz="8" w:color="auto"/>
            </w:tcBorders>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480" w:type="dxa"/>
            <w:vAlign w:val="bottom"/>
            <w:tcBorders>
              <w:top w:val="single" w:sz="8" w:color="auto"/>
            </w:tcBorders>
            <w:gridSpan w:val="5"/>
          </w:tcPr>
          <w:p>
            <w:pPr>
              <w:jc w:val="right"/>
              <w:ind w:right="660"/>
              <w:spacing w:after="0" w:line="149" w:lineRule="exact"/>
              <w:rPr>
                <w:sz w:val="20"/>
                <w:szCs w:val="20"/>
                <w:color w:val="auto"/>
              </w:rPr>
            </w:pPr>
            <w:r>
              <w:rPr>
                <w:rFonts w:ascii="Arial" w:cs="Arial" w:eastAsia="Arial" w:hAnsi="Arial"/>
                <w:sz w:val="14"/>
                <w:szCs w:val="14"/>
                <w:b w:val="1"/>
                <w:bCs w:val="1"/>
                <w:color w:val="auto"/>
              </w:rPr>
              <w:t>(In thousands)</w:t>
            </w:r>
          </w:p>
        </w:tc>
        <w:tc>
          <w:tcPr>
            <w:tcW w:w="17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forward contracts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(243)</w:t>
            </w:r>
          </w:p>
        </w:tc>
        <w:tc>
          <w:tcPr>
            <w:tcW w:w="2220" w:type="dxa"/>
            <w:vAlign w:val="bottom"/>
            <w:shd w:val="clear" w:color="auto" w:fill="CCEEFF"/>
          </w:tcPr>
          <w:p>
            <w:pPr>
              <w:jc w:val="right"/>
              <w:ind w:right="169"/>
              <w:spacing w:after="0"/>
              <w:rPr>
                <w:sz w:val="20"/>
                <w:szCs w:val="20"/>
                <w:color w:val="auto"/>
              </w:rPr>
            </w:pPr>
            <w:r>
              <w:rPr>
                <w:rFonts w:ascii="Arial" w:cs="Arial" w:eastAsia="Arial" w:hAnsi="Arial"/>
                <w:sz w:val="18"/>
                <w:szCs w:val="18"/>
                <w:color w:val="auto"/>
                <w:w w:val="97"/>
              </w:rPr>
              <w:t>Cost of product revenues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w:t>
            </w:r>
          </w:p>
        </w:tc>
        <w:tc>
          <w:tcPr>
            <w:tcW w:w="17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Not applicable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960" w:type="dxa"/>
            <w:vAlign w:val="bottom"/>
            <w:vMerge w:val="restart"/>
          </w:tcPr>
          <w:p>
            <w:pPr>
              <w:spacing w:after="0"/>
              <w:rPr>
                <w:sz w:val="20"/>
                <w:szCs w:val="20"/>
                <w:color w:val="auto"/>
              </w:rPr>
            </w:pPr>
            <w:r>
              <w:rPr>
                <w:rFonts w:ascii="Arial" w:cs="Arial" w:eastAsia="Arial" w:hAnsi="Arial"/>
                <w:sz w:val="18"/>
                <w:szCs w:val="18"/>
                <w:b w:val="1"/>
                <w:bCs w:val="1"/>
                <w:color w:val="auto"/>
              </w:rPr>
              <w:t>Total</w:t>
            </w:r>
          </w:p>
        </w:tc>
        <w:tc>
          <w:tcPr>
            <w:tcW w:w="1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960" w:type="dxa"/>
            <w:vAlign w:val="bottom"/>
            <w:vMerge w:val="continue"/>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(243)</w:t>
            </w:r>
          </w:p>
        </w:tc>
        <w:tc>
          <w:tcPr>
            <w:tcW w:w="222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(112)</w:t>
            </w:r>
          </w:p>
        </w:tc>
        <w:tc>
          <w:tcPr>
            <w:tcW w:w="17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20" w:type="dxa"/>
            <w:vAlign w:val="bottom"/>
            <w:vMerge w:val="restart"/>
          </w:tcPr>
          <w:p>
            <w:pPr>
              <w:jc w:val="right"/>
              <w:ind w:right="1689"/>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effects of foreign currency forward contracts in cash flow hedging relationships during the nine months ended December 30, 2011 were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8"/>
              </w:rPr>
              <w:t>Amount of</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Gain or</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0"/>
              </w:rPr>
              <w:t>(Loss)</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Amount</w:t>
            </w:r>
          </w:p>
        </w:tc>
        <w:tc>
          <w:tcPr>
            <w:tcW w:w="2220" w:type="dxa"/>
            <w:vAlign w:val="bottom"/>
          </w:tcPr>
          <w:p>
            <w:pPr>
              <w:jc w:val="center"/>
              <w:ind w:right="11"/>
              <w:spacing w:after="0" w:line="149" w:lineRule="exact"/>
              <w:rPr>
                <w:sz w:val="20"/>
                <w:szCs w:val="20"/>
                <w:color w:val="auto"/>
              </w:rPr>
            </w:pPr>
            <w:r>
              <w:rPr>
                <w:rFonts w:ascii="Arial" w:cs="Arial" w:eastAsia="Arial" w:hAnsi="Arial"/>
                <w:sz w:val="14"/>
                <w:szCs w:val="14"/>
                <w:b w:val="1"/>
                <w:bCs w:val="1"/>
                <w:color w:val="auto"/>
                <w:w w:val="87"/>
              </w:rPr>
              <w:t>Location of</w:t>
            </w:r>
          </w:p>
        </w:tc>
        <w:tc>
          <w:tcPr>
            <w:tcW w:w="220" w:type="dxa"/>
            <w:vAlign w:val="bottom"/>
          </w:tcPr>
          <w:p>
            <w:pPr>
              <w:spacing w:after="0"/>
              <w:rPr>
                <w:sz w:val="12"/>
                <w:szCs w:val="12"/>
                <w:color w:val="auto"/>
              </w:rPr>
            </w:pPr>
          </w:p>
        </w:tc>
        <w:tc>
          <w:tcPr>
            <w:tcW w:w="102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Amount of</w:t>
            </w:r>
          </w:p>
        </w:tc>
        <w:tc>
          <w:tcPr>
            <w:tcW w:w="1720" w:type="dxa"/>
            <w:vAlign w:val="bottom"/>
          </w:tcPr>
          <w:p>
            <w:pPr>
              <w:jc w:val="center"/>
              <w:ind w:right="191"/>
              <w:spacing w:after="0" w:line="149" w:lineRule="exact"/>
              <w:rPr>
                <w:sz w:val="20"/>
                <w:szCs w:val="20"/>
                <w:color w:val="auto"/>
              </w:rPr>
            </w:pPr>
            <w:r>
              <w:rPr>
                <w:rFonts w:ascii="Arial" w:cs="Arial" w:eastAsia="Arial" w:hAnsi="Arial"/>
                <w:sz w:val="14"/>
                <w:szCs w:val="14"/>
                <w:b w:val="1"/>
                <w:bCs w:val="1"/>
                <w:color w:val="auto"/>
                <w:w w:val="88"/>
              </w:rPr>
              <w:t>Location of Gain</w:t>
            </w:r>
          </w:p>
        </w:tc>
        <w:tc>
          <w:tcPr>
            <w:tcW w:w="8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Recognized</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of Gain or</w:t>
            </w:r>
          </w:p>
        </w:tc>
        <w:tc>
          <w:tcPr>
            <w:tcW w:w="2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Gain or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Gain or</w:t>
            </w:r>
          </w:p>
        </w:tc>
        <w:tc>
          <w:tcPr>
            <w:tcW w:w="1720" w:type="dxa"/>
            <w:vAlign w:val="bottom"/>
          </w:tcPr>
          <w:p>
            <w:pPr>
              <w:jc w:val="center"/>
              <w:ind w:right="171"/>
              <w:spacing w:after="0" w:line="149" w:lineRule="exact"/>
              <w:rPr>
                <w:sz w:val="20"/>
                <w:szCs w:val="20"/>
                <w:color w:val="auto"/>
              </w:rPr>
            </w:pPr>
            <w:r>
              <w:rPr>
                <w:rFonts w:ascii="Arial" w:cs="Arial" w:eastAsia="Arial" w:hAnsi="Arial"/>
                <w:sz w:val="14"/>
                <w:szCs w:val="14"/>
                <w:b w:val="1"/>
                <w:bCs w:val="1"/>
                <w:color w:val="auto"/>
                <w:w w:val="86"/>
              </w:rPr>
              <w:t>or (Loss)</w:t>
            </w:r>
          </w:p>
        </w:tc>
        <w:tc>
          <w:tcPr>
            <w:tcW w:w="8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in Income on</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0"/>
              </w:rPr>
              <w:t>(Loss)</w:t>
            </w:r>
          </w:p>
        </w:tc>
        <w:tc>
          <w:tcPr>
            <w:tcW w:w="2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(Loss)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(Loss)</w:t>
            </w:r>
          </w:p>
        </w:tc>
        <w:tc>
          <w:tcPr>
            <w:tcW w:w="1720" w:type="dxa"/>
            <w:vAlign w:val="bottom"/>
          </w:tcPr>
          <w:p>
            <w:pPr>
              <w:jc w:val="center"/>
              <w:ind w:right="171"/>
              <w:spacing w:after="0" w:line="149" w:lineRule="exact"/>
              <w:rPr>
                <w:sz w:val="20"/>
                <w:szCs w:val="20"/>
                <w:color w:val="auto"/>
              </w:rPr>
            </w:pPr>
            <w:r>
              <w:rPr>
                <w:rFonts w:ascii="Arial" w:cs="Arial" w:eastAsia="Arial" w:hAnsi="Arial"/>
                <w:sz w:val="14"/>
                <w:szCs w:val="14"/>
                <w:b w:val="1"/>
                <w:bCs w:val="1"/>
                <w:color w:val="auto"/>
                <w:w w:val="84"/>
              </w:rPr>
              <w:t>Recognized in</w:t>
            </w:r>
          </w:p>
        </w:tc>
        <w:tc>
          <w:tcPr>
            <w:tcW w:w="8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Derivatives</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3"/>
              </w:rPr>
              <w:t>Recognized</w:t>
            </w:r>
          </w:p>
        </w:tc>
        <w:tc>
          <w:tcPr>
            <w:tcW w:w="2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Reclassified</w:t>
            </w:r>
          </w:p>
        </w:tc>
        <w:tc>
          <w:tcPr>
            <w:tcW w:w="220" w:type="dxa"/>
            <w:vAlign w:val="bottom"/>
          </w:tcPr>
          <w:p>
            <w:pPr>
              <w:spacing w:after="0"/>
              <w:rPr>
                <w:sz w:val="12"/>
                <w:szCs w:val="12"/>
                <w:color w:val="auto"/>
              </w:rPr>
            </w:pPr>
          </w:p>
        </w:tc>
        <w:tc>
          <w:tcPr>
            <w:tcW w:w="102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Reclassified</w:t>
            </w:r>
          </w:p>
        </w:tc>
        <w:tc>
          <w:tcPr>
            <w:tcW w:w="1720" w:type="dxa"/>
            <w:vAlign w:val="bottom"/>
          </w:tcPr>
          <w:p>
            <w:pPr>
              <w:jc w:val="center"/>
              <w:ind w:right="171"/>
              <w:spacing w:after="0" w:line="149" w:lineRule="exact"/>
              <w:rPr>
                <w:sz w:val="20"/>
                <w:szCs w:val="20"/>
                <w:color w:val="auto"/>
              </w:rPr>
            </w:pPr>
            <w:r>
              <w:rPr>
                <w:rFonts w:ascii="Arial" w:cs="Arial" w:eastAsia="Arial" w:hAnsi="Arial"/>
                <w:sz w:val="14"/>
                <w:szCs w:val="14"/>
                <w:b w:val="1"/>
                <w:bCs w:val="1"/>
                <w:color w:val="auto"/>
                <w:w w:val="85"/>
              </w:rPr>
              <w:t>Income on</w:t>
            </w:r>
          </w:p>
        </w:tc>
        <w:tc>
          <w:tcPr>
            <w:tcW w:w="8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(Ineffective</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in Accumulated</w:t>
            </w:r>
          </w:p>
        </w:tc>
        <w:tc>
          <w:tcPr>
            <w:tcW w:w="2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from</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from</w:t>
            </w:r>
          </w:p>
        </w:tc>
        <w:tc>
          <w:tcPr>
            <w:tcW w:w="1720" w:type="dxa"/>
            <w:vAlign w:val="bottom"/>
          </w:tcPr>
          <w:p>
            <w:pPr>
              <w:jc w:val="center"/>
              <w:ind w:right="171"/>
              <w:spacing w:after="0" w:line="149" w:lineRule="exact"/>
              <w:rPr>
                <w:sz w:val="20"/>
                <w:szCs w:val="20"/>
                <w:color w:val="auto"/>
              </w:rPr>
            </w:pPr>
            <w:r>
              <w:rPr>
                <w:rFonts w:ascii="Arial" w:cs="Arial" w:eastAsia="Arial" w:hAnsi="Arial"/>
                <w:sz w:val="14"/>
                <w:szCs w:val="14"/>
                <w:b w:val="1"/>
                <w:bCs w:val="1"/>
                <w:color w:val="auto"/>
                <w:w w:val="85"/>
              </w:rPr>
              <w:t>Derivatives</w:t>
            </w:r>
          </w:p>
        </w:tc>
        <w:tc>
          <w:tcPr>
            <w:tcW w:w="8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Portion and</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rPr>
              <w:t>OCI</w:t>
            </w:r>
          </w:p>
        </w:tc>
        <w:tc>
          <w:tcPr>
            <w:tcW w:w="2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Accumulated</w:t>
            </w:r>
          </w:p>
        </w:tc>
        <w:tc>
          <w:tcPr>
            <w:tcW w:w="220" w:type="dxa"/>
            <w:vAlign w:val="bottom"/>
          </w:tcPr>
          <w:p>
            <w:pPr>
              <w:spacing w:after="0"/>
              <w:rPr>
                <w:sz w:val="12"/>
                <w:szCs w:val="12"/>
                <w:color w:val="auto"/>
              </w:rPr>
            </w:pPr>
          </w:p>
        </w:tc>
        <w:tc>
          <w:tcPr>
            <w:tcW w:w="102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1720" w:type="dxa"/>
            <w:vAlign w:val="bottom"/>
          </w:tcPr>
          <w:p>
            <w:pPr>
              <w:jc w:val="center"/>
              <w:ind w:right="171"/>
              <w:spacing w:after="0" w:line="149" w:lineRule="exact"/>
              <w:rPr>
                <w:sz w:val="20"/>
                <w:szCs w:val="20"/>
                <w:color w:val="auto"/>
              </w:rPr>
            </w:pPr>
            <w:r>
              <w:rPr>
                <w:rFonts w:ascii="Arial" w:cs="Arial" w:eastAsia="Arial" w:hAnsi="Arial"/>
                <w:sz w:val="14"/>
                <w:szCs w:val="14"/>
                <w:b w:val="1"/>
                <w:bCs w:val="1"/>
                <w:color w:val="auto"/>
                <w:w w:val="86"/>
              </w:rPr>
              <w:t>(Ineffective</w:t>
            </w:r>
          </w:p>
        </w:tc>
        <w:tc>
          <w:tcPr>
            <w:tcW w:w="100" w:type="dxa"/>
            <w:vAlign w:val="bottom"/>
          </w:tcPr>
          <w:p>
            <w:pPr>
              <w:spacing w:after="0"/>
              <w:rPr>
                <w:sz w:val="12"/>
                <w:szCs w:val="12"/>
                <w:color w:val="auto"/>
              </w:rPr>
            </w:pPr>
          </w:p>
        </w:tc>
        <w:tc>
          <w:tcPr>
            <w:tcW w:w="7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Amount</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1"/>
              </w:rPr>
              <w:t>on</w:t>
            </w:r>
          </w:p>
        </w:tc>
        <w:tc>
          <w:tcPr>
            <w:tcW w:w="2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OCI into</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OCI into</w:t>
            </w:r>
          </w:p>
        </w:tc>
        <w:tc>
          <w:tcPr>
            <w:tcW w:w="1720" w:type="dxa"/>
            <w:vAlign w:val="bottom"/>
          </w:tcPr>
          <w:p>
            <w:pPr>
              <w:jc w:val="center"/>
              <w:ind w:right="171"/>
              <w:spacing w:after="0" w:line="149" w:lineRule="exact"/>
              <w:rPr>
                <w:sz w:val="20"/>
                <w:szCs w:val="20"/>
                <w:color w:val="auto"/>
              </w:rPr>
            </w:pPr>
            <w:r>
              <w:rPr>
                <w:rFonts w:ascii="Arial" w:cs="Arial" w:eastAsia="Arial" w:hAnsi="Arial"/>
                <w:sz w:val="14"/>
                <w:szCs w:val="14"/>
                <w:b w:val="1"/>
                <w:bCs w:val="1"/>
                <w:color w:val="auto"/>
                <w:w w:val="87"/>
              </w:rPr>
              <w:t>Portion and</w:t>
            </w:r>
          </w:p>
        </w:tc>
        <w:tc>
          <w:tcPr>
            <w:tcW w:w="100" w:type="dxa"/>
            <w:vAlign w:val="bottom"/>
          </w:tcPr>
          <w:p>
            <w:pPr>
              <w:spacing w:after="0"/>
              <w:rPr>
                <w:sz w:val="12"/>
                <w:szCs w:val="12"/>
                <w:color w:val="auto"/>
              </w:rPr>
            </w:pPr>
          </w:p>
        </w:tc>
        <w:tc>
          <w:tcPr>
            <w:tcW w:w="7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Excluded</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Derivatives</w:t>
            </w:r>
          </w:p>
        </w:tc>
        <w:tc>
          <w:tcPr>
            <w:tcW w:w="2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Income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Income</w:t>
            </w:r>
          </w:p>
        </w:tc>
        <w:tc>
          <w:tcPr>
            <w:tcW w:w="1720" w:type="dxa"/>
            <w:vAlign w:val="bottom"/>
          </w:tcPr>
          <w:p>
            <w:pPr>
              <w:jc w:val="center"/>
              <w:ind w:right="171"/>
              <w:spacing w:after="0" w:line="149" w:lineRule="exact"/>
              <w:rPr>
                <w:sz w:val="20"/>
                <w:szCs w:val="20"/>
                <w:color w:val="auto"/>
              </w:rPr>
            </w:pPr>
            <w:r>
              <w:rPr>
                <w:rFonts w:ascii="Arial" w:cs="Arial" w:eastAsia="Arial" w:hAnsi="Arial"/>
                <w:sz w:val="14"/>
                <w:szCs w:val="14"/>
                <w:b w:val="1"/>
                <w:bCs w:val="1"/>
                <w:color w:val="auto"/>
                <w:w w:val="87"/>
              </w:rPr>
              <w:t>Amount Excluded</w:t>
            </w:r>
          </w:p>
        </w:tc>
        <w:tc>
          <w:tcPr>
            <w:tcW w:w="10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from</w:t>
            </w:r>
          </w:p>
        </w:tc>
        <w:tc>
          <w:tcPr>
            <w:tcW w:w="0" w:type="dxa"/>
            <w:vAlign w:val="bottom"/>
          </w:tcPr>
          <w:p>
            <w:pPr>
              <w:spacing w:after="0"/>
              <w:rPr>
                <w:sz w:val="1"/>
                <w:szCs w:val="1"/>
                <w:color w:val="auto"/>
              </w:rPr>
            </w:pPr>
          </w:p>
        </w:tc>
      </w:tr>
      <w:tr>
        <w:trPr>
          <w:trHeight w:val="149"/>
        </w:trPr>
        <w:tc>
          <w:tcPr>
            <w:tcW w:w="2960" w:type="dxa"/>
            <w:vAlign w:val="bottom"/>
            <w:vMerge w:val="restart"/>
          </w:tcPr>
          <w:p>
            <w:pPr>
              <w:spacing w:after="0"/>
              <w:rPr>
                <w:sz w:val="20"/>
                <w:szCs w:val="20"/>
                <w:color w:val="auto"/>
              </w:rPr>
            </w:pPr>
            <w:r>
              <w:rPr>
                <w:rFonts w:ascii="Arial" w:cs="Arial" w:eastAsia="Arial" w:hAnsi="Arial"/>
                <w:sz w:val="14"/>
                <w:szCs w:val="14"/>
                <w:b w:val="1"/>
                <w:bCs w:val="1"/>
                <w:color w:val="auto"/>
                <w:w w:val="91"/>
              </w:rPr>
              <w:t>Derivatives in Cash Flow Hedging Relationships</w:t>
            </w: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(Effective</w:t>
            </w:r>
          </w:p>
        </w:tc>
        <w:tc>
          <w:tcPr>
            <w:tcW w:w="2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(Effective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(Effective</w:t>
            </w:r>
          </w:p>
        </w:tc>
        <w:tc>
          <w:tcPr>
            <w:tcW w:w="1720" w:type="dxa"/>
            <w:vAlign w:val="bottom"/>
          </w:tcPr>
          <w:p>
            <w:pPr>
              <w:jc w:val="center"/>
              <w:ind w:right="191"/>
              <w:spacing w:after="0" w:line="149" w:lineRule="exact"/>
              <w:rPr>
                <w:sz w:val="20"/>
                <w:szCs w:val="20"/>
                <w:color w:val="auto"/>
              </w:rPr>
            </w:pPr>
            <w:r>
              <w:rPr>
                <w:rFonts w:ascii="Arial" w:cs="Arial" w:eastAsia="Arial" w:hAnsi="Arial"/>
                <w:sz w:val="14"/>
                <w:szCs w:val="14"/>
                <w:b w:val="1"/>
                <w:bCs w:val="1"/>
                <w:color w:val="auto"/>
                <w:w w:val="84"/>
              </w:rPr>
              <w:t>from Effectiveness</w:t>
            </w:r>
          </w:p>
        </w:tc>
        <w:tc>
          <w:tcPr>
            <w:tcW w:w="8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1"/>
              </w:rPr>
              <w:t>Effectiveness</w:t>
            </w:r>
          </w:p>
        </w:tc>
        <w:tc>
          <w:tcPr>
            <w:tcW w:w="0" w:type="dxa"/>
            <w:vAlign w:val="bottom"/>
          </w:tcPr>
          <w:p>
            <w:pPr>
              <w:spacing w:after="0"/>
              <w:rPr>
                <w:sz w:val="1"/>
                <w:szCs w:val="1"/>
                <w:color w:val="auto"/>
              </w:rPr>
            </w:pPr>
          </w:p>
        </w:tc>
      </w:tr>
      <w:tr>
        <w:trPr>
          <w:trHeight w:val="155"/>
        </w:trPr>
        <w:tc>
          <w:tcPr>
            <w:tcW w:w="2960" w:type="dxa"/>
            <w:vAlign w:val="bottom"/>
            <w:vMerge w:val="continue"/>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400"/>
              <w:spacing w:after="0" w:line="148" w:lineRule="exact"/>
              <w:rPr>
                <w:sz w:val="20"/>
                <w:szCs w:val="20"/>
                <w:color w:val="auto"/>
              </w:rPr>
            </w:pPr>
            <w:r>
              <w:rPr>
                <w:rFonts w:ascii="Arial" w:cs="Arial" w:eastAsia="Arial" w:hAnsi="Arial"/>
                <w:sz w:val="14"/>
                <w:szCs w:val="14"/>
                <w:b w:val="1"/>
                <w:bCs w:val="1"/>
                <w:color w:val="auto"/>
                <w:w w:val="89"/>
              </w:rPr>
              <w:t>Portion)</w:t>
            </w:r>
          </w:p>
        </w:tc>
        <w:tc>
          <w:tcPr>
            <w:tcW w:w="22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Portion)</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ind w:right="360"/>
              <w:spacing w:after="0" w:line="148" w:lineRule="exact"/>
              <w:rPr>
                <w:sz w:val="20"/>
                <w:szCs w:val="20"/>
                <w:color w:val="auto"/>
              </w:rPr>
            </w:pPr>
            <w:r>
              <w:rPr>
                <w:rFonts w:ascii="Arial" w:cs="Arial" w:eastAsia="Arial" w:hAnsi="Arial"/>
                <w:sz w:val="14"/>
                <w:szCs w:val="14"/>
                <w:b w:val="1"/>
                <w:bCs w:val="1"/>
                <w:color w:val="auto"/>
                <w:w w:val="89"/>
              </w:rPr>
              <w:t>Portion)</w:t>
            </w:r>
          </w:p>
        </w:tc>
        <w:tc>
          <w:tcPr>
            <w:tcW w:w="1720" w:type="dxa"/>
            <w:vAlign w:val="bottom"/>
          </w:tcPr>
          <w:p>
            <w:pPr>
              <w:jc w:val="center"/>
              <w:ind w:right="191"/>
              <w:spacing w:after="0" w:line="148" w:lineRule="exact"/>
              <w:rPr>
                <w:sz w:val="20"/>
                <w:szCs w:val="20"/>
                <w:color w:val="auto"/>
              </w:rPr>
            </w:pPr>
            <w:r>
              <w:rPr>
                <w:rFonts w:ascii="Arial" w:cs="Arial" w:eastAsia="Arial" w:hAnsi="Arial"/>
                <w:sz w:val="14"/>
                <w:szCs w:val="14"/>
                <w:b w:val="1"/>
                <w:bCs w:val="1"/>
                <w:color w:val="auto"/>
                <w:w w:val="84"/>
              </w:rPr>
              <w:t>Testing)</w:t>
            </w:r>
          </w:p>
        </w:tc>
        <w:tc>
          <w:tcPr>
            <w:tcW w:w="100" w:type="dxa"/>
            <w:vAlign w:val="bottom"/>
          </w:tcPr>
          <w:p>
            <w:pPr>
              <w:spacing w:after="0"/>
              <w:rPr>
                <w:sz w:val="13"/>
                <w:szCs w:val="13"/>
                <w:color w:val="auto"/>
              </w:rPr>
            </w:pPr>
          </w:p>
        </w:tc>
        <w:tc>
          <w:tcPr>
            <w:tcW w:w="7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4"/>
              </w:rPr>
              <w:t>Testing)</w:t>
            </w:r>
          </w:p>
        </w:tc>
        <w:tc>
          <w:tcPr>
            <w:tcW w:w="0" w:type="dxa"/>
            <w:vAlign w:val="bottom"/>
          </w:tcPr>
          <w:p>
            <w:pPr>
              <w:spacing w:after="0"/>
              <w:rPr>
                <w:sz w:val="1"/>
                <w:szCs w:val="1"/>
                <w:color w:val="auto"/>
              </w:rPr>
            </w:pPr>
          </w:p>
        </w:tc>
      </w:tr>
      <w:tr>
        <w:trPr>
          <w:trHeight w:val="149"/>
        </w:trPr>
        <w:tc>
          <w:tcPr>
            <w:tcW w:w="2960" w:type="dxa"/>
            <w:vAlign w:val="bottom"/>
            <w:tcBorders>
              <w:top w:val="single" w:sz="8" w:color="auto"/>
            </w:tcBorders>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460" w:type="dxa"/>
            <w:vAlign w:val="bottom"/>
            <w:tcBorders>
              <w:top w:val="single" w:sz="8" w:color="auto"/>
            </w:tcBorders>
            <w:gridSpan w:val="5"/>
          </w:tcPr>
          <w:p>
            <w:pPr>
              <w:jc w:val="right"/>
              <w:ind w:right="660"/>
              <w:spacing w:after="0" w:line="149" w:lineRule="exact"/>
              <w:rPr>
                <w:sz w:val="20"/>
                <w:szCs w:val="20"/>
                <w:color w:val="auto"/>
              </w:rPr>
            </w:pPr>
            <w:r>
              <w:rPr>
                <w:rFonts w:ascii="Arial" w:cs="Arial" w:eastAsia="Arial" w:hAnsi="Arial"/>
                <w:sz w:val="14"/>
                <w:szCs w:val="14"/>
                <w:b w:val="1"/>
                <w:bCs w:val="1"/>
                <w:color w:val="auto"/>
              </w:rPr>
              <w:t>(In thousands)</w:t>
            </w:r>
          </w:p>
        </w:tc>
        <w:tc>
          <w:tcPr>
            <w:tcW w:w="17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forward contracts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(880)</w:t>
            </w:r>
          </w:p>
        </w:tc>
        <w:tc>
          <w:tcPr>
            <w:tcW w:w="22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8"/>
              </w:rPr>
              <w:t>Cost of product revenues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w:t>
            </w:r>
          </w:p>
        </w:tc>
        <w:tc>
          <w:tcPr>
            <w:tcW w:w="17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Not applicable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960" w:type="dxa"/>
            <w:vAlign w:val="bottom"/>
            <w:vMerge w:val="restart"/>
          </w:tcPr>
          <w:p>
            <w:pPr>
              <w:spacing w:after="0"/>
              <w:rPr>
                <w:sz w:val="20"/>
                <w:szCs w:val="20"/>
                <w:color w:val="auto"/>
              </w:rPr>
            </w:pPr>
            <w:r>
              <w:rPr>
                <w:rFonts w:ascii="Arial" w:cs="Arial" w:eastAsia="Arial" w:hAnsi="Arial"/>
                <w:sz w:val="18"/>
                <w:szCs w:val="18"/>
                <w:b w:val="1"/>
                <w:bCs w:val="1"/>
                <w:color w:val="auto"/>
              </w:rPr>
              <w:t>Total</w:t>
            </w:r>
          </w:p>
        </w:tc>
        <w:tc>
          <w:tcPr>
            <w:tcW w:w="1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2960" w:type="dxa"/>
            <w:vAlign w:val="bottom"/>
            <w:vMerge w:val="continue"/>
          </w:tcPr>
          <w:p>
            <w:pPr>
              <w:spacing w:after="0"/>
              <w:rPr>
                <w:sz w:val="24"/>
                <w:szCs w:val="24"/>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(880)</w:t>
            </w:r>
          </w:p>
        </w:tc>
        <w:tc>
          <w:tcPr>
            <w:tcW w:w="2220" w:type="dxa"/>
            <w:vAlign w:val="bottom"/>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(29)</w:t>
            </w:r>
          </w:p>
        </w:tc>
        <w:tc>
          <w:tcPr>
            <w:tcW w:w="17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effects of foreign currency forward contracts in cash flow hedging relationships during the three months ended December 31, 2010 were as follows:</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8"/>
              </w:rPr>
              <w:t>Amount of</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Gain or</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0"/>
              </w:rPr>
              <w:t>(Loss)</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Amount</w:t>
            </w:r>
          </w:p>
        </w:tc>
        <w:tc>
          <w:tcPr>
            <w:tcW w:w="2220" w:type="dxa"/>
            <w:vAlign w:val="bottom"/>
          </w:tcPr>
          <w:p>
            <w:pPr>
              <w:jc w:val="center"/>
              <w:ind w:right="11"/>
              <w:spacing w:after="0" w:line="149" w:lineRule="exact"/>
              <w:rPr>
                <w:sz w:val="20"/>
                <w:szCs w:val="20"/>
                <w:color w:val="auto"/>
              </w:rPr>
            </w:pPr>
            <w:r>
              <w:rPr>
                <w:rFonts w:ascii="Arial" w:cs="Arial" w:eastAsia="Arial" w:hAnsi="Arial"/>
                <w:sz w:val="14"/>
                <w:szCs w:val="14"/>
                <w:b w:val="1"/>
                <w:bCs w:val="1"/>
                <w:color w:val="auto"/>
                <w:w w:val="87"/>
              </w:rPr>
              <w:t>Location of</w:t>
            </w:r>
          </w:p>
        </w:tc>
        <w:tc>
          <w:tcPr>
            <w:tcW w:w="22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1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Location of Gain</w:t>
            </w:r>
          </w:p>
        </w:tc>
        <w:tc>
          <w:tcPr>
            <w:tcW w:w="8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Recognized</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of Gain or</w:t>
            </w:r>
          </w:p>
        </w:tc>
        <w:tc>
          <w:tcPr>
            <w:tcW w:w="2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Gain or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89"/>
              </w:rPr>
              <w:t>Gain or</w:t>
            </w:r>
          </w:p>
        </w:tc>
        <w:tc>
          <w:tcPr>
            <w:tcW w:w="1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or (Loss)</w:t>
            </w:r>
          </w:p>
        </w:tc>
        <w:tc>
          <w:tcPr>
            <w:tcW w:w="8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in Income on</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0"/>
              </w:rPr>
              <w:t>(Loss)</w:t>
            </w:r>
          </w:p>
        </w:tc>
        <w:tc>
          <w:tcPr>
            <w:tcW w:w="2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(Loss)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85"/>
              </w:rPr>
              <w:t>(Loss)</w:t>
            </w:r>
          </w:p>
        </w:tc>
        <w:tc>
          <w:tcPr>
            <w:tcW w:w="1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Recognized in</w:t>
            </w:r>
          </w:p>
        </w:tc>
        <w:tc>
          <w:tcPr>
            <w:tcW w:w="8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Derivatives</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3"/>
              </w:rPr>
              <w:t>Recognized</w:t>
            </w:r>
          </w:p>
        </w:tc>
        <w:tc>
          <w:tcPr>
            <w:tcW w:w="2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Reclassified</w:t>
            </w:r>
          </w:p>
        </w:tc>
        <w:tc>
          <w:tcPr>
            <w:tcW w:w="22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Reclassified</w:t>
            </w:r>
          </w:p>
        </w:tc>
        <w:tc>
          <w:tcPr>
            <w:tcW w:w="1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Income on</w:t>
            </w:r>
          </w:p>
        </w:tc>
        <w:tc>
          <w:tcPr>
            <w:tcW w:w="8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(Ineffective</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in Accumulated</w:t>
            </w:r>
          </w:p>
        </w:tc>
        <w:tc>
          <w:tcPr>
            <w:tcW w:w="2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from</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89"/>
              </w:rPr>
              <w:t>from</w:t>
            </w:r>
          </w:p>
        </w:tc>
        <w:tc>
          <w:tcPr>
            <w:tcW w:w="1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Derivatives</w:t>
            </w:r>
          </w:p>
        </w:tc>
        <w:tc>
          <w:tcPr>
            <w:tcW w:w="8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Portion and</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rPr>
              <w:t>OCI</w:t>
            </w:r>
          </w:p>
        </w:tc>
        <w:tc>
          <w:tcPr>
            <w:tcW w:w="2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Accumulated</w:t>
            </w:r>
          </w:p>
        </w:tc>
        <w:tc>
          <w:tcPr>
            <w:tcW w:w="22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Accumulated</w:t>
            </w:r>
          </w:p>
        </w:tc>
        <w:tc>
          <w:tcPr>
            <w:tcW w:w="1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(Ineffective</w:t>
            </w:r>
          </w:p>
        </w:tc>
        <w:tc>
          <w:tcPr>
            <w:tcW w:w="100" w:type="dxa"/>
            <w:vAlign w:val="bottom"/>
          </w:tcPr>
          <w:p>
            <w:pPr>
              <w:spacing w:after="0"/>
              <w:rPr>
                <w:sz w:val="12"/>
                <w:szCs w:val="12"/>
                <w:color w:val="auto"/>
              </w:rPr>
            </w:pPr>
          </w:p>
        </w:tc>
        <w:tc>
          <w:tcPr>
            <w:tcW w:w="7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Amount</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1"/>
              </w:rPr>
              <w:t>on</w:t>
            </w:r>
          </w:p>
        </w:tc>
        <w:tc>
          <w:tcPr>
            <w:tcW w:w="2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OCI into</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5"/>
              </w:rPr>
              <w:t>OCI into</w:t>
            </w:r>
          </w:p>
        </w:tc>
        <w:tc>
          <w:tcPr>
            <w:tcW w:w="1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Portion and</w:t>
            </w:r>
          </w:p>
        </w:tc>
        <w:tc>
          <w:tcPr>
            <w:tcW w:w="100" w:type="dxa"/>
            <w:vAlign w:val="bottom"/>
          </w:tcPr>
          <w:p>
            <w:pPr>
              <w:spacing w:after="0"/>
              <w:rPr>
                <w:sz w:val="12"/>
                <w:szCs w:val="12"/>
                <w:color w:val="auto"/>
              </w:rPr>
            </w:pPr>
          </w:p>
        </w:tc>
        <w:tc>
          <w:tcPr>
            <w:tcW w:w="7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Excluded</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Derivatives</w:t>
            </w:r>
          </w:p>
        </w:tc>
        <w:tc>
          <w:tcPr>
            <w:tcW w:w="2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Income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89"/>
              </w:rPr>
              <w:t>Income</w:t>
            </w:r>
          </w:p>
        </w:tc>
        <w:tc>
          <w:tcPr>
            <w:tcW w:w="1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Amount Excluded</w:t>
            </w:r>
          </w:p>
        </w:tc>
        <w:tc>
          <w:tcPr>
            <w:tcW w:w="10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from</w:t>
            </w:r>
          </w:p>
        </w:tc>
        <w:tc>
          <w:tcPr>
            <w:tcW w:w="0" w:type="dxa"/>
            <w:vAlign w:val="bottom"/>
          </w:tcPr>
          <w:p>
            <w:pPr>
              <w:spacing w:after="0"/>
              <w:rPr>
                <w:sz w:val="1"/>
                <w:szCs w:val="1"/>
                <w:color w:val="auto"/>
              </w:rPr>
            </w:pPr>
          </w:p>
        </w:tc>
      </w:tr>
      <w:tr>
        <w:trPr>
          <w:trHeight w:val="149"/>
        </w:trPr>
        <w:tc>
          <w:tcPr>
            <w:tcW w:w="2960" w:type="dxa"/>
            <w:vAlign w:val="bottom"/>
            <w:vMerge w:val="restart"/>
          </w:tcPr>
          <w:p>
            <w:pPr>
              <w:spacing w:after="0"/>
              <w:rPr>
                <w:sz w:val="20"/>
                <w:szCs w:val="20"/>
                <w:color w:val="auto"/>
              </w:rPr>
            </w:pPr>
            <w:r>
              <w:rPr>
                <w:rFonts w:ascii="Arial" w:cs="Arial" w:eastAsia="Arial" w:hAnsi="Arial"/>
                <w:sz w:val="14"/>
                <w:szCs w:val="14"/>
                <w:b w:val="1"/>
                <w:bCs w:val="1"/>
                <w:color w:val="auto"/>
                <w:w w:val="91"/>
              </w:rPr>
              <w:t>Derivatives in Cash Flow Hedging Relationships</w:t>
            </w: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(Effective</w:t>
            </w:r>
          </w:p>
        </w:tc>
        <w:tc>
          <w:tcPr>
            <w:tcW w:w="2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(Effective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88"/>
              </w:rPr>
              <w:t>(Effective</w:t>
            </w:r>
          </w:p>
        </w:tc>
        <w:tc>
          <w:tcPr>
            <w:tcW w:w="1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from Effectiveness</w:t>
            </w:r>
          </w:p>
        </w:tc>
        <w:tc>
          <w:tcPr>
            <w:tcW w:w="8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1"/>
              </w:rPr>
              <w:t>Effectiveness</w:t>
            </w:r>
          </w:p>
        </w:tc>
        <w:tc>
          <w:tcPr>
            <w:tcW w:w="0" w:type="dxa"/>
            <w:vAlign w:val="bottom"/>
          </w:tcPr>
          <w:p>
            <w:pPr>
              <w:spacing w:after="0"/>
              <w:rPr>
                <w:sz w:val="1"/>
                <w:szCs w:val="1"/>
                <w:color w:val="auto"/>
              </w:rPr>
            </w:pPr>
          </w:p>
        </w:tc>
      </w:tr>
      <w:tr>
        <w:trPr>
          <w:trHeight w:val="155"/>
        </w:trPr>
        <w:tc>
          <w:tcPr>
            <w:tcW w:w="2960" w:type="dxa"/>
            <w:vAlign w:val="bottom"/>
            <w:vMerge w:val="continue"/>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400"/>
              <w:spacing w:after="0" w:line="148" w:lineRule="exact"/>
              <w:rPr>
                <w:sz w:val="20"/>
                <w:szCs w:val="20"/>
                <w:color w:val="auto"/>
              </w:rPr>
            </w:pPr>
            <w:r>
              <w:rPr>
                <w:rFonts w:ascii="Arial" w:cs="Arial" w:eastAsia="Arial" w:hAnsi="Arial"/>
                <w:sz w:val="14"/>
                <w:szCs w:val="14"/>
                <w:b w:val="1"/>
                <w:bCs w:val="1"/>
                <w:color w:val="auto"/>
                <w:w w:val="89"/>
              </w:rPr>
              <w:t>Portion)</w:t>
            </w:r>
          </w:p>
        </w:tc>
        <w:tc>
          <w:tcPr>
            <w:tcW w:w="22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Portion)</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center"/>
              <w:ind w:right="28"/>
              <w:spacing w:after="0" w:line="148" w:lineRule="exact"/>
              <w:rPr>
                <w:sz w:val="20"/>
                <w:szCs w:val="20"/>
                <w:color w:val="auto"/>
              </w:rPr>
            </w:pPr>
            <w:r>
              <w:rPr>
                <w:rFonts w:ascii="Arial" w:cs="Arial" w:eastAsia="Arial" w:hAnsi="Arial"/>
                <w:sz w:val="14"/>
                <w:szCs w:val="14"/>
                <w:b w:val="1"/>
                <w:bCs w:val="1"/>
                <w:color w:val="auto"/>
                <w:w w:val="89"/>
              </w:rPr>
              <w:t>Portion)</w:t>
            </w:r>
          </w:p>
        </w:tc>
        <w:tc>
          <w:tcPr>
            <w:tcW w:w="19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4"/>
              </w:rPr>
              <w:t>Testing)</w:t>
            </w:r>
          </w:p>
        </w:tc>
        <w:tc>
          <w:tcPr>
            <w:tcW w:w="100" w:type="dxa"/>
            <w:vAlign w:val="bottom"/>
          </w:tcPr>
          <w:p>
            <w:pPr>
              <w:spacing w:after="0"/>
              <w:rPr>
                <w:sz w:val="13"/>
                <w:szCs w:val="13"/>
                <w:color w:val="auto"/>
              </w:rPr>
            </w:pPr>
          </w:p>
        </w:tc>
        <w:tc>
          <w:tcPr>
            <w:tcW w:w="7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4"/>
              </w:rPr>
              <w:t>Testing)</w:t>
            </w:r>
          </w:p>
        </w:tc>
        <w:tc>
          <w:tcPr>
            <w:tcW w:w="0" w:type="dxa"/>
            <w:vAlign w:val="bottom"/>
          </w:tcPr>
          <w:p>
            <w:pPr>
              <w:spacing w:after="0"/>
              <w:rPr>
                <w:sz w:val="1"/>
                <w:szCs w:val="1"/>
                <w:color w:val="auto"/>
              </w:rPr>
            </w:pPr>
          </w:p>
        </w:tc>
      </w:tr>
      <w:tr>
        <w:trPr>
          <w:trHeight w:val="149"/>
        </w:trPr>
        <w:tc>
          <w:tcPr>
            <w:tcW w:w="2960" w:type="dxa"/>
            <w:vAlign w:val="bottom"/>
            <w:tcBorders>
              <w:top w:val="single" w:sz="8" w:color="auto"/>
            </w:tcBorders>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200" w:type="dxa"/>
            <w:vAlign w:val="bottom"/>
            <w:tcBorders>
              <w:top w:val="single" w:sz="8" w:color="auto"/>
            </w:tcBorders>
            <w:gridSpan w:val="4"/>
          </w:tcPr>
          <w:p>
            <w:pPr>
              <w:jc w:val="right"/>
              <w:ind w:right="328"/>
              <w:spacing w:after="0" w:line="149" w:lineRule="exact"/>
              <w:rPr>
                <w:sz w:val="20"/>
                <w:szCs w:val="20"/>
                <w:color w:val="auto"/>
              </w:rPr>
            </w:pPr>
            <w:r>
              <w:rPr>
                <w:rFonts w:ascii="Arial" w:cs="Arial" w:eastAsia="Arial" w:hAnsi="Arial"/>
                <w:sz w:val="14"/>
                <w:szCs w:val="14"/>
                <w:b w:val="1"/>
                <w:bCs w:val="1"/>
                <w:color w:val="auto"/>
              </w:rPr>
              <w:t>(In thousands)</w:t>
            </w:r>
          </w:p>
        </w:tc>
        <w:tc>
          <w:tcPr>
            <w:tcW w:w="19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forward contracts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w:t>
            </w:r>
          </w:p>
        </w:tc>
        <w:tc>
          <w:tcPr>
            <w:tcW w:w="22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8"/>
              </w:rPr>
              <w:t>Cost of product revenues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9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Not applicable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960" w:type="dxa"/>
            <w:vAlign w:val="bottom"/>
            <w:vMerge w:val="restart"/>
          </w:tcPr>
          <w:p>
            <w:pPr>
              <w:spacing w:after="0"/>
              <w:rPr>
                <w:sz w:val="20"/>
                <w:szCs w:val="20"/>
                <w:color w:val="auto"/>
              </w:rPr>
            </w:pPr>
            <w:r>
              <w:rPr>
                <w:rFonts w:ascii="Arial" w:cs="Arial" w:eastAsia="Arial" w:hAnsi="Arial"/>
                <w:sz w:val="18"/>
                <w:szCs w:val="18"/>
                <w:b w:val="1"/>
                <w:bCs w:val="1"/>
                <w:color w:val="auto"/>
              </w:rPr>
              <w:t>Total</w:t>
            </w:r>
          </w:p>
        </w:tc>
        <w:tc>
          <w:tcPr>
            <w:tcW w:w="1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2960" w:type="dxa"/>
            <w:vAlign w:val="bottom"/>
            <w:vMerge w:val="continue"/>
          </w:tcPr>
          <w:p>
            <w:pPr>
              <w:spacing w:after="0"/>
              <w:rPr>
                <w:sz w:val="24"/>
                <w:szCs w:val="24"/>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(120)</w:t>
            </w:r>
          </w:p>
        </w:tc>
        <w:tc>
          <w:tcPr>
            <w:tcW w:w="2220" w:type="dxa"/>
            <w:vAlign w:val="bottom"/>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399</w:t>
            </w:r>
          </w:p>
        </w:tc>
        <w:tc>
          <w:tcPr>
            <w:tcW w:w="19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effects of foreign currency forward contracts in cash flow hedging relationships during the nine months ended December 31, 2010 were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8"/>
              </w:rPr>
              <w:t>Amount of</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Gain or</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0"/>
              </w:rPr>
              <w:t>(Loss)</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9"/>
              <w:spacing w:after="0" w:line="149" w:lineRule="exact"/>
              <w:rPr>
                <w:sz w:val="20"/>
                <w:szCs w:val="20"/>
                <w:color w:val="auto"/>
              </w:rPr>
            </w:pPr>
            <w:r>
              <w:rPr>
                <w:rFonts w:ascii="Arial" w:cs="Arial" w:eastAsia="Arial" w:hAnsi="Arial"/>
                <w:sz w:val="14"/>
                <w:szCs w:val="14"/>
                <w:b w:val="1"/>
                <w:bCs w:val="1"/>
                <w:color w:val="auto"/>
                <w:w w:val="90"/>
              </w:rPr>
              <w:t>Amount</w:t>
            </w:r>
          </w:p>
        </w:tc>
        <w:tc>
          <w:tcPr>
            <w:tcW w:w="2480" w:type="dxa"/>
            <w:vAlign w:val="bottom"/>
          </w:tcPr>
          <w:p>
            <w:pPr>
              <w:jc w:val="center"/>
              <w:ind w:left="151"/>
              <w:spacing w:after="0" w:line="149" w:lineRule="exact"/>
              <w:rPr>
                <w:sz w:val="20"/>
                <w:szCs w:val="20"/>
                <w:color w:val="auto"/>
              </w:rPr>
            </w:pPr>
            <w:r>
              <w:rPr>
                <w:rFonts w:ascii="Arial" w:cs="Arial" w:eastAsia="Arial" w:hAnsi="Arial"/>
                <w:sz w:val="14"/>
                <w:szCs w:val="14"/>
                <w:b w:val="1"/>
                <w:bCs w:val="1"/>
                <w:color w:val="auto"/>
                <w:w w:val="87"/>
              </w:rPr>
              <w:t>Location of</w:t>
            </w:r>
          </w:p>
        </w:tc>
        <w:tc>
          <w:tcPr>
            <w:tcW w:w="22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1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Location of Gain</w:t>
            </w:r>
          </w:p>
        </w:tc>
        <w:tc>
          <w:tcPr>
            <w:tcW w:w="8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Recognized</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9"/>
              <w:spacing w:after="0" w:line="149" w:lineRule="exact"/>
              <w:rPr>
                <w:sz w:val="20"/>
                <w:szCs w:val="20"/>
                <w:color w:val="auto"/>
              </w:rPr>
            </w:pPr>
            <w:r>
              <w:rPr>
                <w:rFonts w:ascii="Arial" w:cs="Arial" w:eastAsia="Arial" w:hAnsi="Arial"/>
                <w:sz w:val="14"/>
                <w:szCs w:val="14"/>
                <w:b w:val="1"/>
                <w:bCs w:val="1"/>
                <w:color w:val="auto"/>
                <w:w w:val="90"/>
              </w:rPr>
              <w:t>of Gain or</w:t>
            </w:r>
          </w:p>
        </w:tc>
        <w:tc>
          <w:tcPr>
            <w:tcW w:w="2480" w:type="dxa"/>
            <w:vAlign w:val="bottom"/>
          </w:tcPr>
          <w:p>
            <w:pPr>
              <w:jc w:val="center"/>
              <w:ind w:left="151"/>
              <w:spacing w:after="0" w:line="149" w:lineRule="exact"/>
              <w:rPr>
                <w:sz w:val="20"/>
                <w:szCs w:val="20"/>
                <w:color w:val="auto"/>
              </w:rPr>
            </w:pPr>
            <w:r>
              <w:rPr>
                <w:rFonts w:ascii="Arial" w:cs="Arial" w:eastAsia="Arial" w:hAnsi="Arial"/>
                <w:sz w:val="14"/>
                <w:szCs w:val="14"/>
                <w:b w:val="1"/>
                <w:bCs w:val="1"/>
                <w:color w:val="auto"/>
                <w:w w:val="93"/>
              </w:rPr>
              <w:t>Gain or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89"/>
              </w:rPr>
              <w:t>Gain or</w:t>
            </w:r>
          </w:p>
        </w:tc>
        <w:tc>
          <w:tcPr>
            <w:tcW w:w="1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or (Loss)</w:t>
            </w:r>
          </w:p>
        </w:tc>
        <w:tc>
          <w:tcPr>
            <w:tcW w:w="8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in Income on</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9"/>
              <w:spacing w:after="0" w:line="149" w:lineRule="exact"/>
              <w:rPr>
                <w:sz w:val="20"/>
                <w:szCs w:val="20"/>
                <w:color w:val="auto"/>
              </w:rPr>
            </w:pPr>
            <w:r>
              <w:rPr>
                <w:rFonts w:ascii="Arial" w:cs="Arial" w:eastAsia="Arial" w:hAnsi="Arial"/>
                <w:sz w:val="14"/>
                <w:szCs w:val="14"/>
                <w:b w:val="1"/>
                <w:bCs w:val="1"/>
                <w:color w:val="auto"/>
                <w:w w:val="85"/>
              </w:rPr>
              <w:t>(Loss)</w:t>
            </w:r>
          </w:p>
        </w:tc>
        <w:tc>
          <w:tcPr>
            <w:tcW w:w="2480" w:type="dxa"/>
            <w:vAlign w:val="bottom"/>
          </w:tcPr>
          <w:p>
            <w:pPr>
              <w:jc w:val="center"/>
              <w:ind w:left="151"/>
              <w:spacing w:after="0" w:line="149" w:lineRule="exact"/>
              <w:rPr>
                <w:sz w:val="20"/>
                <w:szCs w:val="20"/>
                <w:color w:val="auto"/>
              </w:rPr>
            </w:pPr>
            <w:r>
              <w:rPr>
                <w:rFonts w:ascii="Arial" w:cs="Arial" w:eastAsia="Arial" w:hAnsi="Arial"/>
                <w:sz w:val="14"/>
                <w:szCs w:val="14"/>
                <w:b w:val="1"/>
                <w:bCs w:val="1"/>
                <w:color w:val="auto"/>
                <w:w w:val="80"/>
              </w:rPr>
              <w:t>(Loss)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85"/>
              </w:rPr>
              <w:t>(Loss)</w:t>
            </w:r>
          </w:p>
        </w:tc>
        <w:tc>
          <w:tcPr>
            <w:tcW w:w="1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Recognized in</w:t>
            </w:r>
          </w:p>
        </w:tc>
        <w:tc>
          <w:tcPr>
            <w:tcW w:w="8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Derivatives</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29"/>
              <w:spacing w:after="0" w:line="149" w:lineRule="exact"/>
              <w:rPr>
                <w:sz w:val="20"/>
                <w:szCs w:val="20"/>
                <w:color w:val="auto"/>
              </w:rPr>
            </w:pPr>
            <w:r>
              <w:rPr>
                <w:rFonts w:ascii="Arial" w:cs="Arial" w:eastAsia="Arial" w:hAnsi="Arial"/>
                <w:sz w:val="14"/>
                <w:szCs w:val="14"/>
                <w:b w:val="1"/>
                <w:bCs w:val="1"/>
                <w:color w:val="auto"/>
                <w:w w:val="83"/>
              </w:rPr>
              <w:t>Recognized</w:t>
            </w:r>
          </w:p>
        </w:tc>
        <w:tc>
          <w:tcPr>
            <w:tcW w:w="2480" w:type="dxa"/>
            <w:vAlign w:val="bottom"/>
          </w:tcPr>
          <w:p>
            <w:pPr>
              <w:jc w:val="center"/>
              <w:ind w:left="151"/>
              <w:spacing w:after="0" w:line="149" w:lineRule="exact"/>
              <w:rPr>
                <w:sz w:val="20"/>
                <w:szCs w:val="20"/>
                <w:color w:val="auto"/>
              </w:rPr>
            </w:pPr>
            <w:r>
              <w:rPr>
                <w:rFonts w:ascii="Arial" w:cs="Arial" w:eastAsia="Arial" w:hAnsi="Arial"/>
                <w:sz w:val="14"/>
                <w:szCs w:val="14"/>
                <w:b w:val="1"/>
                <w:bCs w:val="1"/>
                <w:color w:val="auto"/>
                <w:w w:val="85"/>
              </w:rPr>
              <w:t>Reclassified</w:t>
            </w:r>
          </w:p>
        </w:tc>
        <w:tc>
          <w:tcPr>
            <w:tcW w:w="22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Reclassified</w:t>
            </w:r>
          </w:p>
        </w:tc>
        <w:tc>
          <w:tcPr>
            <w:tcW w:w="1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Income on</w:t>
            </w:r>
          </w:p>
        </w:tc>
        <w:tc>
          <w:tcPr>
            <w:tcW w:w="8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(Ineffective</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in Accumulated</w:t>
            </w:r>
          </w:p>
        </w:tc>
        <w:tc>
          <w:tcPr>
            <w:tcW w:w="2480" w:type="dxa"/>
            <w:vAlign w:val="bottom"/>
          </w:tcPr>
          <w:p>
            <w:pPr>
              <w:jc w:val="center"/>
              <w:ind w:left="151"/>
              <w:spacing w:after="0" w:line="149" w:lineRule="exact"/>
              <w:rPr>
                <w:sz w:val="20"/>
                <w:szCs w:val="20"/>
                <w:color w:val="auto"/>
              </w:rPr>
            </w:pPr>
            <w:r>
              <w:rPr>
                <w:rFonts w:ascii="Arial" w:cs="Arial" w:eastAsia="Arial" w:hAnsi="Arial"/>
                <w:sz w:val="14"/>
                <w:szCs w:val="14"/>
                <w:b w:val="1"/>
                <w:bCs w:val="1"/>
                <w:color w:val="auto"/>
                <w:w w:val="96"/>
              </w:rPr>
              <w:t>from</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89"/>
              </w:rPr>
              <w:t>from</w:t>
            </w:r>
          </w:p>
        </w:tc>
        <w:tc>
          <w:tcPr>
            <w:tcW w:w="1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Derivatives</w:t>
            </w:r>
          </w:p>
        </w:tc>
        <w:tc>
          <w:tcPr>
            <w:tcW w:w="8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Portion and</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29"/>
              <w:spacing w:after="0" w:line="149" w:lineRule="exact"/>
              <w:rPr>
                <w:sz w:val="20"/>
                <w:szCs w:val="20"/>
                <w:color w:val="auto"/>
              </w:rPr>
            </w:pPr>
            <w:r>
              <w:rPr>
                <w:rFonts w:ascii="Arial" w:cs="Arial" w:eastAsia="Arial" w:hAnsi="Arial"/>
                <w:sz w:val="14"/>
                <w:szCs w:val="14"/>
                <w:b w:val="1"/>
                <w:bCs w:val="1"/>
                <w:color w:val="auto"/>
              </w:rPr>
              <w:t>OCI</w:t>
            </w:r>
          </w:p>
        </w:tc>
        <w:tc>
          <w:tcPr>
            <w:tcW w:w="2480" w:type="dxa"/>
            <w:vAlign w:val="bottom"/>
          </w:tcPr>
          <w:p>
            <w:pPr>
              <w:jc w:val="center"/>
              <w:ind w:left="151"/>
              <w:spacing w:after="0" w:line="149" w:lineRule="exact"/>
              <w:rPr>
                <w:sz w:val="20"/>
                <w:szCs w:val="20"/>
                <w:color w:val="auto"/>
              </w:rPr>
            </w:pPr>
            <w:r>
              <w:rPr>
                <w:rFonts w:ascii="Arial" w:cs="Arial" w:eastAsia="Arial" w:hAnsi="Arial"/>
                <w:sz w:val="14"/>
                <w:szCs w:val="14"/>
                <w:b w:val="1"/>
                <w:bCs w:val="1"/>
                <w:color w:val="auto"/>
                <w:w w:val="88"/>
              </w:rPr>
              <w:t>Accumulated</w:t>
            </w:r>
          </w:p>
        </w:tc>
        <w:tc>
          <w:tcPr>
            <w:tcW w:w="22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Accumulated</w:t>
            </w:r>
          </w:p>
        </w:tc>
        <w:tc>
          <w:tcPr>
            <w:tcW w:w="1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(Ineffective</w:t>
            </w:r>
          </w:p>
        </w:tc>
        <w:tc>
          <w:tcPr>
            <w:tcW w:w="100" w:type="dxa"/>
            <w:vAlign w:val="bottom"/>
          </w:tcPr>
          <w:p>
            <w:pPr>
              <w:spacing w:after="0"/>
              <w:rPr>
                <w:sz w:val="12"/>
                <w:szCs w:val="12"/>
                <w:color w:val="auto"/>
              </w:rPr>
            </w:pPr>
          </w:p>
        </w:tc>
        <w:tc>
          <w:tcPr>
            <w:tcW w:w="7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Amount</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29"/>
              <w:spacing w:after="0" w:line="149" w:lineRule="exact"/>
              <w:rPr>
                <w:sz w:val="20"/>
                <w:szCs w:val="20"/>
                <w:color w:val="auto"/>
              </w:rPr>
            </w:pPr>
            <w:r>
              <w:rPr>
                <w:rFonts w:ascii="Arial" w:cs="Arial" w:eastAsia="Arial" w:hAnsi="Arial"/>
                <w:sz w:val="14"/>
                <w:szCs w:val="14"/>
                <w:b w:val="1"/>
                <w:bCs w:val="1"/>
                <w:color w:val="auto"/>
                <w:w w:val="81"/>
              </w:rPr>
              <w:t>on</w:t>
            </w:r>
          </w:p>
        </w:tc>
        <w:tc>
          <w:tcPr>
            <w:tcW w:w="2480" w:type="dxa"/>
            <w:vAlign w:val="bottom"/>
          </w:tcPr>
          <w:p>
            <w:pPr>
              <w:jc w:val="center"/>
              <w:ind w:left="151"/>
              <w:spacing w:after="0" w:line="149" w:lineRule="exact"/>
              <w:rPr>
                <w:sz w:val="20"/>
                <w:szCs w:val="20"/>
                <w:color w:val="auto"/>
              </w:rPr>
            </w:pPr>
            <w:r>
              <w:rPr>
                <w:rFonts w:ascii="Arial" w:cs="Arial" w:eastAsia="Arial" w:hAnsi="Arial"/>
                <w:sz w:val="14"/>
                <w:szCs w:val="14"/>
                <w:b w:val="1"/>
                <w:bCs w:val="1"/>
                <w:color w:val="auto"/>
                <w:w w:val="91"/>
              </w:rPr>
              <w:t>OCI into</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5"/>
              </w:rPr>
              <w:t>OCI into</w:t>
            </w:r>
          </w:p>
        </w:tc>
        <w:tc>
          <w:tcPr>
            <w:tcW w:w="1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Portion and</w:t>
            </w:r>
          </w:p>
        </w:tc>
        <w:tc>
          <w:tcPr>
            <w:tcW w:w="100" w:type="dxa"/>
            <w:vAlign w:val="bottom"/>
          </w:tcPr>
          <w:p>
            <w:pPr>
              <w:spacing w:after="0"/>
              <w:rPr>
                <w:sz w:val="12"/>
                <w:szCs w:val="12"/>
                <w:color w:val="auto"/>
              </w:rPr>
            </w:pPr>
          </w:p>
        </w:tc>
        <w:tc>
          <w:tcPr>
            <w:tcW w:w="7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Excluded</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29"/>
              <w:spacing w:after="0" w:line="149" w:lineRule="exact"/>
              <w:rPr>
                <w:sz w:val="20"/>
                <w:szCs w:val="20"/>
                <w:color w:val="auto"/>
              </w:rPr>
            </w:pPr>
            <w:r>
              <w:rPr>
                <w:rFonts w:ascii="Arial" w:cs="Arial" w:eastAsia="Arial" w:hAnsi="Arial"/>
                <w:sz w:val="14"/>
                <w:szCs w:val="14"/>
                <w:b w:val="1"/>
                <w:bCs w:val="1"/>
                <w:color w:val="auto"/>
                <w:w w:val="88"/>
              </w:rPr>
              <w:t>Derivatives</w:t>
            </w:r>
          </w:p>
        </w:tc>
        <w:tc>
          <w:tcPr>
            <w:tcW w:w="2480" w:type="dxa"/>
            <w:vAlign w:val="bottom"/>
          </w:tcPr>
          <w:p>
            <w:pPr>
              <w:jc w:val="center"/>
              <w:ind w:left="151"/>
              <w:spacing w:after="0" w:line="149" w:lineRule="exact"/>
              <w:rPr>
                <w:sz w:val="20"/>
                <w:szCs w:val="20"/>
                <w:color w:val="auto"/>
              </w:rPr>
            </w:pPr>
            <w:r>
              <w:rPr>
                <w:rFonts w:ascii="Arial" w:cs="Arial" w:eastAsia="Arial" w:hAnsi="Arial"/>
                <w:sz w:val="14"/>
                <w:szCs w:val="14"/>
                <w:b w:val="1"/>
                <w:bCs w:val="1"/>
                <w:color w:val="auto"/>
                <w:w w:val="85"/>
              </w:rPr>
              <w:t>Income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89"/>
              </w:rPr>
              <w:t>Income</w:t>
            </w:r>
          </w:p>
        </w:tc>
        <w:tc>
          <w:tcPr>
            <w:tcW w:w="1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Amount Excluded</w:t>
            </w:r>
          </w:p>
        </w:tc>
        <w:tc>
          <w:tcPr>
            <w:tcW w:w="10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from</w:t>
            </w:r>
          </w:p>
        </w:tc>
        <w:tc>
          <w:tcPr>
            <w:tcW w:w="0" w:type="dxa"/>
            <w:vAlign w:val="bottom"/>
          </w:tcPr>
          <w:p>
            <w:pPr>
              <w:spacing w:after="0"/>
              <w:rPr>
                <w:sz w:val="1"/>
                <w:szCs w:val="1"/>
                <w:color w:val="auto"/>
              </w:rPr>
            </w:pPr>
          </w:p>
        </w:tc>
      </w:tr>
      <w:tr>
        <w:trPr>
          <w:trHeight w:val="149"/>
        </w:trPr>
        <w:tc>
          <w:tcPr>
            <w:tcW w:w="2960" w:type="dxa"/>
            <w:vAlign w:val="bottom"/>
            <w:vMerge w:val="restart"/>
          </w:tcPr>
          <w:p>
            <w:pPr>
              <w:spacing w:after="0"/>
              <w:rPr>
                <w:sz w:val="20"/>
                <w:szCs w:val="20"/>
                <w:color w:val="auto"/>
              </w:rPr>
            </w:pPr>
            <w:r>
              <w:rPr>
                <w:rFonts w:ascii="Arial" w:cs="Arial" w:eastAsia="Arial" w:hAnsi="Arial"/>
                <w:sz w:val="14"/>
                <w:szCs w:val="14"/>
                <w:b w:val="1"/>
                <w:bCs w:val="1"/>
                <w:color w:val="auto"/>
                <w:w w:val="91"/>
              </w:rPr>
              <w:t>Derivatives in Cash Flow Hedging Relationships</w:t>
            </w: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9"/>
              <w:spacing w:after="0" w:line="149" w:lineRule="exact"/>
              <w:rPr>
                <w:sz w:val="20"/>
                <w:szCs w:val="20"/>
                <w:color w:val="auto"/>
              </w:rPr>
            </w:pPr>
            <w:r>
              <w:rPr>
                <w:rFonts w:ascii="Arial" w:cs="Arial" w:eastAsia="Arial" w:hAnsi="Arial"/>
                <w:sz w:val="14"/>
                <w:szCs w:val="14"/>
                <w:b w:val="1"/>
                <w:bCs w:val="1"/>
                <w:color w:val="auto"/>
                <w:w w:val="88"/>
              </w:rPr>
              <w:t>(Effective</w:t>
            </w:r>
          </w:p>
        </w:tc>
        <w:tc>
          <w:tcPr>
            <w:tcW w:w="2480" w:type="dxa"/>
            <w:vAlign w:val="bottom"/>
          </w:tcPr>
          <w:p>
            <w:pPr>
              <w:jc w:val="center"/>
              <w:ind w:left="151"/>
              <w:spacing w:after="0" w:line="149" w:lineRule="exact"/>
              <w:rPr>
                <w:sz w:val="20"/>
                <w:szCs w:val="20"/>
                <w:color w:val="auto"/>
              </w:rPr>
            </w:pPr>
            <w:r>
              <w:rPr>
                <w:rFonts w:ascii="Arial" w:cs="Arial" w:eastAsia="Arial" w:hAnsi="Arial"/>
                <w:sz w:val="14"/>
                <w:szCs w:val="14"/>
                <w:b w:val="1"/>
                <w:bCs w:val="1"/>
                <w:color w:val="auto"/>
                <w:w w:val="85"/>
              </w:rPr>
              <w:t>(Effective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88"/>
              </w:rPr>
              <w:t>(Effective</w:t>
            </w:r>
          </w:p>
        </w:tc>
        <w:tc>
          <w:tcPr>
            <w:tcW w:w="1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from Effectiveness</w:t>
            </w:r>
          </w:p>
        </w:tc>
        <w:tc>
          <w:tcPr>
            <w:tcW w:w="8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1"/>
              </w:rPr>
              <w:t>Effectiveness</w:t>
            </w:r>
          </w:p>
        </w:tc>
        <w:tc>
          <w:tcPr>
            <w:tcW w:w="0" w:type="dxa"/>
            <w:vAlign w:val="bottom"/>
          </w:tcPr>
          <w:p>
            <w:pPr>
              <w:spacing w:after="0"/>
              <w:rPr>
                <w:sz w:val="1"/>
                <w:szCs w:val="1"/>
                <w:color w:val="auto"/>
              </w:rPr>
            </w:pPr>
          </w:p>
        </w:tc>
      </w:tr>
      <w:tr>
        <w:trPr>
          <w:trHeight w:val="155"/>
        </w:trPr>
        <w:tc>
          <w:tcPr>
            <w:tcW w:w="2960" w:type="dxa"/>
            <w:vAlign w:val="bottom"/>
            <w:vMerge w:val="continue"/>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center"/>
              <w:ind w:right="9"/>
              <w:spacing w:after="0" w:line="148" w:lineRule="exact"/>
              <w:rPr>
                <w:sz w:val="20"/>
                <w:szCs w:val="20"/>
                <w:color w:val="auto"/>
              </w:rPr>
            </w:pPr>
            <w:r>
              <w:rPr>
                <w:rFonts w:ascii="Arial" w:cs="Arial" w:eastAsia="Arial" w:hAnsi="Arial"/>
                <w:sz w:val="14"/>
                <w:szCs w:val="14"/>
                <w:b w:val="1"/>
                <w:bCs w:val="1"/>
                <w:color w:val="auto"/>
                <w:w w:val="89"/>
              </w:rPr>
              <w:t>Portion)</w:t>
            </w:r>
          </w:p>
        </w:tc>
        <w:tc>
          <w:tcPr>
            <w:tcW w:w="2480" w:type="dxa"/>
            <w:vAlign w:val="bottom"/>
          </w:tcPr>
          <w:p>
            <w:pPr>
              <w:jc w:val="center"/>
              <w:ind w:left="171"/>
              <w:spacing w:after="0" w:line="148" w:lineRule="exact"/>
              <w:rPr>
                <w:sz w:val="20"/>
                <w:szCs w:val="20"/>
                <w:color w:val="auto"/>
              </w:rPr>
            </w:pPr>
            <w:r>
              <w:rPr>
                <w:rFonts w:ascii="Arial" w:cs="Arial" w:eastAsia="Arial" w:hAnsi="Arial"/>
                <w:sz w:val="14"/>
                <w:szCs w:val="14"/>
                <w:b w:val="1"/>
                <w:bCs w:val="1"/>
                <w:color w:val="auto"/>
                <w:w w:val="89"/>
              </w:rPr>
              <w:t>Portion)</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center"/>
              <w:ind w:right="28"/>
              <w:spacing w:after="0" w:line="148" w:lineRule="exact"/>
              <w:rPr>
                <w:sz w:val="20"/>
                <w:szCs w:val="20"/>
                <w:color w:val="auto"/>
              </w:rPr>
            </w:pPr>
            <w:r>
              <w:rPr>
                <w:rFonts w:ascii="Arial" w:cs="Arial" w:eastAsia="Arial" w:hAnsi="Arial"/>
                <w:sz w:val="14"/>
                <w:szCs w:val="14"/>
                <w:b w:val="1"/>
                <w:bCs w:val="1"/>
                <w:color w:val="auto"/>
                <w:w w:val="89"/>
              </w:rPr>
              <w:t>Portion)</w:t>
            </w:r>
          </w:p>
        </w:tc>
        <w:tc>
          <w:tcPr>
            <w:tcW w:w="19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4"/>
              </w:rPr>
              <w:t>Testing)</w:t>
            </w:r>
          </w:p>
        </w:tc>
        <w:tc>
          <w:tcPr>
            <w:tcW w:w="100" w:type="dxa"/>
            <w:vAlign w:val="bottom"/>
          </w:tcPr>
          <w:p>
            <w:pPr>
              <w:spacing w:after="0"/>
              <w:rPr>
                <w:sz w:val="13"/>
                <w:szCs w:val="13"/>
                <w:color w:val="auto"/>
              </w:rPr>
            </w:pPr>
          </w:p>
        </w:tc>
        <w:tc>
          <w:tcPr>
            <w:tcW w:w="7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4"/>
              </w:rPr>
              <w:t>Testing)</w:t>
            </w:r>
          </w:p>
        </w:tc>
        <w:tc>
          <w:tcPr>
            <w:tcW w:w="0" w:type="dxa"/>
            <w:vAlign w:val="bottom"/>
          </w:tcPr>
          <w:p>
            <w:pPr>
              <w:spacing w:after="0"/>
              <w:rPr>
                <w:sz w:val="1"/>
                <w:szCs w:val="1"/>
                <w:color w:val="auto"/>
              </w:rPr>
            </w:pPr>
          </w:p>
        </w:tc>
      </w:tr>
      <w:tr>
        <w:trPr>
          <w:trHeight w:val="149"/>
        </w:trPr>
        <w:tc>
          <w:tcPr>
            <w:tcW w:w="2960" w:type="dxa"/>
            <w:vAlign w:val="bottom"/>
            <w:tcBorders>
              <w:top w:val="single" w:sz="8" w:color="auto"/>
            </w:tcBorders>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3460" w:type="dxa"/>
            <w:vAlign w:val="bottom"/>
            <w:tcBorders>
              <w:top w:val="single" w:sz="8" w:color="auto"/>
            </w:tcBorders>
            <w:gridSpan w:val="4"/>
          </w:tcPr>
          <w:p>
            <w:pPr>
              <w:jc w:val="right"/>
              <w:ind w:right="308"/>
              <w:spacing w:after="0" w:line="149" w:lineRule="exact"/>
              <w:rPr>
                <w:sz w:val="20"/>
                <w:szCs w:val="20"/>
                <w:color w:val="auto"/>
              </w:rPr>
            </w:pPr>
            <w:r>
              <w:rPr>
                <w:rFonts w:ascii="Arial" w:cs="Arial" w:eastAsia="Arial" w:hAnsi="Arial"/>
                <w:sz w:val="14"/>
                <w:szCs w:val="14"/>
                <w:b w:val="1"/>
                <w:bCs w:val="1"/>
                <w:color w:val="auto"/>
              </w:rPr>
              <w:t>(In thousands)</w:t>
            </w:r>
          </w:p>
        </w:tc>
        <w:tc>
          <w:tcPr>
            <w:tcW w:w="19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forward contracts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248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7"/>
              </w:rPr>
              <w:t>Cost of product revenues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9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Not applicable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960" w:type="dxa"/>
            <w:vAlign w:val="bottom"/>
            <w:vMerge w:val="restart"/>
          </w:tcPr>
          <w:p>
            <w:pPr>
              <w:spacing w:after="0"/>
              <w:rPr>
                <w:sz w:val="20"/>
                <w:szCs w:val="20"/>
                <w:color w:val="auto"/>
              </w:rPr>
            </w:pPr>
            <w:r>
              <w:rPr>
                <w:rFonts w:ascii="Arial" w:cs="Arial" w:eastAsia="Arial" w:hAnsi="Arial"/>
                <w:sz w:val="18"/>
                <w:szCs w:val="18"/>
                <w:b w:val="1"/>
                <w:bCs w:val="1"/>
                <w:color w:val="auto"/>
              </w:rPr>
              <w:t>Total</w:t>
            </w:r>
          </w:p>
        </w:tc>
        <w:tc>
          <w:tcPr>
            <w:tcW w:w="1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296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160</w:t>
            </w:r>
          </w:p>
        </w:tc>
        <w:tc>
          <w:tcPr>
            <w:tcW w:w="2480" w:type="dxa"/>
            <w:vAlign w:val="bottom"/>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601</w:t>
            </w:r>
          </w:p>
        </w:tc>
        <w:tc>
          <w:tcPr>
            <w:tcW w:w="19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At December 30, 2011, the estimated net amount of unrealized gains or losses on foreign currency cash flow hedges that is expected to be reclassified to earnings within the next twelve months is approximately $0.6 million. Foreign currency forward contracts usually mature within approximately fifteen months from their inception. There were no gains or losses from ineffectiveness of these derivative instruments recorded for the three and nine months ended December 30, 2011 and December 31, 2010.</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In accordance with the authoritative guidance for share-based payments (ASC 718), the Company measures stock-based compensation cost at the grant date, based on the estimated fair value of the award, and recognizes expense on a straight-line basis over the requisite service period of the employee’s award. Stock-based compensation expense is recognized in the condensed consolidated statement of operations for the three and nine months ended December 30, 2011 and December 31, 2010 only for those awards ultimately expected to vest, with forfeitures estimated at the date of grant. The authoritative guidance for share-based payments requires forfeitures to be estimated at the time of grant and revised, if necessary, in subsequent periods if actual forfeitures differ from those estimates. The Company recognized $5.8 million and $14.8 million of stock-based compensation expense for the three and nine months ended December 30, 2011, respectively, and $4.4 million and $12.7 million of stock-based compensation expense for the three and nine months ended December 31, 2010, respectively.</w:t>
      </w:r>
    </w:p>
    <w:p>
      <w:pPr>
        <w:spacing w:after="0" w:line="11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For the nine months ended December 30, 2011 and December 31, 2010, the Company recorded no incremental tax benefits from stock options exercised and restricted stock unit award vesting as the excess tax benefit from stock options exercised and restricted stock unit award vesting increased the Company’s net operating loss carryforward.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Accruals for uncertain tax positions are provided for in accordance with the authoritative guidance for accounting for uncertainty in income taxes (ASC 740). The Company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authoritative guidance for accounting for uncertainty in income taxes also provides guidance on derecognition of income tax assets and liabilities, classification of current and deferred income tax assets and liabilities, accounting for interest and penalties associated with tax positions, and income tax disclosures. The Company’s policy is to recognize interest expense and penalties related to income tax matters as a component of income tax expense.</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Ordinarily, the effective tax rate at the end of an interim period is calculated using an estimate of the annual effective tax rate expected to be applicable for the full fiscal year. However, when a reliable estimate cannot be made, the Company computes its provision for income taxes using the actual effective tax rate for the year-to-date period. A deferred income tax asset or liability is established for the expected future tax consequences resulting from differences in the financial reporting and tax bases of assets and liabilities and for the expected future tax benefit to be derived from tax credit and loss carryforwards. Deferred tax assets are reduced by a valuation allowance when, in the opinion of management, it is more likely than not that some portion or all of the deferred tax assets will not be realized. Deferred income tax expense (benefit) is the net change during the year in the deferred income tax asset or liability.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authoritative guidance</w:t>
      </w:r>
    </w:p>
    <w:p>
      <w:pPr>
        <w:spacing w:after="0" w:line="9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In October 2009, the FASB issued authoritative guidance for revenue recognition with multiple deliverables (ASU 2009-13, which updated ASC 605-25). This new guidance impacts the determination of when the individual deliverables included in a multiple-element arrangement may be treated as separate units of accounting. Additionally, this authoritative guidance modifies the manner in which the transaction consideration is allocated across the separately identified deliverables by no longer permitting the residual method of allocating arrangement consideration. The Company adopted this authoritative guidance in the first quarter of fiscal year 2012 without a material impact on its consolidated financial statements and disclosures.</w:t>
      </w:r>
    </w:p>
    <w:p>
      <w:pPr>
        <w:spacing w:after="0" w:line="11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May 2011, the FASB issued ASU 2011-04, Fair Value Measurement (ASC 820): Amendments to Achieve Common Fair Value Measurement and Disclosure Requirements in GAAP and International Financial Reporting Standards (IFRS). The new authoritative guidance results in a consistent definition of fair value and common requirements for measurement of and disclosure about fair value between GAAP and IFRS. While many of the amendments to GAAP are not expected to have a significant effect on practice, the new guidance changes some fair value measurement principles and disclosure requirements. This authoritative guidance is effective for the Company beginning in the fourth quarter of fiscal year 2012. Adoption of this authoritative guidance is not expected to have a material impact on the Company’s consolidated financial statements and disclosures.</w:t>
      </w:r>
    </w:p>
    <w:p>
      <w:pPr>
        <w:spacing w:after="0" w:line="120" w:lineRule="exact"/>
        <w:rPr>
          <w:sz w:val="20"/>
          <w:szCs w:val="20"/>
          <w:color w:val="auto"/>
        </w:rPr>
      </w:pPr>
    </w:p>
    <w:p>
      <w:pPr>
        <w:ind w:right="140" w:firstLine="351"/>
        <w:spacing w:after="0" w:line="288" w:lineRule="auto"/>
        <w:rPr>
          <w:sz w:val="20"/>
          <w:szCs w:val="20"/>
          <w:color w:val="auto"/>
        </w:rPr>
      </w:pPr>
      <w:r>
        <w:rPr>
          <w:rFonts w:ascii="Arial" w:cs="Arial" w:eastAsia="Arial" w:hAnsi="Arial"/>
          <w:sz w:val="16"/>
          <w:szCs w:val="16"/>
          <w:color w:val="auto"/>
        </w:rPr>
        <w:t>In June 2011, the FASB issued ASU 2011-05, Comprehensive Income (ASC 220): Presentation of Comprehensive Income. The new authoritative guidance requires an entity to present the total of comprehensive income, the components of net income, and the components of other comprehensive income either in a single continuous statement of comprehensive income or in two separate but consecutive statements. The new authoritative guidance eliminates the option to present the components of other comprehensive income as part of the statement of equity. In December 2011, the FASB further amended its guidance to defer changes related to the presentation of reclassification adjustments indefinitely as a result of concerns raised by stakeholders that the new presentation requirements would be difficult for preparers and add unnecessary complexity to financial statements. The authoritative guidance (other than the portion regarding the presentation of reclassification adjustments which, as noted above, has been deferred indefinitely) will be effective for the Company beginning in the first quarter of fiscal year 2013 and should be applied retrospectively; however, early adoption is permitted. The authoritative guidance, as amended, will impact the presentation of the financial statements but will not impact the Company’s financial position, results of operations or cash flows.</w:t>
      </w:r>
    </w:p>
    <w:p>
      <w:pPr>
        <w:sectPr>
          <w:pgSz w:w="11900" w:h="16838" w:orient="portrait"/>
          <w:cols w:equalWidth="0" w:num="1">
            <w:col w:w="11420"/>
          </w:cols>
          <w:pgMar w:left="240" w:top="459" w:right="239" w:bottom="1440" w:gutter="0" w:footer="0" w:header="0"/>
        </w:sectPr>
      </w:pP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459" w:right="2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September 2011, the FASB issued ASU 2011-08, Intangibles—Goodwill and Other (ASC 350): Testing Goodwill for Impairment. The new authoritative guidance simplifies how an entity tests goodwill for impairment. The new authoritative guidance allows an entity to first assess qualitative factors to determine whether it is necessary to perform the two-step quantitative goodwill impairment test. The two-step quantitative impairment test is required only if, based on its qualitative assessment, an entity determines that it is more likely than not that the fair value of a reporting unit is less than its carrying amount. This authoritative guidance is effective for interim and annual goodwill impairment tests performed for fiscal years beginning after December 15, 2011. Early adoption is permitted if an entity’s financial statements for the more recent interim and annual period have not yet been issued. The Company will early adopt this authoritative guidance in the fourth quarter of fiscal year 2012. Adoption of this authoritative guidance is not expected to have a material impact on the Company’s consolidated financial statements and disclosures.</w:t>
      </w:r>
    </w:p>
    <w:p>
      <w:pPr>
        <w:spacing w:after="0" w:line="11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December 2011, the FASB issued ASU 2011-11, Balance Sheet (ASC 210): Disclosures about offsetting Assets and Liabilities. The new authoritative guidance requires an entity to disclose information about offsetting and related arrangements to enable users of its financial statements to evaluate the effect or potential effect of netting arrangements on an entity’s financial position, including the effect or potential effect of rights of setoff associated with certain financial instruments and derivative instruments in the scope of this authoritative guidance. This authoritative guidance will be effective for the Company beginning in the first quarter of fiscal year 2014 and should be applied retrospectively for all comparative periods presented. The Company is currently evaluating the impact that this authoritative guidance may have on its consolidated financial statements and disclosures.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Composition of Certain Balance Sheet Captions</w:t>
      </w:r>
    </w:p>
    <w:p>
      <w:pPr>
        <w:spacing w:after="0" w:line="20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rPr>
              <w:t>As of</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61"/>
        </w:trPr>
        <w:tc>
          <w:tcPr>
            <w:tcW w:w="5840" w:type="dxa"/>
            <w:vAlign w:val="bottom"/>
          </w:tcPr>
          <w:p>
            <w:pPr>
              <w:spacing w:after="0"/>
              <w:rPr>
                <w:sz w:val="14"/>
                <w:szCs w:val="14"/>
                <w:color w:val="auto"/>
              </w:rPr>
            </w:pPr>
          </w:p>
        </w:tc>
        <w:tc>
          <w:tcPr>
            <w:tcW w:w="1960" w:type="dxa"/>
            <w:vAlign w:val="bottom"/>
            <w:gridSpan w:val="4"/>
          </w:tcPr>
          <w:p>
            <w:pPr>
              <w:ind w:left="340"/>
              <w:spacing w:after="0"/>
              <w:rPr>
                <w:sz w:val="20"/>
                <w:szCs w:val="20"/>
                <w:color w:val="auto"/>
              </w:rPr>
            </w:pPr>
            <w:r>
              <w:rPr>
                <w:rFonts w:ascii="Arial" w:cs="Arial" w:eastAsia="Arial" w:hAnsi="Arial"/>
                <w:sz w:val="14"/>
                <w:szCs w:val="14"/>
                <w:b w:val="1"/>
                <w:bCs w:val="1"/>
                <w:color w:val="auto"/>
              </w:rPr>
              <w:t>December 30, 2011</w:t>
            </w:r>
          </w:p>
        </w:tc>
        <w:tc>
          <w:tcPr>
            <w:tcW w:w="880" w:type="dxa"/>
            <w:vAlign w:val="bottom"/>
            <w:gridSpan w:val="4"/>
          </w:tcPr>
          <w:p>
            <w:pPr>
              <w:ind w:left="20"/>
              <w:spacing w:after="0"/>
              <w:rPr>
                <w:sz w:val="20"/>
                <w:szCs w:val="20"/>
                <w:color w:val="auto"/>
              </w:rPr>
            </w:pPr>
            <w:r>
              <w:rPr>
                <w:rFonts w:ascii="Arial" w:cs="Arial" w:eastAsia="Arial" w:hAnsi="Arial"/>
                <w:sz w:val="14"/>
                <w:szCs w:val="14"/>
                <w:b w:val="1"/>
                <w:bCs w:val="1"/>
                <w:color w:val="auto"/>
              </w:rPr>
              <w:t>April 1, 2011</w:t>
            </w:r>
          </w:p>
        </w:tc>
        <w:tc>
          <w:tcPr>
            <w:tcW w:w="0" w:type="dxa"/>
            <w:vAlign w:val="bottom"/>
          </w:tcPr>
          <w:p>
            <w:pPr>
              <w:spacing w:after="0"/>
              <w:rPr>
                <w:sz w:val="1"/>
                <w:szCs w:val="1"/>
                <w:color w:val="auto"/>
              </w:rPr>
            </w:pPr>
          </w:p>
        </w:tc>
      </w:tr>
      <w:tr>
        <w:trPr>
          <w:trHeight w:val="142"/>
        </w:trPr>
        <w:tc>
          <w:tcPr>
            <w:tcW w:w="5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(In thousands)</w:t>
            </w: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440"/>
              <w:spacing w:after="0"/>
              <w:rPr>
                <w:sz w:val="20"/>
                <w:szCs w:val="20"/>
                <w:color w:val="auto"/>
              </w:rPr>
            </w:pPr>
            <w:r>
              <w:rPr>
                <w:rFonts w:ascii="Arial" w:cs="Arial" w:eastAsia="Arial" w:hAnsi="Arial"/>
                <w:sz w:val="18"/>
                <w:szCs w:val="18"/>
                <w:color w:val="auto"/>
              </w:rPr>
              <w:t>Billed</w:t>
            </w:r>
          </w:p>
        </w:tc>
        <w:tc>
          <w:tcPr>
            <w:tcW w:w="5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92,931</w:t>
            </w:r>
          </w:p>
        </w:tc>
        <w:tc>
          <w:tcPr>
            <w:tcW w:w="520" w:type="dxa"/>
            <w:vAlign w:val="bottom"/>
          </w:tcPr>
          <w:p>
            <w:pPr>
              <w:spacing w:after="0"/>
              <w:rPr>
                <w:sz w:val="18"/>
                <w:szCs w:val="18"/>
                <w:color w:val="auto"/>
              </w:rPr>
            </w:pP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100,863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Unbilled</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92,392</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440"/>
              <w:spacing w:after="0"/>
              <w:rPr>
                <w:sz w:val="20"/>
                <w:szCs w:val="20"/>
                <w:color w:val="auto"/>
              </w:rPr>
            </w:pPr>
            <w:r>
              <w:rPr>
                <w:rFonts w:ascii="Arial" w:cs="Arial" w:eastAsia="Arial" w:hAnsi="Arial"/>
                <w:sz w:val="18"/>
                <w:szCs w:val="18"/>
                <w:color w:val="auto"/>
              </w:rPr>
              <w:t>Allowance for doubtful accounts</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(1,024)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184,299</w:t>
            </w:r>
          </w:p>
        </w:tc>
        <w:tc>
          <w:tcPr>
            <w:tcW w:w="5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191,889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Inventories:</w:t>
            </w: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4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Raw materials</w:t>
            </w:r>
          </w:p>
        </w:tc>
        <w:tc>
          <w:tcPr>
            <w:tcW w:w="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52,200</w:t>
            </w:r>
          </w:p>
        </w:tc>
        <w:tc>
          <w:tcPr>
            <w:tcW w:w="5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440"/>
              <w:spacing w:after="0"/>
              <w:rPr>
                <w:sz w:val="20"/>
                <w:szCs w:val="20"/>
                <w:color w:val="auto"/>
              </w:rPr>
            </w:pPr>
            <w:r>
              <w:rPr>
                <w:rFonts w:ascii="Arial" w:cs="Arial" w:eastAsia="Arial" w:hAnsi="Arial"/>
                <w:sz w:val="18"/>
                <w:szCs w:val="18"/>
                <w:color w:val="auto"/>
              </w:rPr>
              <w:t>Work in process</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23,751</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18,713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Finished goods</w:t>
            </w:r>
          </w:p>
        </w:tc>
        <w:tc>
          <w:tcPr>
            <w:tcW w:w="3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53,812</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40" w:type="dxa"/>
            <w:vAlign w:val="bottom"/>
          </w:tcPr>
          <w:p>
            <w:pPr>
              <w:spacing w:after="0"/>
              <w:rPr>
                <w:sz w:val="19"/>
                <w:szCs w:val="19"/>
                <w:color w:val="auto"/>
              </w:rPr>
            </w:pPr>
          </w:p>
        </w:tc>
        <w:tc>
          <w:tcPr>
            <w:tcW w:w="5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129,763</w:t>
            </w:r>
          </w:p>
        </w:tc>
        <w:tc>
          <w:tcPr>
            <w:tcW w:w="520" w:type="dxa"/>
            <w:vAlign w:val="bottom"/>
          </w:tcPr>
          <w:p>
            <w:pPr>
              <w:spacing w:after="0"/>
              <w:rPr>
                <w:sz w:val="19"/>
                <w:szCs w:val="19"/>
                <w:color w:val="auto"/>
              </w:rPr>
            </w:pP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98,555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440"/>
              <w:spacing w:after="0"/>
              <w:rPr>
                <w:sz w:val="20"/>
                <w:szCs w:val="20"/>
                <w:color w:val="auto"/>
              </w:rPr>
            </w:pPr>
            <w:r>
              <w:rPr>
                <w:rFonts w:ascii="Arial" w:cs="Arial" w:eastAsia="Arial" w:hAnsi="Arial"/>
                <w:sz w:val="18"/>
                <w:szCs w:val="18"/>
                <w:color w:val="auto"/>
              </w:rPr>
              <w:t>Prepaid expenses</w:t>
            </w:r>
          </w:p>
        </w:tc>
        <w:tc>
          <w:tcPr>
            <w:tcW w:w="5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25,961</w:t>
            </w:r>
          </w:p>
        </w:tc>
        <w:tc>
          <w:tcPr>
            <w:tcW w:w="520" w:type="dxa"/>
            <w:vAlign w:val="bottom"/>
          </w:tcPr>
          <w:p>
            <w:pPr>
              <w:spacing w:after="0"/>
              <w:rPr>
                <w:sz w:val="18"/>
                <w:szCs w:val="18"/>
                <w:color w:val="auto"/>
              </w:rPr>
            </w:pP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18,235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Indemnification receivable</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tcPr>
          <w:p>
            <w:pPr>
              <w:ind w:left="440"/>
              <w:spacing w:after="0"/>
              <w:rPr>
                <w:sz w:val="20"/>
                <w:szCs w:val="20"/>
                <w:color w:val="auto"/>
              </w:rPr>
            </w:pPr>
            <w:r>
              <w:rPr>
                <w:rFonts w:ascii="Arial" w:cs="Arial" w:eastAsia="Arial" w:hAnsi="Arial"/>
                <w:sz w:val="18"/>
                <w:szCs w:val="18"/>
                <w:color w:val="auto"/>
              </w:rPr>
              <w:t>Income tax receivable</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230</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5,220</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40" w:type="dxa"/>
            <w:vAlign w:val="bottom"/>
          </w:tcPr>
          <w:p>
            <w:pPr>
              <w:spacing w:after="0"/>
              <w:rPr>
                <w:sz w:val="19"/>
                <w:szCs w:val="19"/>
                <w:color w:val="auto"/>
              </w:rPr>
            </w:pPr>
          </w:p>
        </w:tc>
        <w:tc>
          <w:tcPr>
            <w:tcW w:w="5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51,411</w:t>
            </w:r>
          </w:p>
        </w:tc>
        <w:tc>
          <w:tcPr>
            <w:tcW w:w="520" w:type="dxa"/>
            <w:vAlign w:val="bottom"/>
          </w:tcPr>
          <w:p>
            <w:pPr>
              <w:spacing w:after="0"/>
              <w:rPr>
                <w:sz w:val="19"/>
                <w:szCs w:val="19"/>
                <w:color w:val="auto"/>
              </w:rPr>
            </w:pP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21,141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Satellites, net:</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440"/>
              <w:spacing w:after="0"/>
              <w:rPr>
                <w:sz w:val="20"/>
                <w:szCs w:val="20"/>
                <w:color w:val="auto"/>
              </w:rPr>
            </w:pPr>
            <w:r>
              <w:rPr>
                <w:rFonts w:ascii="Arial" w:cs="Arial" w:eastAsia="Arial" w:hAnsi="Arial"/>
                <w:sz w:val="18"/>
                <w:szCs w:val="18"/>
                <w:color w:val="auto"/>
              </w:rPr>
              <w:t>Satellite — WildBlue-1 (estimated useful life of 10 years)</w:t>
            </w:r>
          </w:p>
        </w:tc>
        <w:tc>
          <w:tcPr>
            <w:tcW w:w="5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195,890</w:t>
            </w:r>
          </w:p>
        </w:tc>
        <w:tc>
          <w:tcPr>
            <w:tcW w:w="520" w:type="dxa"/>
            <w:vAlign w:val="bottom"/>
          </w:tcPr>
          <w:p>
            <w:pPr>
              <w:spacing w:after="0"/>
              <w:rPr>
                <w:sz w:val="18"/>
                <w:szCs w:val="18"/>
                <w:color w:val="auto"/>
              </w:rPr>
            </w:pP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195,890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8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5"/>
              </w:rPr>
              <w:t>Capital lease of satellite capacity — Anik F2 (estimated useful life of 10</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8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years)</w:t>
            </w: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99,090</w:t>
            </w:r>
          </w:p>
        </w:tc>
        <w:tc>
          <w:tcPr>
            <w:tcW w:w="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99,090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Pr>
          <w:p>
            <w:pPr>
              <w:ind w:left="440"/>
              <w:spacing w:after="0"/>
              <w:rPr>
                <w:sz w:val="20"/>
                <w:szCs w:val="20"/>
                <w:color w:val="auto"/>
              </w:rPr>
            </w:pPr>
            <w:r>
              <w:rPr>
                <w:rFonts w:ascii="Arial" w:cs="Arial" w:eastAsia="Arial" w:hAnsi="Arial"/>
                <w:sz w:val="18"/>
                <w:szCs w:val="18"/>
                <w:color w:val="auto"/>
              </w:rPr>
              <w:t>Satellite — ViaSat-1 (under construction)</w:t>
            </w:r>
          </w:p>
        </w:tc>
        <w:tc>
          <w:tcPr>
            <w:tcW w:w="3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362,711</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276,418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657,691</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571,398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440"/>
              <w:spacing w:after="0"/>
              <w:rPr>
                <w:sz w:val="20"/>
                <w:szCs w:val="20"/>
                <w:color w:val="auto"/>
              </w:rPr>
            </w:pPr>
            <w:r>
              <w:rPr>
                <w:rFonts w:ascii="Arial" w:cs="Arial" w:eastAsia="Arial" w:hAnsi="Arial"/>
                <w:sz w:val="18"/>
                <w:szCs w:val="18"/>
                <w:color w:val="auto"/>
              </w:rPr>
              <w:t>Less accumulated depreciation and amortization</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(60,455)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(38,398)</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597,236</w:t>
            </w:r>
          </w:p>
        </w:tc>
        <w:tc>
          <w:tcPr>
            <w:tcW w:w="5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533,000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Property and equipment, net:</w:t>
            </w: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4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Machinery and equipment (estimated useful life of 2-5 years)</w:t>
            </w:r>
          </w:p>
        </w:tc>
        <w:tc>
          <w:tcPr>
            <w:tcW w:w="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151,371</w:t>
            </w:r>
          </w:p>
        </w:tc>
        <w:tc>
          <w:tcPr>
            <w:tcW w:w="5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122,113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440"/>
              <w:spacing w:after="0"/>
              <w:rPr>
                <w:sz w:val="20"/>
                <w:szCs w:val="20"/>
                <w:color w:val="auto"/>
              </w:rPr>
            </w:pPr>
            <w:r>
              <w:rPr>
                <w:rFonts w:ascii="Arial" w:cs="Arial" w:eastAsia="Arial" w:hAnsi="Arial"/>
                <w:sz w:val="18"/>
                <w:szCs w:val="18"/>
                <w:color w:val="auto"/>
                <w:w w:val="97"/>
              </w:rPr>
              <w:t>Computer equipment and software (estimated useful life of 2-7 years)</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99,515</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66,768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CPE leased equipment (estimated useful life of 3-5 years)</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73,814</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440"/>
              <w:spacing w:after="0"/>
              <w:rPr>
                <w:sz w:val="20"/>
                <w:szCs w:val="20"/>
                <w:color w:val="auto"/>
              </w:rPr>
            </w:pPr>
            <w:r>
              <w:rPr>
                <w:rFonts w:ascii="Arial" w:cs="Arial" w:eastAsia="Arial" w:hAnsi="Arial"/>
                <w:sz w:val="18"/>
                <w:szCs w:val="18"/>
                <w:color w:val="auto"/>
              </w:rPr>
              <w:t>Furniture and fixtures (estimated useful life of 7 years)</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13,357</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13,053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Leasehold improvements (estimated useful life of 2-15 years)</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24,810</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440"/>
              <w:spacing w:after="0"/>
              <w:rPr>
                <w:sz w:val="20"/>
                <w:szCs w:val="20"/>
                <w:color w:val="auto"/>
              </w:rPr>
            </w:pPr>
            <w:r>
              <w:rPr>
                <w:rFonts w:ascii="Arial" w:cs="Arial" w:eastAsia="Arial" w:hAnsi="Arial"/>
                <w:sz w:val="18"/>
                <w:szCs w:val="18"/>
                <w:color w:val="auto"/>
              </w:rPr>
              <w:t>Building (estimated useful life of 24 years)</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8,923</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8,923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Land</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4,384</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40" w:type="dxa"/>
            <w:vAlign w:val="bottom"/>
          </w:tcPr>
          <w:p>
            <w:pPr>
              <w:ind w:left="440"/>
              <w:spacing w:after="0"/>
              <w:rPr>
                <w:sz w:val="20"/>
                <w:szCs w:val="20"/>
                <w:color w:val="auto"/>
              </w:rPr>
            </w:pPr>
            <w:r>
              <w:rPr>
                <w:rFonts w:ascii="Arial" w:cs="Arial" w:eastAsia="Arial" w:hAnsi="Arial"/>
                <w:sz w:val="18"/>
                <w:szCs w:val="18"/>
                <w:color w:val="auto"/>
              </w:rPr>
              <w:t>Construction in progress</w:t>
            </w:r>
          </w:p>
        </w:tc>
        <w:tc>
          <w:tcPr>
            <w:tcW w:w="3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91,838</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468,012</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382,377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440"/>
              <w:spacing w:after="0"/>
              <w:rPr>
                <w:sz w:val="20"/>
                <w:szCs w:val="20"/>
                <w:color w:val="auto"/>
              </w:rPr>
            </w:pPr>
            <w:r>
              <w:rPr>
                <w:rFonts w:ascii="Arial" w:cs="Arial" w:eastAsia="Arial" w:hAnsi="Arial"/>
                <w:sz w:val="18"/>
                <w:szCs w:val="18"/>
                <w:color w:val="auto"/>
              </w:rPr>
              <w:t>Less accumulated depreciation and amortization</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(192,414)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(149,238)</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275,598</w:t>
            </w:r>
          </w:p>
        </w:tc>
        <w:tc>
          <w:tcPr>
            <w:tcW w:w="5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233,139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ectPr>
          <w:pgSz w:w="11900" w:h="16838" w:orient="portrait"/>
          <w:cols w:equalWidth="0" w:num="1">
            <w:col w:w="11380"/>
          </w:cols>
          <w:pgMar w:left="240" w:top="459" w:right="279" w:bottom="1440" w:gutter="0" w:footer="0" w:header="0"/>
        </w:sectPr>
      </w:pPr>
    </w:p>
    <w:p>
      <w:pPr>
        <w:jc w:val="center"/>
        <w:ind w:right="-3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380"/>
          </w:cols>
          <w:pgMar w:left="240" w:top="459" w:right="27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gridSpan w:val="2"/>
          </w:tcPr>
          <w:p>
            <w:pPr>
              <w:jc w:val="right"/>
              <w:ind w:right="1100"/>
              <w:spacing w:after="0"/>
              <w:rPr>
                <w:sz w:val="20"/>
                <w:szCs w:val="20"/>
                <w:color w:val="auto"/>
              </w:rPr>
            </w:pPr>
            <w:r>
              <w:rPr>
                <w:rFonts w:ascii="Arial" w:cs="Arial" w:eastAsia="Arial" w:hAnsi="Arial"/>
                <w:sz w:val="14"/>
                <w:szCs w:val="14"/>
                <w:b w:val="1"/>
                <w:bCs w:val="1"/>
                <w:color w:val="auto"/>
              </w:rPr>
              <w:t>As of</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As of</w:t>
            </w:r>
          </w:p>
        </w:tc>
      </w:tr>
      <w:tr>
        <w:trPr>
          <w:trHeight w:val="161"/>
        </w:trPr>
        <w:tc>
          <w:tcPr>
            <w:tcW w:w="5940" w:type="dxa"/>
            <w:vAlign w:val="bottom"/>
          </w:tcPr>
          <w:p>
            <w:pPr>
              <w:spacing w:after="0"/>
              <w:rPr>
                <w:sz w:val="14"/>
                <w:szCs w:val="14"/>
                <w:color w:val="auto"/>
              </w:rPr>
            </w:pPr>
          </w:p>
        </w:tc>
        <w:tc>
          <w:tcPr>
            <w:tcW w:w="1800" w:type="dxa"/>
            <w:vAlign w:val="bottom"/>
            <w:gridSpan w:val="3"/>
          </w:tcPr>
          <w:p>
            <w:pPr>
              <w:spacing w:after="0"/>
              <w:rPr>
                <w:sz w:val="20"/>
                <w:szCs w:val="20"/>
                <w:color w:val="auto"/>
              </w:rPr>
            </w:pPr>
            <w:r>
              <w:rPr>
                <w:rFonts w:ascii="Arial" w:cs="Arial" w:eastAsia="Arial" w:hAnsi="Arial"/>
                <w:sz w:val="14"/>
                <w:szCs w:val="14"/>
                <w:b w:val="1"/>
                <w:bCs w:val="1"/>
                <w:color w:val="auto"/>
              </w:rPr>
              <w:t>December 30, 2011</w:t>
            </w:r>
          </w:p>
        </w:tc>
        <w:tc>
          <w:tcPr>
            <w:tcW w:w="940" w:type="dxa"/>
            <w:vAlign w:val="bottom"/>
            <w:gridSpan w:val="4"/>
          </w:tcPr>
          <w:p>
            <w:pPr>
              <w:ind w:left="80"/>
              <w:spacing w:after="0"/>
              <w:rPr>
                <w:sz w:val="20"/>
                <w:szCs w:val="20"/>
                <w:color w:val="auto"/>
              </w:rPr>
            </w:pPr>
            <w:r>
              <w:rPr>
                <w:rFonts w:ascii="Arial" w:cs="Arial" w:eastAsia="Arial" w:hAnsi="Arial"/>
                <w:sz w:val="14"/>
                <w:szCs w:val="14"/>
                <w:b w:val="1"/>
                <w:bCs w:val="1"/>
                <w:color w:val="auto"/>
              </w:rPr>
              <w:t>April 1, 2011</w:t>
            </w:r>
          </w:p>
        </w:tc>
      </w:tr>
      <w:tr>
        <w:trPr>
          <w:trHeight w:val="142"/>
        </w:trPr>
        <w:tc>
          <w:tcPr>
            <w:tcW w:w="59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(In thousands)</w:t>
            </w: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Other acquired intangible assets, net: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940" w:type="dxa"/>
            <w:vAlign w:val="bottom"/>
          </w:tcPr>
          <w:p>
            <w:pPr>
              <w:ind w:left="440"/>
              <w:spacing w:after="0"/>
              <w:rPr>
                <w:sz w:val="20"/>
                <w:szCs w:val="20"/>
                <w:color w:val="auto"/>
              </w:rPr>
            </w:pPr>
            <w:r>
              <w:rPr>
                <w:rFonts w:ascii="Arial" w:cs="Arial" w:eastAsia="Arial" w:hAnsi="Arial"/>
                <w:sz w:val="18"/>
                <w:szCs w:val="18"/>
                <w:color w:val="auto"/>
              </w:rPr>
              <w:t>Technology (weighted average useful life of 6 years)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53,895</w:t>
            </w:r>
          </w:p>
        </w:tc>
        <w:tc>
          <w:tcPr>
            <w:tcW w:w="700" w:type="dxa"/>
            <w:vAlign w:val="bottom"/>
          </w:tcPr>
          <w:p>
            <w:pPr>
              <w:spacing w:after="0"/>
              <w:rPr>
                <w:sz w:val="18"/>
                <w:szCs w:val="18"/>
                <w:color w:val="auto"/>
              </w:rPr>
            </w:pP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54,344</w:t>
            </w:r>
          </w:p>
        </w:tc>
        <w:tc>
          <w:tcPr>
            <w:tcW w:w="120" w:type="dxa"/>
            <w:vAlign w:val="bottom"/>
          </w:tcPr>
          <w:p>
            <w:pPr>
              <w:spacing w:after="0"/>
              <w:rPr>
                <w:sz w:val="18"/>
                <w:szCs w:val="18"/>
                <w:color w:val="auto"/>
              </w:rPr>
            </w:pPr>
          </w:p>
        </w:tc>
      </w:tr>
      <w:tr>
        <w:trPr>
          <w:trHeight w:val="208"/>
        </w:trPr>
        <w:tc>
          <w:tcPr>
            <w:tcW w:w="5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Contracts and customer relationships (weighted average useful life</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4"/>
        </w:trPr>
        <w:tc>
          <w:tcPr>
            <w:tcW w:w="59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of 7 years)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88,739</w:t>
            </w: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88,834</w:t>
            </w:r>
          </w:p>
        </w:tc>
        <w:tc>
          <w:tcPr>
            <w:tcW w:w="120" w:type="dxa"/>
            <w:vAlign w:val="bottom"/>
            <w:shd w:val="clear" w:color="auto" w:fill="CCEEFF"/>
          </w:tcPr>
          <w:p>
            <w:pPr>
              <w:spacing w:after="0"/>
              <w:rPr>
                <w:sz w:val="19"/>
                <w:szCs w:val="19"/>
                <w:color w:val="auto"/>
              </w:rPr>
            </w:pPr>
          </w:p>
        </w:tc>
      </w:tr>
      <w:tr>
        <w:trPr>
          <w:trHeight w:val="216"/>
        </w:trPr>
        <w:tc>
          <w:tcPr>
            <w:tcW w:w="5940" w:type="dxa"/>
            <w:vAlign w:val="bottom"/>
          </w:tcPr>
          <w:p>
            <w:pPr>
              <w:ind w:left="440"/>
              <w:spacing w:after="0"/>
              <w:rPr>
                <w:sz w:val="20"/>
                <w:szCs w:val="20"/>
                <w:color w:val="auto"/>
              </w:rPr>
            </w:pPr>
            <w:r>
              <w:rPr>
                <w:rFonts w:ascii="Arial" w:cs="Arial" w:eastAsia="Arial" w:hAnsi="Arial"/>
                <w:sz w:val="18"/>
                <w:szCs w:val="18"/>
                <w:color w:val="auto"/>
              </w:rPr>
              <w:t>Non-compete agreements (weighted average useful life of 4 years)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9,319</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9,332</w:t>
            </w:r>
          </w:p>
        </w:tc>
        <w:tc>
          <w:tcPr>
            <w:tcW w:w="120" w:type="dxa"/>
            <w:vAlign w:val="bottom"/>
          </w:tcPr>
          <w:p>
            <w:pPr>
              <w:spacing w:after="0"/>
              <w:rPr>
                <w:sz w:val="18"/>
                <w:szCs w:val="18"/>
                <w:color w:val="auto"/>
              </w:rPr>
            </w:pPr>
          </w:p>
        </w:tc>
      </w:tr>
      <w:tr>
        <w:trPr>
          <w:trHeight w:val="216"/>
        </w:trPr>
        <w:tc>
          <w:tcPr>
            <w:tcW w:w="5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Satellite co-location rights (weighted average useful life of 9 years)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8,600</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8,600</w:t>
            </w:r>
          </w:p>
        </w:tc>
        <w:tc>
          <w:tcPr>
            <w:tcW w:w="120" w:type="dxa"/>
            <w:vAlign w:val="bottom"/>
            <w:shd w:val="clear" w:color="auto" w:fill="CCEEFF"/>
          </w:tcPr>
          <w:p>
            <w:pPr>
              <w:spacing w:after="0"/>
              <w:rPr>
                <w:sz w:val="18"/>
                <w:szCs w:val="18"/>
                <w:color w:val="auto"/>
              </w:rPr>
            </w:pPr>
          </w:p>
        </w:tc>
      </w:tr>
      <w:tr>
        <w:trPr>
          <w:trHeight w:val="216"/>
        </w:trPr>
        <w:tc>
          <w:tcPr>
            <w:tcW w:w="5940" w:type="dxa"/>
            <w:vAlign w:val="bottom"/>
          </w:tcPr>
          <w:p>
            <w:pPr>
              <w:ind w:left="440"/>
              <w:spacing w:after="0"/>
              <w:rPr>
                <w:sz w:val="20"/>
                <w:szCs w:val="20"/>
                <w:color w:val="auto"/>
              </w:rPr>
            </w:pPr>
            <w:r>
              <w:rPr>
                <w:rFonts w:ascii="Arial" w:cs="Arial" w:eastAsia="Arial" w:hAnsi="Arial"/>
                <w:sz w:val="18"/>
                <w:szCs w:val="18"/>
                <w:color w:val="auto"/>
              </w:rPr>
              <w:t>Trade name (weighted average useful life of 3 years)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5,680</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5,680</w:t>
            </w:r>
          </w:p>
        </w:tc>
        <w:tc>
          <w:tcPr>
            <w:tcW w:w="120" w:type="dxa"/>
            <w:vAlign w:val="bottom"/>
          </w:tcPr>
          <w:p>
            <w:pPr>
              <w:spacing w:after="0"/>
              <w:rPr>
                <w:sz w:val="18"/>
                <w:szCs w:val="18"/>
                <w:color w:val="auto"/>
              </w:rPr>
            </w:pPr>
          </w:p>
        </w:tc>
      </w:tr>
      <w:tr>
        <w:trPr>
          <w:trHeight w:val="216"/>
        </w:trPr>
        <w:tc>
          <w:tcPr>
            <w:tcW w:w="5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(weighted average useful life of 6 years)</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9,330</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9,331</w:t>
            </w:r>
          </w:p>
        </w:tc>
        <w:tc>
          <w:tcPr>
            <w:tcW w:w="120" w:type="dxa"/>
            <w:vAlign w:val="bottom"/>
            <w:shd w:val="clear" w:color="auto" w:fill="CCEEFF"/>
          </w:tcPr>
          <w:p>
            <w:pPr>
              <w:spacing w:after="0"/>
              <w:rPr>
                <w:sz w:val="18"/>
                <w:szCs w:val="18"/>
                <w:color w:val="auto"/>
              </w:rPr>
            </w:pPr>
          </w:p>
        </w:tc>
      </w:tr>
      <w:tr>
        <w:trPr>
          <w:trHeight w:val="222"/>
        </w:trPr>
        <w:tc>
          <w:tcPr>
            <w:tcW w:w="5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175,563</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176,121</w:t>
            </w:r>
          </w:p>
        </w:tc>
        <w:tc>
          <w:tcPr>
            <w:tcW w:w="120" w:type="dxa"/>
            <w:vAlign w:val="bottom"/>
          </w:tcPr>
          <w:p>
            <w:pPr>
              <w:spacing w:after="0"/>
              <w:rPr>
                <w:sz w:val="19"/>
                <w:szCs w:val="19"/>
                <w:color w:val="auto"/>
              </w:rPr>
            </w:pPr>
          </w:p>
        </w:tc>
      </w:tr>
      <w:tr>
        <w:trPr>
          <w:trHeight w:val="217"/>
        </w:trPr>
        <w:tc>
          <w:tcPr>
            <w:tcW w:w="5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Less accumulated amortization</w:t>
            </w:r>
          </w:p>
        </w:tc>
        <w:tc>
          <w:tcPr>
            <w:tcW w:w="2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(108,337)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(94,232)</w:t>
            </w:r>
          </w:p>
        </w:tc>
      </w:tr>
      <w:tr>
        <w:trPr>
          <w:trHeight w:val="20"/>
        </w:trPr>
        <w:tc>
          <w:tcPr>
            <w:tcW w:w="59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2"/>
        </w:trPr>
        <w:tc>
          <w:tcPr>
            <w:tcW w:w="594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67,226</w:t>
            </w:r>
          </w:p>
        </w:tc>
        <w:tc>
          <w:tcPr>
            <w:tcW w:w="700" w:type="dxa"/>
            <w:vAlign w:val="bottom"/>
          </w:tcPr>
          <w:p>
            <w:pPr>
              <w:spacing w:after="0"/>
              <w:rPr>
                <w:sz w:val="19"/>
                <w:szCs w:val="19"/>
                <w:color w:val="auto"/>
              </w:rPr>
            </w:pP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81,889</w:t>
            </w:r>
          </w:p>
        </w:tc>
        <w:tc>
          <w:tcPr>
            <w:tcW w:w="120" w:type="dxa"/>
            <w:vAlign w:val="bottom"/>
          </w:tcPr>
          <w:p>
            <w:pPr>
              <w:spacing w:after="0"/>
              <w:rPr>
                <w:sz w:val="19"/>
                <w:szCs w:val="19"/>
                <w:color w:val="auto"/>
              </w:rPr>
            </w:pPr>
          </w:p>
        </w:tc>
      </w:tr>
      <w:tr>
        <w:trPr>
          <w:trHeight w:val="20"/>
        </w:trPr>
        <w:tc>
          <w:tcPr>
            <w:tcW w:w="59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1"/>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940" w:type="dxa"/>
            <w:vAlign w:val="bottom"/>
          </w:tcPr>
          <w:p>
            <w:pPr>
              <w:ind w:left="440"/>
              <w:spacing w:after="0"/>
              <w:rPr>
                <w:sz w:val="20"/>
                <w:szCs w:val="20"/>
                <w:color w:val="auto"/>
              </w:rPr>
            </w:pPr>
            <w:r>
              <w:rPr>
                <w:rFonts w:ascii="Arial" w:cs="Arial" w:eastAsia="Arial" w:hAnsi="Arial"/>
                <w:sz w:val="18"/>
                <w:szCs w:val="18"/>
                <w:color w:val="auto"/>
              </w:rPr>
              <w:t>Accrued vacation</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15,867</w:t>
            </w:r>
          </w:p>
        </w:tc>
        <w:tc>
          <w:tcPr>
            <w:tcW w:w="700" w:type="dxa"/>
            <w:vAlign w:val="bottom"/>
          </w:tcPr>
          <w:p>
            <w:pPr>
              <w:spacing w:after="0"/>
              <w:rPr>
                <w:sz w:val="18"/>
                <w:szCs w:val="18"/>
                <w:color w:val="auto"/>
              </w:rPr>
            </w:pP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15,600</w:t>
            </w:r>
          </w:p>
        </w:tc>
        <w:tc>
          <w:tcPr>
            <w:tcW w:w="120" w:type="dxa"/>
            <w:vAlign w:val="bottom"/>
          </w:tcPr>
          <w:p>
            <w:pPr>
              <w:spacing w:after="0"/>
              <w:rPr>
                <w:sz w:val="18"/>
                <w:szCs w:val="18"/>
                <w:color w:val="auto"/>
              </w:rPr>
            </w:pPr>
          </w:p>
        </w:tc>
      </w:tr>
      <w:tr>
        <w:trPr>
          <w:trHeight w:val="216"/>
        </w:trPr>
        <w:tc>
          <w:tcPr>
            <w:tcW w:w="5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employee compensation</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13,642</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18,804</w:t>
            </w:r>
          </w:p>
        </w:tc>
        <w:tc>
          <w:tcPr>
            <w:tcW w:w="120" w:type="dxa"/>
            <w:vAlign w:val="bottom"/>
            <w:shd w:val="clear" w:color="auto" w:fill="CCEEFF"/>
          </w:tcPr>
          <w:p>
            <w:pPr>
              <w:spacing w:after="0"/>
              <w:rPr>
                <w:sz w:val="18"/>
                <w:szCs w:val="18"/>
                <w:color w:val="auto"/>
              </w:rPr>
            </w:pPr>
          </w:p>
        </w:tc>
      </w:tr>
      <w:tr>
        <w:trPr>
          <w:trHeight w:val="216"/>
        </w:trPr>
        <w:tc>
          <w:tcPr>
            <w:tcW w:w="5940" w:type="dxa"/>
            <w:vAlign w:val="bottom"/>
          </w:tcPr>
          <w:p>
            <w:pPr>
              <w:ind w:left="440"/>
              <w:spacing w:after="0"/>
              <w:rPr>
                <w:sz w:val="20"/>
                <w:szCs w:val="20"/>
                <w:color w:val="auto"/>
              </w:rPr>
            </w:pPr>
            <w:r>
              <w:rPr>
                <w:rFonts w:ascii="Arial" w:cs="Arial" w:eastAsia="Arial" w:hAnsi="Arial"/>
                <w:sz w:val="18"/>
                <w:szCs w:val="18"/>
                <w:color w:val="auto"/>
              </w:rPr>
              <w:t>Collections in excess of revenues and deferred revenues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54,408</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61,916</w:t>
            </w:r>
          </w:p>
        </w:tc>
        <w:tc>
          <w:tcPr>
            <w:tcW w:w="120" w:type="dxa"/>
            <w:vAlign w:val="bottom"/>
          </w:tcPr>
          <w:p>
            <w:pPr>
              <w:spacing w:after="0"/>
              <w:rPr>
                <w:sz w:val="18"/>
                <w:szCs w:val="18"/>
                <w:color w:val="auto"/>
              </w:rPr>
            </w:pPr>
          </w:p>
        </w:tc>
      </w:tr>
      <w:tr>
        <w:trPr>
          <w:trHeight w:val="216"/>
        </w:trPr>
        <w:tc>
          <w:tcPr>
            <w:tcW w:w="5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settlement liability</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20,500</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18"/>
                <w:szCs w:val="18"/>
                <w:color w:val="auto"/>
              </w:rPr>
            </w:pPr>
          </w:p>
        </w:tc>
      </w:tr>
      <w:tr>
        <w:trPr>
          <w:trHeight w:val="216"/>
        </w:trPr>
        <w:tc>
          <w:tcPr>
            <w:tcW w:w="5940" w:type="dxa"/>
            <w:vAlign w:val="bottom"/>
          </w:tcPr>
          <w:p>
            <w:pPr>
              <w:ind w:left="440"/>
              <w:spacing w:after="0"/>
              <w:rPr>
                <w:sz w:val="20"/>
                <w:szCs w:val="20"/>
                <w:color w:val="auto"/>
              </w:rPr>
            </w:pPr>
            <w:r>
              <w:rPr>
                <w:rFonts w:ascii="Arial" w:cs="Arial" w:eastAsia="Arial" w:hAnsi="Arial"/>
                <w:sz w:val="18"/>
                <w:szCs w:val="18"/>
                <w:color w:val="auto"/>
              </w:rPr>
              <w:t>Warranty reserve, current portion</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7,245</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8,014</w:t>
            </w:r>
          </w:p>
        </w:tc>
        <w:tc>
          <w:tcPr>
            <w:tcW w:w="120" w:type="dxa"/>
            <w:vAlign w:val="bottom"/>
          </w:tcPr>
          <w:p>
            <w:pPr>
              <w:spacing w:after="0"/>
              <w:rPr>
                <w:sz w:val="18"/>
                <w:szCs w:val="18"/>
                <w:color w:val="auto"/>
              </w:rPr>
            </w:pPr>
          </w:p>
        </w:tc>
      </w:tr>
      <w:tr>
        <w:trPr>
          <w:trHeight w:val="216"/>
        </w:trPr>
        <w:tc>
          <w:tcPr>
            <w:tcW w:w="5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27,698</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25,749</w:t>
            </w:r>
          </w:p>
        </w:tc>
        <w:tc>
          <w:tcPr>
            <w:tcW w:w="120" w:type="dxa"/>
            <w:vAlign w:val="bottom"/>
            <w:shd w:val="clear" w:color="auto" w:fill="CCEEFF"/>
          </w:tcPr>
          <w:p>
            <w:pPr>
              <w:spacing w:after="0"/>
              <w:rPr>
                <w:sz w:val="18"/>
                <w:szCs w:val="18"/>
                <w:color w:val="auto"/>
              </w:rPr>
            </w:pPr>
          </w:p>
        </w:tc>
      </w:tr>
      <w:tr>
        <w:trPr>
          <w:trHeight w:val="222"/>
        </w:trPr>
        <w:tc>
          <w:tcPr>
            <w:tcW w:w="594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139,360</w:t>
            </w:r>
          </w:p>
        </w:tc>
        <w:tc>
          <w:tcPr>
            <w:tcW w:w="700" w:type="dxa"/>
            <w:vAlign w:val="bottom"/>
          </w:tcPr>
          <w:p>
            <w:pPr>
              <w:spacing w:after="0"/>
              <w:rPr>
                <w:sz w:val="19"/>
                <w:szCs w:val="19"/>
                <w:color w:val="auto"/>
              </w:rPr>
            </w:pP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130,583</w:t>
            </w:r>
          </w:p>
        </w:tc>
        <w:tc>
          <w:tcPr>
            <w:tcW w:w="120" w:type="dxa"/>
            <w:vAlign w:val="bottom"/>
          </w:tcPr>
          <w:p>
            <w:pPr>
              <w:spacing w:after="0"/>
              <w:rPr>
                <w:sz w:val="19"/>
                <w:szCs w:val="19"/>
                <w:color w:val="auto"/>
              </w:rPr>
            </w:pPr>
          </w:p>
        </w:tc>
      </w:tr>
      <w:tr>
        <w:trPr>
          <w:trHeight w:val="20"/>
        </w:trPr>
        <w:tc>
          <w:tcPr>
            <w:tcW w:w="59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1"/>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940" w:type="dxa"/>
            <w:vAlign w:val="bottom"/>
          </w:tcPr>
          <w:p>
            <w:pPr>
              <w:ind w:left="440"/>
              <w:spacing w:after="0"/>
              <w:rPr>
                <w:sz w:val="20"/>
                <w:szCs w:val="20"/>
                <w:color w:val="auto"/>
              </w:rPr>
            </w:pPr>
            <w:r>
              <w:rPr>
                <w:rFonts w:ascii="Arial" w:cs="Arial" w:eastAsia="Arial" w:hAnsi="Arial"/>
                <w:sz w:val="18"/>
                <w:szCs w:val="18"/>
                <w:color w:val="auto"/>
              </w:rPr>
              <w:t>Unrecognized tax position liabilities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2,217</w:t>
            </w:r>
          </w:p>
        </w:tc>
        <w:tc>
          <w:tcPr>
            <w:tcW w:w="700" w:type="dxa"/>
            <w:vAlign w:val="bottom"/>
          </w:tcPr>
          <w:p>
            <w:pPr>
              <w:spacing w:after="0"/>
              <w:rPr>
                <w:sz w:val="18"/>
                <w:szCs w:val="18"/>
                <w:color w:val="auto"/>
              </w:rPr>
            </w:pP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2,217</w:t>
            </w:r>
          </w:p>
        </w:tc>
        <w:tc>
          <w:tcPr>
            <w:tcW w:w="120" w:type="dxa"/>
            <w:vAlign w:val="bottom"/>
          </w:tcPr>
          <w:p>
            <w:pPr>
              <w:spacing w:after="0"/>
              <w:rPr>
                <w:sz w:val="18"/>
                <w:szCs w:val="18"/>
                <w:color w:val="auto"/>
              </w:rPr>
            </w:pPr>
          </w:p>
        </w:tc>
      </w:tr>
      <w:tr>
        <w:trPr>
          <w:trHeight w:val="216"/>
        </w:trPr>
        <w:tc>
          <w:tcPr>
            <w:tcW w:w="5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rent, long-term portion</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7,185</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6,267</w:t>
            </w:r>
          </w:p>
        </w:tc>
        <w:tc>
          <w:tcPr>
            <w:tcW w:w="120" w:type="dxa"/>
            <w:vAlign w:val="bottom"/>
            <w:shd w:val="clear" w:color="auto" w:fill="CCEEFF"/>
          </w:tcPr>
          <w:p>
            <w:pPr>
              <w:spacing w:after="0"/>
              <w:rPr>
                <w:sz w:val="18"/>
                <w:szCs w:val="18"/>
                <w:color w:val="auto"/>
              </w:rPr>
            </w:pPr>
          </w:p>
        </w:tc>
      </w:tr>
      <w:tr>
        <w:trPr>
          <w:trHeight w:val="216"/>
        </w:trPr>
        <w:tc>
          <w:tcPr>
            <w:tcW w:w="5940" w:type="dxa"/>
            <w:vAlign w:val="bottom"/>
          </w:tcPr>
          <w:p>
            <w:pPr>
              <w:ind w:left="440"/>
              <w:spacing w:after="0"/>
              <w:rPr>
                <w:sz w:val="20"/>
                <w:szCs w:val="20"/>
                <w:color w:val="auto"/>
              </w:rPr>
            </w:pPr>
            <w:r>
              <w:rPr>
                <w:rFonts w:ascii="Arial" w:cs="Arial" w:eastAsia="Arial" w:hAnsi="Arial"/>
                <w:sz w:val="18"/>
                <w:szCs w:val="18"/>
                <w:color w:val="auto"/>
              </w:rPr>
              <w:t>Deferred revenue, long-term portion</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7,624</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6,960</w:t>
            </w:r>
          </w:p>
        </w:tc>
        <w:tc>
          <w:tcPr>
            <w:tcW w:w="120" w:type="dxa"/>
            <w:vAlign w:val="bottom"/>
          </w:tcPr>
          <w:p>
            <w:pPr>
              <w:spacing w:after="0"/>
              <w:rPr>
                <w:sz w:val="18"/>
                <w:szCs w:val="18"/>
                <w:color w:val="auto"/>
              </w:rPr>
            </w:pPr>
          </w:p>
        </w:tc>
      </w:tr>
      <w:tr>
        <w:trPr>
          <w:trHeight w:val="216"/>
        </w:trPr>
        <w:tc>
          <w:tcPr>
            <w:tcW w:w="5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income taxes, long-term portion</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2,786</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3,374</w:t>
            </w:r>
          </w:p>
        </w:tc>
        <w:tc>
          <w:tcPr>
            <w:tcW w:w="120" w:type="dxa"/>
            <w:vAlign w:val="bottom"/>
            <w:shd w:val="clear" w:color="auto" w:fill="CCEEFF"/>
          </w:tcPr>
          <w:p>
            <w:pPr>
              <w:spacing w:after="0"/>
              <w:rPr>
                <w:sz w:val="18"/>
                <w:szCs w:val="18"/>
                <w:color w:val="auto"/>
              </w:rPr>
            </w:pPr>
          </w:p>
        </w:tc>
      </w:tr>
      <w:tr>
        <w:trPr>
          <w:trHeight w:val="216"/>
        </w:trPr>
        <w:tc>
          <w:tcPr>
            <w:tcW w:w="5940" w:type="dxa"/>
            <w:vAlign w:val="bottom"/>
          </w:tcPr>
          <w:p>
            <w:pPr>
              <w:ind w:left="440"/>
              <w:spacing w:after="0"/>
              <w:rPr>
                <w:sz w:val="20"/>
                <w:szCs w:val="20"/>
                <w:color w:val="auto"/>
              </w:rPr>
            </w:pPr>
            <w:r>
              <w:rPr>
                <w:rFonts w:ascii="Arial" w:cs="Arial" w:eastAsia="Arial" w:hAnsi="Arial"/>
                <w:sz w:val="18"/>
                <w:szCs w:val="18"/>
                <w:color w:val="auto"/>
              </w:rPr>
              <w:t>Warranty reserve, long-term portion</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4,713</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4,928</w:t>
            </w:r>
          </w:p>
        </w:tc>
        <w:tc>
          <w:tcPr>
            <w:tcW w:w="120" w:type="dxa"/>
            <w:vAlign w:val="bottom"/>
          </w:tcPr>
          <w:p>
            <w:pPr>
              <w:spacing w:after="0"/>
              <w:rPr>
                <w:sz w:val="18"/>
                <w:szCs w:val="18"/>
                <w:color w:val="auto"/>
              </w:rPr>
            </w:pPr>
          </w:p>
        </w:tc>
      </w:tr>
      <w:tr>
        <w:trPr>
          <w:trHeight w:val="216"/>
        </w:trPr>
        <w:tc>
          <w:tcPr>
            <w:tcW w:w="5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20,717</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18"/>
                <w:szCs w:val="18"/>
                <w:color w:val="auto"/>
              </w:rPr>
            </w:pPr>
          </w:p>
        </w:tc>
      </w:tr>
      <w:tr>
        <w:trPr>
          <w:trHeight w:val="222"/>
        </w:trPr>
        <w:tc>
          <w:tcPr>
            <w:tcW w:w="594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45,242</w:t>
            </w:r>
          </w:p>
        </w:tc>
        <w:tc>
          <w:tcPr>
            <w:tcW w:w="700" w:type="dxa"/>
            <w:vAlign w:val="bottom"/>
          </w:tcPr>
          <w:p>
            <w:pPr>
              <w:spacing w:after="0"/>
              <w:rPr>
                <w:sz w:val="19"/>
                <w:szCs w:val="19"/>
                <w:color w:val="auto"/>
              </w:rPr>
            </w:pP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23,842</w:t>
            </w:r>
          </w:p>
        </w:tc>
        <w:tc>
          <w:tcPr>
            <w:tcW w:w="120" w:type="dxa"/>
            <w:vAlign w:val="bottom"/>
          </w:tcPr>
          <w:p>
            <w:pPr>
              <w:spacing w:after="0"/>
              <w:rPr>
                <w:sz w:val="19"/>
                <w:szCs w:val="19"/>
                <w:color w:val="auto"/>
              </w:rPr>
            </w:pPr>
          </w:p>
        </w:tc>
      </w:tr>
      <w:tr>
        <w:trPr>
          <w:trHeight w:val="20"/>
        </w:trPr>
        <w:tc>
          <w:tcPr>
            <w:tcW w:w="59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 Measurements</w:t>
      </w:r>
    </w:p>
    <w:p>
      <w:pPr>
        <w:spacing w:after="0" w:line="9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In accordance with the authoritative guidance for financial assets and liabilities measured at fair value on a recurring basis (ASC 820), the Company prioritizes the inputs used to measure fair value from market-based assumptions to entity specific assumptions:</w:t>
      </w:r>
    </w:p>
    <w:p>
      <w:pPr>
        <w:spacing w:after="0" w:line="51" w:lineRule="exact"/>
        <w:rPr>
          <w:sz w:val="20"/>
          <w:szCs w:val="20"/>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 Inputs based on quoted market prices for identical assets or liabilities in active markets at the measurement date.</w:t>
      </w:r>
    </w:p>
    <w:p>
      <w:pPr>
        <w:spacing w:after="0" w:line="90" w:lineRule="exact"/>
        <w:rPr>
          <w:rFonts w:ascii="Arial" w:cs="Arial" w:eastAsia="Arial" w:hAnsi="Arial"/>
          <w:sz w:val="18"/>
          <w:szCs w:val="18"/>
          <w:color w:val="auto"/>
        </w:rPr>
      </w:pPr>
    </w:p>
    <w:p>
      <w:pPr>
        <w:ind w:left="440" w:right="40" w:hanging="324"/>
        <w:spacing w:after="0" w:line="259"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 —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59" w:lineRule="exact"/>
        <w:rPr>
          <w:rFonts w:ascii="Arial" w:cs="Arial" w:eastAsia="Arial" w:hAnsi="Arial"/>
          <w:sz w:val="18"/>
          <w:szCs w:val="18"/>
          <w:color w:val="auto"/>
        </w:rPr>
      </w:pPr>
    </w:p>
    <w:p>
      <w:pPr>
        <w:ind w:left="440" w:hanging="324"/>
        <w:spacing w:after="0" w:line="268"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 — Inputs which reflect management’s best estimate of what market participants would use in pricing the asset or liability at the measurement date. The inputs are unobservable in the market and significant to the instruments valuation.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tables present the Company’s hierarchy for its assets and liabilities measured at fair value on a recurring basis as of December 30, 2011 and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April 1, 2011:</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w w:val="86"/>
              </w:rPr>
              <w:t>Fair Value as of</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w w:val="84"/>
              </w:rPr>
              <w:t>December 30, 2011</w:t>
            </w:r>
          </w:p>
        </w:tc>
        <w:tc>
          <w:tcPr>
            <w:tcW w:w="540" w:type="dxa"/>
            <w:vAlign w:val="bottom"/>
          </w:tcPr>
          <w:p>
            <w:pPr>
              <w:spacing w:after="0"/>
              <w:rPr>
                <w:sz w:val="14"/>
                <w:szCs w:val="14"/>
                <w:color w:val="auto"/>
              </w:rPr>
            </w:pPr>
          </w:p>
        </w:tc>
        <w:tc>
          <w:tcPr>
            <w:tcW w:w="104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w w:val="92"/>
              </w:rPr>
              <w:t>Level 1</w:t>
            </w: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2</w:t>
            </w:r>
          </w:p>
        </w:tc>
        <w:tc>
          <w:tcPr>
            <w:tcW w:w="520" w:type="dxa"/>
            <w:vAlign w:val="bottom"/>
            <w:gridSpan w:val="2"/>
          </w:tcPr>
          <w:p>
            <w:pPr>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gridSpan w:val="4"/>
          </w:tcPr>
          <w:p>
            <w:pPr>
              <w:jc w:val="right"/>
              <w:ind w:right="220"/>
              <w:spacing w:after="0" w:line="142" w:lineRule="exact"/>
              <w:rPr>
                <w:sz w:val="20"/>
                <w:szCs w:val="20"/>
                <w:color w:val="auto"/>
              </w:rPr>
            </w:pPr>
            <w:r>
              <w:rPr>
                <w:rFonts w:ascii="Arial" w:cs="Arial" w:eastAsia="Arial" w:hAnsi="Arial"/>
                <w:sz w:val="14"/>
                <w:szCs w:val="14"/>
                <w:b w:val="1"/>
                <w:bCs w:val="1"/>
                <w:color w:val="auto"/>
              </w:rPr>
              <w:t>(In thousands)</w:t>
            </w:r>
          </w:p>
        </w:tc>
        <w:tc>
          <w:tcPr>
            <w:tcW w:w="4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420"/>
              <w:spacing w:after="0"/>
              <w:rPr>
                <w:sz w:val="20"/>
                <w:szCs w:val="20"/>
                <w:color w:val="auto"/>
              </w:rPr>
            </w:pPr>
            <w:r>
              <w:rPr>
                <w:rFonts w:ascii="Arial" w:cs="Arial" w:eastAsia="Arial" w:hAnsi="Arial"/>
                <w:sz w:val="18"/>
                <w:szCs w:val="18"/>
                <w:color w:val="auto"/>
              </w:rPr>
              <w:t>Cash equivalents</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2,083</w:t>
            </w:r>
          </w:p>
        </w:tc>
        <w:tc>
          <w:tcPr>
            <w:tcW w:w="5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40" w:type="dxa"/>
            <w:vAlign w:val="bottom"/>
            <w:gridSpan w:val="2"/>
          </w:tcPr>
          <w:p>
            <w:pPr>
              <w:jc w:val="right"/>
              <w:ind w:right="540"/>
              <w:spacing w:after="0"/>
              <w:rPr>
                <w:sz w:val="20"/>
                <w:szCs w:val="20"/>
                <w:color w:val="auto"/>
              </w:rPr>
            </w:pPr>
            <w:r>
              <w:rPr>
                <w:rFonts w:ascii="Arial" w:cs="Arial" w:eastAsia="Arial" w:hAnsi="Arial"/>
                <w:sz w:val="18"/>
                <w:szCs w:val="18"/>
                <w:color w:val="auto"/>
                <w:w w:val="84"/>
              </w:rPr>
              <w:t>2,083</w:t>
            </w:r>
          </w:p>
        </w:tc>
        <w:tc>
          <w:tcPr>
            <w:tcW w:w="960" w:type="dxa"/>
            <w:vAlign w:val="bottom"/>
            <w:gridSpan w:val="2"/>
          </w:tcPr>
          <w:p>
            <w:pPr>
              <w:spacing w:after="0"/>
              <w:rPr>
                <w:sz w:val="20"/>
                <w:szCs w:val="20"/>
                <w:color w:val="auto"/>
              </w:rPr>
            </w:pPr>
            <w:r>
              <w:rPr>
                <w:rFonts w:ascii="Arial" w:cs="Arial" w:eastAsia="Arial" w:hAnsi="Arial"/>
                <w:sz w:val="18"/>
                <w:szCs w:val="18"/>
                <w:color w:val="auto"/>
              </w:rPr>
              <w:t>$ —</w:t>
            </w:r>
          </w:p>
        </w:tc>
        <w:tc>
          <w:tcPr>
            <w:tcW w:w="520" w:type="dxa"/>
            <w:vAlign w:val="bottom"/>
            <w:gridSpan w:val="2"/>
          </w:tcPr>
          <w:p>
            <w:pPr>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Total assets measured at fair value on a recurring basis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4"/>
              </w:rPr>
              <w:t>2,083</w:t>
            </w:r>
          </w:p>
        </w:tc>
        <w:tc>
          <w:tcPr>
            <w:tcW w:w="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w:t>
            </w:r>
          </w:p>
        </w:tc>
        <w:tc>
          <w:tcPr>
            <w:tcW w:w="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6360" w:type="dxa"/>
            <w:vAlign w:val="bottom"/>
            <w:gridSpan w:val="2"/>
            <w:vMerge w:val="restart"/>
          </w:tcPr>
          <w:p>
            <w:pPr>
              <w:spacing w:after="0"/>
              <w:rPr>
                <w:sz w:val="20"/>
                <w:szCs w:val="20"/>
                <w:color w:val="auto"/>
              </w:rPr>
            </w:pPr>
            <w:r>
              <w:rPr>
                <w:rFonts w:ascii="Arial" w:cs="Arial" w:eastAsia="Arial" w:hAnsi="Arial"/>
                <w:sz w:val="18"/>
                <w:szCs w:val="18"/>
                <w:color w:val="auto"/>
              </w:rPr>
              <w:t>Liabilities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forward contracts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$ 669</w:t>
            </w:r>
          </w:p>
        </w:tc>
        <w:tc>
          <w:tcPr>
            <w:tcW w:w="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6360" w:type="dxa"/>
            <w:vAlign w:val="bottom"/>
            <w:gridSpan w:val="2"/>
            <w:vMerge w:val="restart"/>
          </w:tcPr>
          <w:p>
            <w:pPr>
              <w:spacing w:after="0"/>
              <w:rPr>
                <w:sz w:val="20"/>
                <w:szCs w:val="20"/>
                <w:color w:val="auto"/>
              </w:rPr>
            </w:pPr>
            <w:r>
              <w:rPr>
                <w:rFonts w:ascii="Arial" w:cs="Arial" w:eastAsia="Arial" w:hAnsi="Arial"/>
                <w:sz w:val="18"/>
                <w:szCs w:val="18"/>
                <w:color w:val="auto"/>
              </w:rPr>
              <w:t>Total liabilities measured at fair value on a recurring basis</w:t>
            </w: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360" w:type="dxa"/>
            <w:vAlign w:val="bottom"/>
            <w:gridSpan w:val="2"/>
            <w:vMerge w:val="continue"/>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669</w:t>
            </w:r>
          </w:p>
        </w:tc>
        <w:tc>
          <w:tcPr>
            <w:tcW w:w="5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960" w:type="dxa"/>
            <w:vAlign w:val="bottom"/>
            <w:gridSpan w:val="2"/>
          </w:tcPr>
          <w:p>
            <w:pPr>
              <w:spacing w:after="0"/>
              <w:rPr>
                <w:sz w:val="20"/>
                <w:szCs w:val="20"/>
                <w:color w:val="auto"/>
              </w:rPr>
            </w:pPr>
            <w:r>
              <w:rPr>
                <w:rFonts w:ascii="Arial" w:cs="Arial" w:eastAsia="Arial" w:hAnsi="Arial"/>
                <w:sz w:val="18"/>
                <w:szCs w:val="18"/>
                <w:color w:val="auto"/>
              </w:rPr>
              <w:t>$ 669</w:t>
            </w:r>
          </w:p>
        </w:tc>
        <w:tc>
          <w:tcPr>
            <w:tcW w:w="520" w:type="dxa"/>
            <w:vAlign w:val="bottom"/>
            <w:gridSpan w:val="2"/>
          </w:tcPr>
          <w:p>
            <w:pPr>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ectPr>
          <w:pgSz w:w="11900" w:h="16838" w:orient="portrait"/>
          <w:cols w:equalWidth="0" w:num="1">
            <w:col w:w="11320"/>
          </w:cols>
          <w:pgMar w:left="240" w:top="459" w:right="339" w:bottom="1440" w:gutter="0" w:footer="0" w:header="0"/>
        </w:sectPr>
      </w:pPr>
    </w:p>
    <w:p>
      <w:pPr>
        <w:jc w:val="center"/>
        <w:ind w:right="-9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320"/>
          </w:cols>
          <w:pgMar w:left="240" w:top="459" w:right="33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84"/>
              </w:rPr>
              <w:t>Fair Value as of</w:t>
            </w: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654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w w:val="96"/>
              </w:rPr>
              <w:t>April 1, 2011</w:t>
            </w:r>
          </w:p>
        </w:tc>
        <w:tc>
          <w:tcPr>
            <w:tcW w:w="540" w:type="dxa"/>
            <w:vAlign w:val="bottom"/>
          </w:tcPr>
          <w:p>
            <w:pPr>
              <w:spacing w:after="0"/>
              <w:rPr>
                <w:sz w:val="14"/>
                <w:szCs w:val="14"/>
                <w:color w:val="auto"/>
              </w:rPr>
            </w:pPr>
          </w:p>
        </w:tc>
        <w:tc>
          <w:tcPr>
            <w:tcW w:w="9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8"/>
              </w:rPr>
              <w:t>Level 1</w:t>
            </w:r>
          </w:p>
        </w:tc>
        <w:tc>
          <w:tcPr>
            <w:tcW w:w="60" w:type="dxa"/>
            <w:vAlign w:val="bottom"/>
          </w:tcPr>
          <w:p>
            <w:pPr>
              <w:spacing w:after="0"/>
              <w:rPr>
                <w:sz w:val="14"/>
                <w:szCs w:val="14"/>
                <w:color w:val="auto"/>
              </w:rPr>
            </w:pPr>
          </w:p>
        </w:tc>
        <w:tc>
          <w:tcPr>
            <w:tcW w:w="420" w:type="dxa"/>
            <w:vAlign w:val="bottom"/>
          </w:tcPr>
          <w:p>
            <w:pPr>
              <w:spacing w:after="0"/>
              <w:rPr>
                <w:sz w:val="20"/>
                <w:szCs w:val="20"/>
                <w:color w:val="auto"/>
              </w:rPr>
            </w:pPr>
            <w:r>
              <w:rPr>
                <w:rFonts w:ascii="Arial" w:cs="Arial" w:eastAsia="Arial" w:hAnsi="Arial"/>
                <w:sz w:val="14"/>
                <w:szCs w:val="14"/>
                <w:b w:val="1"/>
                <w:bCs w:val="1"/>
                <w:color w:val="auto"/>
                <w:w w:val="84"/>
              </w:rPr>
              <w:t>Level 2</w:t>
            </w:r>
          </w:p>
        </w:tc>
        <w:tc>
          <w:tcPr>
            <w:tcW w:w="540" w:type="dxa"/>
            <w:vAlign w:val="bottom"/>
          </w:tcPr>
          <w:p>
            <w:pPr>
              <w:spacing w:after="0"/>
              <w:rPr>
                <w:sz w:val="14"/>
                <w:szCs w:val="14"/>
                <w:color w:val="auto"/>
              </w:rPr>
            </w:pPr>
          </w:p>
        </w:tc>
        <w:tc>
          <w:tcPr>
            <w:tcW w:w="520" w:type="dxa"/>
            <w:vAlign w:val="bottom"/>
            <w:gridSpan w:val="2"/>
          </w:tcPr>
          <w:p>
            <w:pPr>
              <w:spacing w:after="0"/>
              <w:rPr>
                <w:sz w:val="20"/>
                <w:szCs w:val="20"/>
                <w:color w:val="auto"/>
              </w:rPr>
            </w:pPr>
            <w:r>
              <w:rPr>
                <w:rFonts w:ascii="Arial" w:cs="Arial" w:eastAsia="Arial" w:hAnsi="Arial"/>
                <w:sz w:val="14"/>
                <w:szCs w:val="14"/>
                <w:b w:val="1"/>
                <w:bCs w:val="1"/>
                <w:color w:val="auto"/>
              </w:rPr>
              <w:t>Level 3</w:t>
            </w:r>
          </w:p>
        </w:tc>
      </w:tr>
      <w:tr>
        <w:trPr>
          <w:trHeight w:val="142"/>
        </w:trPr>
        <w:tc>
          <w:tcPr>
            <w:tcW w:w="654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40" w:type="dxa"/>
            <w:vAlign w:val="bottom"/>
          </w:tcPr>
          <w:p>
            <w:pPr>
              <w:ind w:left="440"/>
              <w:spacing w:after="0"/>
              <w:rPr>
                <w:sz w:val="20"/>
                <w:szCs w:val="20"/>
                <w:color w:val="auto"/>
              </w:rPr>
            </w:pPr>
            <w:r>
              <w:rPr>
                <w:rFonts w:ascii="Arial" w:cs="Arial" w:eastAsia="Arial" w:hAnsi="Arial"/>
                <w:sz w:val="18"/>
                <w:szCs w:val="18"/>
                <w:color w:val="auto"/>
              </w:rPr>
              <w:t>Cash equivalents</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4,488</w:t>
            </w:r>
          </w:p>
        </w:tc>
        <w:tc>
          <w:tcPr>
            <w:tcW w:w="1520" w:type="dxa"/>
            <w:vAlign w:val="bottom"/>
            <w:gridSpan w:val="3"/>
          </w:tcPr>
          <w:p>
            <w:pPr>
              <w:jc w:val="center"/>
              <w:spacing w:after="0"/>
              <w:rPr>
                <w:sz w:val="20"/>
                <w:szCs w:val="20"/>
                <w:color w:val="auto"/>
              </w:rPr>
            </w:pPr>
            <w:r>
              <w:rPr>
                <w:rFonts w:ascii="Arial" w:cs="Arial" w:eastAsia="Arial" w:hAnsi="Arial"/>
                <w:sz w:val="18"/>
                <w:szCs w:val="18"/>
                <w:color w:val="auto"/>
                <w:w w:val="90"/>
              </w:rPr>
              <w:t>$4,488</w:t>
            </w:r>
          </w:p>
        </w:tc>
        <w:tc>
          <w:tcPr>
            <w:tcW w:w="480" w:type="dxa"/>
            <w:vAlign w:val="bottom"/>
            <w:gridSpan w:val="2"/>
          </w:tcPr>
          <w:p>
            <w:pPr>
              <w:ind w:left="60"/>
              <w:spacing w:after="0"/>
              <w:rPr>
                <w:sz w:val="20"/>
                <w:szCs w:val="20"/>
                <w:color w:val="auto"/>
              </w:rPr>
            </w:pPr>
            <w:r>
              <w:rPr>
                <w:rFonts w:ascii="Arial" w:cs="Arial" w:eastAsia="Arial" w:hAnsi="Arial"/>
                <w:sz w:val="18"/>
                <w:szCs w:val="18"/>
                <w:color w:val="auto"/>
              </w:rPr>
              <w:t>$ —</w:t>
            </w:r>
          </w:p>
        </w:tc>
        <w:tc>
          <w:tcPr>
            <w:tcW w:w="54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w w:val="96"/>
              </w:rPr>
              <w:t>$ —</w:t>
            </w:r>
          </w:p>
        </w:tc>
      </w:tr>
      <w:tr>
        <w:trPr>
          <w:trHeight w:val="216"/>
        </w:trPr>
        <w:tc>
          <w:tcPr>
            <w:tcW w:w="6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Foreign currency forward contracts</w:t>
            </w:r>
          </w:p>
        </w:tc>
        <w:tc>
          <w:tcPr>
            <w:tcW w:w="2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5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5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6540" w:type="dxa"/>
            <w:vAlign w:val="bottom"/>
          </w:tcPr>
          <w:p>
            <w:pPr>
              <w:spacing w:after="0"/>
              <w:rPr>
                <w:sz w:val="20"/>
                <w:szCs w:val="20"/>
                <w:color w:val="auto"/>
              </w:rPr>
            </w:pPr>
            <w:r>
              <w:rPr>
                <w:rFonts w:ascii="Arial" w:cs="Arial" w:eastAsia="Arial" w:hAnsi="Arial"/>
                <w:sz w:val="18"/>
                <w:szCs w:val="18"/>
                <w:color w:val="auto"/>
              </w:rPr>
              <w:t>Total assets measured at fair value on a recurring basis</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4,670</w:t>
            </w:r>
          </w:p>
        </w:tc>
        <w:tc>
          <w:tcPr>
            <w:tcW w:w="1520" w:type="dxa"/>
            <w:vAlign w:val="bottom"/>
            <w:gridSpan w:val="3"/>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4,488</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$ 182</w:t>
            </w:r>
          </w:p>
        </w:tc>
        <w:tc>
          <w:tcPr>
            <w:tcW w:w="54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w w:val="96"/>
              </w:rPr>
              <w:t>$ —</w:t>
            </w:r>
          </w:p>
        </w:tc>
      </w:tr>
      <w:tr>
        <w:trPr>
          <w:trHeight w:val="20"/>
        </w:trPr>
        <w:tc>
          <w:tcPr>
            <w:tcW w:w="65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section describes the valuation methodologies the Company uses to measure financial instruments at fair value:</w:t>
      </w:r>
    </w:p>
    <w:p>
      <w:pPr>
        <w:spacing w:after="0" w:line="171"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i w:val="1"/>
          <w:iCs w:val="1"/>
          <w:color w:val="auto"/>
        </w:rPr>
        <w:t xml:space="preserve">Cash equivalents </w:t>
      </w:r>
      <w:r>
        <w:rPr>
          <w:rFonts w:ascii="Arial" w:cs="Arial" w:eastAsia="Arial" w:hAnsi="Arial"/>
          <w:sz w:val="18"/>
          <w:szCs w:val="18"/>
          <w:color w:val="auto"/>
        </w:rPr>
        <w:t>— The Company’s cash equivalents consist of money market funds. Money market funds are valued using quoted prices for identical</w:t>
      </w:r>
      <w:r>
        <w:rPr>
          <w:rFonts w:ascii="Arial" w:cs="Arial" w:eastAsia="Arial" w:hAnsi="Arial"/>
          <w:sz w:val="18"/>
          <w:szCs w:val="18"/>
          <w:i w:val="1"/>
          <w:iCs w:val="1"/>
          <w:color w:val="auto"/>
        </w:rPr>
        <w:t xml:space="preserve"> </w:t>
      </w:r>
      <w:r>
        <w:rPr>
          <w:rFonts w:ascii="Arial" w:cs="Arial" w:eastAsia="Arial" w:hAnsi="Arial"/>
          <w:sz w:val="18"/>
          <w:szCs w:val="18"/>
          <w:color w:val="auto"/>
        </w:rPr>
        <w:t>assets in an active market with sufficient volume and frequency of transactions.</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 xml:space="preserve">Foreign currency forward contracts </w:t>
      </w:r>
      <w:r>
        <w:rPr>
          <w:rFonts w:ascii="Arial" w:cs="Arial" w:eastAsia="Arial" w:hAnsi="Arial"/>
          <w:sz w:val="16"/>
          <w:szCs w:val="16"/>
          <w:color w:val="auto"/>
        </w:rPr>
        <w:t>— The Company uses derivative financial instruments to manage foreign currency risk relating to foreign exchange</w:t>
      </w:r>
      <w:r>
        <w:rPr>
          <w:rFonts w:ascii="Arial" w:cs="Arial" w:eastAsia="Arial" w:hAnsi="Arial"/>
          <w:sz w:val="16"/>
          <w:szCs w:val="16"/>
          <w:i w:val="1"/>
          <w:iCs w:val="1"/>
          <w:color w:val="auto"/>
        </w:rPr>
        <w:t xml:space="preserve"> </w:t>
      </w:r>
      <w:r>
        <w:rPr>
          <w:rFonts w:ascii="Arial" w:cs="Arial" w:eastAsia="Arial" w:hAnsi="Arial"/>
          <w:sz w:val="16"/>
          <w:szCs w:val="16"/>
          <w:color w:val="auto"/>
        </w:rPr>
        <w:t>rates. The Company does not use these instruments for speculative or trading purposes. The Company’s objective is to reduce the risk to earnings and cash flows associated with changes in foreign currency exchange rates. Derivative instruments are recognized as either assets or liabilities in the accompanying condensed consolidated financial statements and are measured at fair value. Gains and losses resulting from changes in the fair values of those derivative instruments are recorded to earnings or other comprehensive income (loss) depending on the use of the derivative instrument and whether it qualifies for hedge accounting. The Company’s foreign currency forward contracts are valued using quoted prices for similar assets and liabilities in active markets or other inputs that are observable or can be corroborated by observable market data.</w:t>
      </w:r>
    </w:p>
    <w:p>
      <w:pPr>
        <w:spacing w:after="0" w:line="118" w:lineRule="exact"/>
        <w:rPr>
          <w:sz w:val="20"/>
          <w:szCs w:val="20"/>
          <w:color w:val="auto"/>
        </w:rPr>
      </w:pPr>
    </w:p>
    <w:p>
      <w:pPr>
        <w:ind w:right="320" w:firstLine="456"/>
        <w:spacing w:after="0" w:line="305" w:lineRule="auto"/>
        <w:rPr>
          <w:sz w:val="20"/>
          <w:szCs w:val="20"/>
          <w:color w:val="auto"/>
        </w:rPr>
      </w:pPr>
      <w:r>
        <w:rPr>
          <w:rFonts w:ascii="Arial" w:cs="Arial" w:eastAsia="Arial" w:hAnsi="Arial"/>
          <w:sz w:val="15"/>
          <w:szCs w:val="15"/>
          <w:i w:val="1"/>
          <w:iCs w:val="1"/>
          <w:color w:val="auto"/>
        </w:rPr>
        <w:t xml:space="preserve">Long-term debt </w:t>
      </w:r>
      <w:r>
        <w:rPr>
          <w:rFonts w:ascii="Arial" w:cs="Arial" w:eastAsia="Arial" w:hAnsi="Arial"/>
          <w:sz w:val="15"/>
          <w:szCs w:val="15"/>
          <w:color w:val="auto"/>
        </w:rPr>
        <w:t>— The Company’s long-term debt consists of borrowings under (1) the revolving credit facility (the Credit Facility) reported at the</w:t>
      </w:r>
      <w:r>
        <w:rPr>
          <w:rFonts w:ascii="Arial" w:cs="Arial" w:eastAsia="Arial" w:hAnsi="Arial"/>
          <w:sz w:val="15"/>
          <w:szCs w:val="15"/>
          <w:i w:val="1"/>
          <w:iCs w:val="1"/>
          <w:color w:val="auto"/>
        </w:rPr>
        <w:t xml:space="preserve"> </w:t>
      </w:r>
      <w:r>
        <w:rPr>
          <w:rFonts w:ascii="Arial" w:cs="Arial" w:eastAsia="Arial" w:hAnsi="Arial"/>
          <w:sz w:val="15"/>
          <w:szCs w:val="15"/>
          <w:color w:val="auto"/>
        </w:rPr>
        <w:t>borrowed outstanding amount, (2) capital lease obligations reported at the present value of future minimum lease payments with current accrued interest, and</w:t>
      </w:r>
    </w:p>
    <w:p>
      <w:pPr>
        <w:ind w:firstLine="8"/>
        <w:spacing w:after="0" w:line="253" w:lineRule="auto"/>
        <w:tabs>
          <w:tab w:leader="none" w:pos="249"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Company’s 8.875% Senior Notes due 2016 (the Notes) reported at amortized cost. However, for disclosure purposes, the Company is required to measure the fair value of outstanding debt on a recurring basis. The fair value of the Company’s outstanding long-term debt related to the Notes is determined using quoted prices in active markets and was approximately $281.9 million and $293.6 million as of December 30, 2011 and April 1, 2011, respectively. The fair value of the Company’s long-term debt related to the Credit Facility approximates its carrying amount due to its variable interest rate on the revolving line of credit, which approximates a market interest rate.</w:t>
      </w:r>
    </w:p>
    <w:p>
      <w:pPr>
        <w:spacing w:after="0" w:line="14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 xml:space="preserve">Orbital performance incentives </w:t>
      </w:r>
      <w:r>
        <w:rPr>
          <w:rFonts w:ascii="Arial" w:cs="Arial" w:eastAsia="Arial" w:hAnsi="Arial"/>
          <w:sz w:val="16"/>
          <w:szCs w:val="16"/>
          <w:color w:val="auto"/>
        </w:rPr>
        <w:t>— The Company’s contract with the manufacturer of ViaSat-1 requires the Company to make monthly in-orbit</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incentive payments, including interest at 7.00%, over a fifteen-year period, commencing from the transfer of title of the satellite to the Company, subject to the continued satisfactory performance of the satellite. The Company recorded the net present value of these expected future payments as a liability and as a component of the cost of the satellite. However, for disclosure purposes, the Company is required to measure the fair value of outstanding orbital performance incentives on a recurring basis. The fair value of the Company’s outstanding orbital performance incentives approximates its carrying amount.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Shares Used In Computing Diluted Net Income Per Share</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2760" w:type="dxa"/>
            <w:vAlign w:val="bottom"/>
            <w:gridSpan w:val="3"/>
          </w:tcPr>
          <w:p>
            <w:pPr>
              <w:jc w:val="right"/>
              <w:ind w:right="698"/>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Pr>
          <w:p>
            <w:pPr>
              <w:spacing w:after="0"/>
              <w:rPr>
                <w:sz w:val="14"/>
                <w:szCs w:val="14"/>
                <w:color w:val="auto"/>
              </w:rPr>
            </w:pPr>
          </w:p>
        </w:tc>
        <w:tc>
          <w:tcPr>
            <w:tcW w:w="2860" w:type="dxa"/>
            <w:vAlign w:val="bottom"/>
            <w:gridSpan w:val="4"/>
          </w:tcPr>
          <w:p>
            <w:pPr>
              <w:ind w:left="800"/>
              <w:spacing w:after="0"/>
              <w:rPr>
                <w:sz w:val="20"/>
                <w:szCs w:val="20"/>
                <w:color w:val="auto"/>
              </w:rPr>
            </w:pPr>
            <w:r>
              <w:rPr>
                <w:rFonts w:ascii="Arial" w:cs="Arial" w:eastAsia="Arial" w:hAnsi="Arial"/>
                <w:sz w:val="14"/>
                <w:szCs w:val="14"/>
                <w:b w:val="1"/>
                <w:bCs w:val="1"/>
                <w:color w:val="auto"/>
              </w:rPr>
              <w:t>Nine Months Ended</w:t>
            </w:r>
          </w:p>
        </w:tc>
      </w:tr>
      <w:tr>
        <w:trPr>
          <w:trHeight w:val="142"/>
        </w:trPr>
        <w:tc>
          <w:tcPr>
            <w:tcW w:w="4320" w:type="dxa"/>
            <w:vAlign w:val="bottom"/>
          </w:tcPr>
          <w:p>
            <w:pPr>
              <w:spacing w:after="0"/>
              <w:rPr>
                <w:sz w:val="12"/>
                <w:szCs w:val="12"/>
                <w:color w:val="auto"/>
              </w:rPr>
            </w:pPr>
          </w:p>
        </w:tc>
        <w:tc>
          <w:tcPr>
            <w:tcW w:w="166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December 30, 2011</w:t>
            </w:r>
          </w:p>
        </w:tc>
        <w:tc>
          <w:tcPr>
            <w:tcW w:w="1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4"/>
              </w:rPr>
              <w:t>December 31, 2010</w:t>
            </w:r>
          </w:p>
        </w:tc>
        <w:tc>
          <w:tcPr>
            <w:tcW w:w="560" w:type="dxa"/>
            <w:vAlign w:val="bottom"/>
            <w:tcBorders>
              <w:bottom w:val="single" w:sz="8" w:color="auto"/>
            </w:tcBorders>
          </w:tcPr>
          <w:p>
            <w:pPr>
              <w:spacing w:after="0"/>
              <w:rPr>
                <w:sz w:val="12"/>
                <w:szCs w:val="12"/>
                <w:color w:val="auto"/>
              </w:rPr>
            </w:pPr>
          </w:p>
        </w:tc>
        <w:tc>
          <w:tcPr>
            <w:tcW w:w="168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December 30, 2011</w:t>
            </w:r>
          </w:p>
        </w:tc>
        <w:tc>
          <w:tcPr>
            <w:tcW w:w="10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4"/>
              </w:rPr>
              <w:t>December 31, 2010</w:t>
            </w:r>
          </w:p>
        </w:tc>
        <w:tc>
          <w:tcPr>
            <w:tcW w:w="100" w:type="dxa"/>
            <w:vAlign w:val="bottom"/>
          </w:tcPr>
          <w:p>
            <w:pPr>
              <w:spacing w:after="0"/>
              <w:rPr>
                <w:sz w:val="12"/>
                <w:szCs w:val="12"/>
                <w:color w:val="auto"/>
              </w:rPr>
            </w:pPr>
          </w:p>
        </w:tc>
      </w:tr>
      <w:tr>
        <w:trPr>
          <w:trHeight w:val="142"/>
        </w:trPr>
        <w:tc>
          <w:tcPr>
            <w:tcW w:w="4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340" w:type="dxa"/>
            <w:vAlign w:val="bottom"/>
            <w:gridSpan w:val="4"/>
          </w:tcPr>
          <w:p>
            <w:pPr>
              <w:ind w:left="960"/>
              <w:spacing w:after="0" w:line="142" w:lineRule="exact"/>
              <w:rPr>
                <w:sz w:val="20"/>
                <w:szCs w:val="20"/>
                <w:color w:val="auto"/>
              </w:rPr>
            </w:pPr>
            <w:r>
              <w:rPr>
                <w:rFonts w:ascii="Arial" w:cs="Arial" w:eastAsia="Arial" w:hAnsi="Arial"/>
                <w:sz w:val="14"/>
                <w:szCs w:val="14"/>
                <w:b w:val="1"/>
                <w:bCs w:val="1"/>
                <w:color w:val="auto"/>
              </w:rPr>
              <w:t>(In thousands)</w:t>
            </w: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w:t>
            </w: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4320" w:type="dxa"/>
            <w:vAlign w:val="bottom"/>
          </w:tcPr>
          <w:p>
            <w:pPr>
              <w:spacing w:after="0"/>
              <w:rPr>
                <w:sz w:val="20"/>
                <w:szCs w:val="20"/>
                <w:color w:val="auto"/>
              </w:rPr>
            </w:pPr>
            <w:r>
              <w:rPr>
                <w:rFonts w:ascii="Arial" w:cs="Arial" w:eastAsia="Arial" w:hAnsi="Arial"/>
                <w:sz w:val="18"/>
                <w:szCs w:val="18"/>
                <w:color w:val="auto"/>
                <w:w w:val="99"/>
              </w:rPr>
              <w:t>Common shares outstanding used in calculating basic</w:t>
            </w: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20" w:type="dxa"/>
            <w:vAlign w:val="bottom"/>
          </w:tcPr>
          <w:p>
            <w:pPr>
              <w:ind w:left="220"/>
              <w:spacing w:after="0"/>
              <w:rPr>
                <w:sz w:val="20"/>
                <w:szCs w:val="20"/>
                <w:color w:val="auto"/>
              </w:rPr>
            </w:pPr>
            <w:r>
              <w:rPr>
                <w:rFonts w:ascii="Arial" w:cs="Arial" w:eastAsia="Arial" w:hAnsi="Arial"/>
                <w:sz w:val="18"/>
                <w:szCs w:val="18"/>
                <w:color w:val="auto"/>
              </w:rPr>
              <w:t>net income per share attributable to ViaSat, Inc.</w:t>
            </w: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4320" w:type="dxa"/>
            <w:vAlign w:val="bottom"/>
          </w:tcPr>
          <w:p>
            <w:pPr>
              <w:ind w:left="220"/>
              <w:spacing w:after="0"/>
              <w:rPr>
                <w:sz w:val="20"/>
                <w:szCs w:val="20"/>
                <w:color w:val="auto"/>
              </w:rPr>
            </w:pPr>
            <w:r>
              <w:rPr>
                <w:rFonts w:ascii="Arial" w:cs="Arial" w:eastAsia="Arial" w:hAnsi="Arial"/>
                <w:sz w:val="18"/>
                <w:szCs w:val="18"/>
                <w:color w:val="auto"/>
              </w:rPr>
              <w:t>common stockholders</w:t>
            </w:r>
          </w:p>
        </w:tc>
        <w:tc>
          <w:tcPr>
            <w:tcW w:w="1080" w:type="dxa"/>
            <w:vAlign w:val="bottom"/>
          </w:tcPr>
          <w:p>
            <w:pPr>
              <w:jc w:val="right"/>
              <w:spacing w:after="0"/>
              <w:rPr>
                <w:sz w:val="20"/>
                <w:szCs w:val="20"/>
                <w:color w:val="auto"/>
              </w:rPr>
            </w:pPr>
            <w:r>
              <w:rPr>
                <w:rFonts w:ascii="Arial" w:cs="Arial" w:eastAsia="Arial" w:hAnsi="Arial"/>
                <w:sz w:val="18"/>
                <w:szCs w:val="18"/>
                <w:color w:val="auto"/>
              </w:rPr>
              <w:t>42,452</w:t>
            </w: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41,205</w:t>
            </w:r>
          </w:p>
        </w:tc>
        <w:tc>
          <w:tcPr>
            <w:tcW w:w="2240" w:type="dxa"/>
            <w:vAlign w:val="bottom"/>
            <w:gridSpan w:val="3"/>
          </w:tcPr>
          <w:p>
            <w:pPr>
              <w:jc w:val="right"/>
              <w:ind w:right="580"/>
              <w:spacing w:after="0"/>
              <w:rPr>
                <w:sz w:val="20"/>
                <w:szCs w:val="20"/>
                <w:color w:val="auto"/>
              </w:rPr>
            </w:pPr>
            <w:r>
              <w:rPr>
                <w:rFonts w:ascii="Arial" w:cs="Arial" w:eastAsia="Arial" w:hAnsi="Arial"/>
                <w:sz w:val="18"/>
                <w:szCs w:val="18"/>
                <w:color w:val="auto"/>
              </w:rPr>
              <w:t>42,132</w:t>
            </w:r>
          </w:p>
        </w:tc>
        <w:tc>
          <w:tcPr>
            <w:tcW w:w="1080" w:type="dxa"/>
            <w:vAlign w:val="bottom"/>
          </w:tcPr>
          <w:p>
            <w:pPr>
              <w:jc w:val="right"/>
              <w:spacing w:after="0"/>
              <w:rPr>
                <w:sz w:val="20"/>
                <w:szCs w:val="20"/>
                <w:color w:val="auto"/>
              </w:rPr>
            </w:pPr>
            <w:r>
              <w:rPr>
                <w:rFonts w:ascii="Arial" w:cs="Arial" w:eastAsia="Arial" w:hAnsi="Arial"/>
                <w:sz w:val="18"/>
                <w:szCs w:val="18"/>
                <w:color w:val="auto"/>
              </w:rPr>
              <w:t>40,604</w:t>
            </w:r>
          </w:p>
        </w:tc>
        <w:tc>
          <w:tcPr>
            <w:tcW w:w="100" w:type="dxa"/>
            <w:vAlign w:val="bottom"/>
          </w:tcPr>
          <w:p>
            <w:pPr>
              <w:spacing w:after="0"/>
              <w:rPr>
                <w:sz w:val="19"/>
                <w:szCs w:val="19"/>
                <w:color w:val="auto"/>
              </w:rPr>
            </w:pP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Options to purchase common stock as determined by</w:t>
            </w: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application of the treasury stock method</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w:t>
            </w: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1,636</w:t>
            </w:r>
          </w:p>
        </w:tc>
        <w:tc>
          <w:tcPr>
            <w:tcW w:w="22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1,371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1,638</w:t>
            </w:r>
          </w:p>
        </w:tc>
        <w:tc>
          <w:tcPr>
            <w:tcW w:w="100" w:type="dxa"/>
            <w:vAlign w:val="bottom"/>
            <w:shd w:val="clear" w:color="auto" w:fill="CCEEFF"/>
          </w:tcPr>
          <w:p>
            <w:pPr>
              <w:spacing w:after="0"/>
              <w:rPr>
                <w:sz w:val="19"/>
                <w:szCs w:val="19"/>
                <w:color w:val="auto"/>
              </w:rPr>
            </w:pPr>
          </w:p>
        </w:tc>
      </w:tr>
      <w:tr>
        <w:trPr>
          <w:trHeight w:val="208"/>
        </w:trPr>
        <w:tc>
          <w:tcPr>
            <w:tcW w:w="4320" w:type="dxa"/>
            <w:vAlign w:val="bottom"/>
          </w:tcPr>
          <w:p>
            <w:pPr>
              <w:spacing w:after="0"/>
              <w:rPr>
                <w:sz w:val="20"/>
                <w:szCs w:val="20"/>
                <w:color w:val="auto"/>
              </w:rPr>
            </w:pPr>
            <w:r>
              <w:rPr>
                <w:rFonts w:ascii="Arial" w:cs="Arial" w:eastAsia="Arial" w:hAnsi="Arial"/>
                <w:sz w:val="18"/>
                <w:szCs w:val="18"/>
                <w:color w:val="auto"/>
              </w:rPr>
              <w:t>Restricted stock units to acquire common stock as</w:t>
            </w: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20" w:type="dxa"/>
            <w:vAlign w:val="bottom"/>
          </w:tcPr>
          <w:p>
            <w:pPr>
              <w:ind w:left="220"/>
              <w:spacing w:after="0"/>
              <w:rPr>
                <w:sz w:val="20"/>
                <w:szCs w:val="20"/>
                <w:color w:val="auto"/>
              </w:rPr>
            </w:pPr>
            <w:r>
              <w:rPr>
                <w:rFonts w:ascii="Arial" w:cs="Arial" w:eastAsia="Arial" w:hAnsi="Arial"/>
                <w:sz w:val="18"/>
                <w:szCs w:val="18"/>
                <w:color w:val="auto"/>
              </w:rPr>
              <w:t>determined by application of the treasury stock</w:t>
            </w: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4320" w:type="dxa"/>
            <w:vAlign w:val="bottom"/>
          </w:tcPr>
          <w:p>
            <w:pPr>
              <w:ind w:left="220"/>
              <w:spacing w:after="0"/>
              <w:rPr>
                <w:sz w:val="20"/>
                <w:szCs w:val="20"/>
                <w:color w:val="auto"/>
              </w:rPr>
            </w:pPr>
            <w:r>
              <w:rPr>
                <w:rFonts w:ascii="Arial" w:cs="Arial" w:eastAsia="Arial" w:hAnsi="Arial"/>
                <w:sz w:val="18"/>
                <w:szCs w:val="18"/>
                <w:color w:val="auto"/>
              </w:rPr>
              <w:t>method</w:t>
            </w:r>
          </w:p>
        </w:tc>
        <w:tc>
          <w:tcPr>
            <w:tcW w:w="1080" w:type="dxa"/>
            <w:vAlign w:val="bottom"/>
          </w:tcPr>
          <w:p>
            <w:pPr>
              <w:jc w:val="right"/>
              <w:spacing w:after="0"/>
              <w:rPr>
                <w:sz w:val="20"/>
                <w:szCs w:val="20"/>
                <w:color w:val="auto"/>
              </w:rPr>
            </w:pPr>
            <w:r>
              <w:rPr>
                <w:rFonts w:ascii="Arial" w:cs="Arial" w:eastAsia="Arial" w:hAnsi="Arial"/>
                <w:sz w:val="18"/>
                <w:szCs w:val="18"/>
                <w:color w:val="auto"/>
              </w:rPr>
              <w:t>422</w:t>
            </w: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392</w:t>
            </w:r>
          </w:p>
        </w:tc>
        <w:tc>
          <w:tcPr>
            <w:tcW w:w="2240" w:type="dxa"/>
            <w:vAlign w:val="bottom"/>
            <w:gridSpan w:val="3"/>
          </w:tcPr>
          <w:p>
            <w:pPr>
              <w:jc w:val="right"/>
              <w:ind w:right="580"/>
              <w:spacing w:after="0"/>
              <w:rPr>
                <w:sz w:val="20"/>
                <w:szCs w:val="20"/>
                <w:color w:val="auto"/>
              </w:rPr>
            </w:pPr>
            <w:r>
              <w:rPr>
                <w:rFonts w:ascii="Arial" w:cs="Arial" w:eastAsia="Arial" w:hAnsi="Arial"/>
                <w:sz w:val="18"/>
                <w:szCs w:val="18"/>
                <w:color w:val="auto"/>
              </w:rPr>
              <w:t>407</w:t>
            </w:r>
          </w:p>
        </w:tc>
        <w:tc>
          <w:tcPr>
            <w:tcW w:w="1080" w:type="dxa"/>
            <w:vAlign w:val="bottom"/>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19"/>
                <w:szCs w:val="19"/>
                <w:color w:val="auto"/>
              </w:rPr>
            </w:pP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Potentially issuable shares in connection with certain</w:t>
            </w: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terms of the amended ViaSat 401(k) Profit Sharing</w:t>
            </w: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Plan and Employee Stock Purchase Plan</w:t>
            </w: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equivalents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2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105</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9"/>
                <w:szCs w:val="19"/>
                <w:color w:val="auto"/>
              </w:rPr>
            </w:pPr>
          </w:p>
        </w:tc>
      </w:tr>
      <w:tr>
        <w:trPr>
          <w:trHeight w:val="215"/>
        </w:trPr>
        <w:tc>
          <w:tcPr>
            <w:tcW w:w="4320" w:type="dxa"/>
            <w:vAlign w:val="bottom"/>
          </w:tcPr>
          <w:p>
            <w:pPr>
              <w:spacing w:after="0"/>
              <w:rPr>
                <w:sz w:val="20"/>
                <w:szCs w:val="20"/>
                <w:color w:val="auto"/>
              </w:rPr>
            </w:pPr>
            <w:r>
              <w:rPr>
                <w:rFonts w:ascii="Arial" w:cs="Arial" w:eastAsia="Arial" w:hAnsi="Arial"/>
                <w:sz w:val="18"/>
                <w:szCs w:val="18"/>
                <w:color w:val="auto"/>
              </w:rPr>
              <w:t>Shares used in computing diluted net income per</w:t>
            </w:r>
          </w:p>
        </w:tc>
        <w:tc>
          <w:tcPr>
            <w:tcW w:w="108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20" w:type="dxa"/>
            <w:vAlign w:val="bottom"/>
          </w:tcPr>
          <w:p>
            <w:pPr>
              <w:ind w:left="220"/>
              <w:spacing w:after="0"/>
              <w:rPr>
                <w:sz w:val="20"/>
                <w:szCs w:val="20"/>
                <w:color w:val="auto"/>
              </w:rPr>
            </w:pPr>
            <w:r>
              <w:rPr>
                <w:rFonts w:ascii="Arial" w:cs="Arial" w:eastAsia="Arial" w:hAnsi="Arial"/>
                <w:sz w:val="18"/>
                <w:szCs w:val="18"/>
                <w:color w:val="auto"/>
              </w:rPr>
              <w:t>share attributable to ViaSat, Inc. common</w:t>
            </w: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4320" w:type="dxa"/>
            <w:vAlign w:val="bottom"/>
          </w:tcPr>
          <w:p>
            <w:pPr>
              <w:ind w:left="220"/>
              <w:spacing w:after="0"/>
              <w:rPr>
                <w:sz w:val="20"/>
                <w:szCs w:val="20"/>
                <w:color w:val="auto"/>
              </w:rPr>
            </w:pPr>
            <w:r>
              <w:rPr>
                <w:rFonts w:ascii="Arial" w:cs="Arial" w:eastAsia="Arial" w:hAnsi="Arial"/>
                <w:sz w:val="18"/>
                <w:szCs w:val="18"/>
                <w:color w:val="auto"/>
              </w:rPr>
              <w:t>stockholders</w:t>
            </w:r>
          </w:p>
        </w:tc>
        <w:tc>
          <w:tcPr>
            <w:tcW w:w="1080" w:type="dxa"/>
            <w:vAlign w:val="bottom"/>
          </w:tcPr>
          <w:p>
            <w:pPr>
              <w:jc w:val="right"/>
              <w:spacing w:after="0"/>
              <w:rPr>
                <w:sz w:val="20"/>
                <w:szCs w:val="20"/>
                <w:color w:val="auto"/>
              </w:rPr>
            </w:pPr>
            <w:r>
              <w:rPr>
                <w:rFonts w:ascii="Arial" w:cs="Arial" w:eastAsia="Arial" w:hAnsi="Arial"/>
                <w:sz w:val="18"/>
                <w:szCs w:val="18"/>
                <w:color w:val="auto"/>
              </w:rPr>
              <w:t>44,333</w:t>
            </w: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43,352</w:t>
            </w:r>
          </w:p>
        </w:tc>
        <w:tc>
          <w:tcPr>
            <w:tcW w:w="2240" w:type="dxa"/>
            <w:vAlign w:val="bottom"/>
            <w:gridSpan w:val="3"/>
          </w:tcPr>
          <w:p>
            <w:pPr>
              <w:jc w:val="right"/>
              <w:ind w:right="580"/>
              <w:spacing w:after="0"/>
              <w:rPr>
                <w:sz w:val="20"/>
                <w:szCs w:val="20"/>
                <w:color w:val="auto"/>
              </w:rPr>
            </w:pPr>
            <w:r>
              <w:rPr>
                <w:rFonts w:ascii="Arial" w:cs="Arial" w:eastAsia="Arial" w:hAnsi="Arial"/>
                <w:sz w:val="18"/>
                <w:szCs w:val="18"/>
                <w:color w:val="auto"/>
              </w:rPr>
              <w:t>44,015</w:t>
            </w:r>
          </w:p>
        </w:tc>
        <w:tc>
          <w:tcPr>
            <w:tcW w:w="1080" w:type="dxa"/>
            <w:vAlign w:val="bottom"/>
          </w:tcPr>
          <w:p>
            <w:pPr>
              <w:jc w:val="right"/>
              <w:spacing w:after="0"/>
              <w:rPr>
                <w:sz w:val="20"/>
                <w:szCs w:val="20"/>
                <w:color w:val="auto"/>
              </w:rPr>
            </w:pPr>
            <w:r>
              <w:rPr>
                <w:rFonts w:ascii="Arial" w:cs="Arial" w:eastAsia="Arial" w:hAnsi="Arial"/>
                <w:sz w:val="18"/>
                <w:szCs w:val="18"/>
                <w:color w:val="auto"/>
              </w:rPr>
              <w:t>42,799</w:t>
            </w:r>
          </w:p>
        </w:tc>
        <w:tc>
          <w:tcPr>
            <w:tcW w:w="100" w:type="dxa"/>
            <w:vAlign w:val="bottom"/>
          </w:tcPr>
          <w:p>
            <w:pPr>
              <w:spacing w:after="0"/>
              <w:rPr>
                <w:sz w:val="19"/>
                <w:szCs w:val="19"/>
                <w:color w:val="auto"/>
              </w:rPr>
            </w:pPr>
          </w:p>
        </w:tc>
      </w:tr>
      <w:tr>
        <w:trPr>
          <w:trHeight w:val="20"/>
        </w:trPr>
        <w:tc>
          <w:tcPr>
            <w:tcW w:w="43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sectPr>
          <w:pgSz w:w="11900" w:h="16838" w:orient="portrait"/>
          <w:cols w:equalWidth="0" w:num="1">
            <w:col w:w="11380"/>
          </w:cols>
          <w:pgMar w:left="240" w:top="459" w:right="279" w:bottom="1440" w:gutter="0" w:footer="0" w:header="0"/>
        </w:sectPr>
      </w:pPr>
    </w:p>
    <w:p>
      <w:pPr>
        <w:jc w:val="center"/>
        <w:ind w:right="-3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380"/>
          </w:cols>
          <w:pgMar w:left="240" w:top="459" w:right="27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Antidilutive shares relating to stock options excluded from the calculation were 432,272 and 308,349 shares for the three and nine months ended December 30, 2011, respectively, and for the three and nine months ended December 31, 2010 antidilutive shares relating to stock options excluded from the calculation were 165,000 and 56,099 shares, respectively.</w:t>
      </w:r>
    </w:p>
    <w:p>
      <w:pPr>
        <w:spacing w:after="0" w:line="14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Antidilutive shares relating to restricted stock units excluded from the calculation were 641 and 118,121 for the three and nine months ended December 30, 2011, respectively, and for the three and nine months ended December 31, 2010 antidilutive shares relating to restricted stock units excluded from the calculation were zero and 109,652,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Goodwill and Acquired Intangible Assets</w:t>
      </w:r>
    </w:p>
    <w:p>
      <w:pPr>
        <w:spacing w:after="0" w:line="9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During fiscal year 2012, the Company’s goodwill decreased by approximately $0.4 million related to the effects of foreign currency translation recorded within the Company’s government systems and commercial networks segments. Other acquired intangible assets are amortized using the straight-line method over their estimated useful lives of eight months to ten years. Amortization expense related to other acquired intangible assets was $4.8 million and $4.9 million for the three months ended December 30, 2011 and December 31, 2010, respectively, and $14.3 million and $14.6 million for the nine months ended December 30, 2011 and December 31, 2010, respectively.</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The expected amortization expense of amortizable acquired intangible assets may change due to the effects of foreign currency fluctuations as a result of international businesses acquired. Current and expected amortization expense for acquired intangible assets for each of the following periods is as follows:</w:t>
      </w:r>
    </w:p>
    <w:p>
      <w:pPr>
        <w:spacing w:after="0" w:line="12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r>
      <w:tr>
        <w:trPr>
          <w:trHeight w:val="142"/>
        </w:trPr>
        <w:tc>
          <w:tcPr>
            <w:tcW w:w="6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2"/>
              </w:rPr>
              <w:t>(In thousands)</w:t>
            </w:r>
          </w:p>
        </w:tc>
        <w:tc>
          <w:tcPr>
            <w:tcW w:w="100" w:type="dxa"/>
            <w:vAlign w:val="bottom"/>
          </w:tcPr>
          <w:p>
            <w:pPr>
              <w:spacing w:after="0"/>
              <w:rPr>
                <w:sz w:val="12"/>
                <w:szCs w:val="12"/>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For the nine months ended December 30, 2011</w:t>
            </w:r>
          </w:p>
        </w:tc>
        <w:tc>
          <w:tcPr>
            <w:tcW w:w="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14,291</w:t>
            </w:r>
          </w:p>
        </w:tc>
        <w:tc>
          <w:tcPr>
            <w:tcW w:w="100" w:type="dxa"/>
            <w:vAlign w:val="bottom"/>
            <w:shd w:val="clear" w:color="auto" w:fill="CCEEFF"/>
          </w:tcPr>
          <w:p>
            <w:pPr>
              <w:spacing w:after="0"/>
              <w:rPr>
                <w:sz w:val="18"/>
                <w:szCs w:val="18"/>
                <w:color w:val="auto"/>
              </w:rPr>
            </w:pPr>
          </w:p>
        </w:tc>
      </w:tr>
      <w:tr>
        <w:trPr>
          <w:trHeight w:val="322"/>
        </w:trPr>
        <w:tc>
          <w:tcPr>
            <w:tcW w:w="6820" w:type="dxa"/>
            <w:vAlign w:val="bottom"/>
          </w:tcPr>
          <w:p>
            <w:pPr>
              <w:spacing w:after="0"/>
              <w:rPr>
                <w:sz w:val="20"/>
                <w:szCs w:val="20"/>
                <w:color w:val="auto"/>
              </w:rPr>
            </w:pPr>
            <w:r>
              <w:rPr>
                <w:rFonts w:ascii="Arial" w:cs="Arial" w:eastAsia="Arial" w:hAnsi="Arial"/>
                <w:sz w:val="18"/>
                <w:szCs w:val="18"/>
                <w:color w:val="auto"/>
              </w:rPr>
              <w:t>Expected for the remainder of fiscal year 2012</w:t>
            </w:r>
          </w:p>
        </w:tc>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4,427</w:t>
            </w:r>
          </w:p>
        </w:tc>
        <w:tc>
          <w:tcPr>
            <w:tcW w:w="100" w:type="dxa"/>
            <w:vAlign w:val="bottom"/>
          </w:tcPr>
          <w:p>
            <w:pPr>
              <w:spacing w:after="0"/>
              <w:rPr>
                <w:sz w:val="24"/>
                <w:szCs w:val="24"/>
                <w:color w:val="auto"/>
              </w:rPr>
            </w:pPr>
          </w:p>
        </w:tc>
      </w:tr>
      <w:tr>
        <w:trPr>
          <w:trHeight w:val="218"/>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15,527</w:t>
            </w: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Expected for fiscal year 2014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13,784</w:t>
            </w: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13,708</w:t>
            </w: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Expected for fiscal year 2016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10,173</w:t>
            </w: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9,607</w:t>
            </w:r>
          </w:p>
        </w:tc>
        <w:tc>
          <w:tcPr>
            <w:tcW w:w="100" w:type="dxa"/>
            <w:vAlign w:val="bottom"/>
            <w:shd w:val="clear" w:color="auto" w:fill="CCEEFF"/>
          </w:tcPr>
          <w:p>
            <w:pPr>
              <w:spacing w:after="0"/>
              <w:rPr>
                <w:sz w:val="18"/>
                <w:szCs w:val="18"/>
                <w:color w:val="auto"/>
              </w:rPr>
            </w:pPr>
          </w:p>
        </w:tc>
      </w:tr>
      <w:tr>
        <w:trPr>
          <w:trHeight w:val="222"/>
        </w:trPr>
        <w:tc>
          <w:tcPr>
            <w:tcW w:w="6820" w:type="dxa"/>
            <w:vAlign w:val="bottom"/>
          </w:tcPr>
          <w:p>
            <w:pPr>
              <w:spacing w:after="0"/>
              <w:rPr>
                <w:sz w:val="19"/>
                <w:szCs w:val="19"/>
                <w:color w:val="auto"/>
              </w:rPr>
            </w:pPr>
          </w:p>
        </w:tc>
        <w:tc>
          <w:tcPr>
            <w:tcW w:w="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67,226</w:t>
            </w:r>
          </w:p>
        </w:tc>
        <w:tc>
          <w:tcPr>
            <w:tcW w:w="100" w:type="dxa"/>
            <w:vAlign w:val="bottom"/>
          </w:tcPr>
          <w:p>
            <w:pPr>
              <w:spacing w:after="0"/>
              <w:rPr>
                <w:sz w:val="19"/>
                <w:szCs w:val="19"/>
                <w:color w:val="auto"/>
              </w:rPr>
            </w:pPr>
          </w:p>
        </w:tc>
      </w:tr>
      <w:tr>
        <w:trPr>
          <w:trHeight w:val="20"/>
        </w:trPr>
        <w:tc>
          <w:tcPr>
            <w:tcW w:w="6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Senior Notes and Other Long-Term Debt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long-term debt consisted of the following as of December 30, 2011 and April 1, 2011:</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gridSpan w:val="2"/>
          </w:tcPr>
          <w:p>
            <w:pPr>
              <w:jc w:val="right"/>
              <w:ind w:right="1100"/>
              <w:spacing w:after="0"/>
              <w:rPr>
                <w:sz w:val="20"/>
                <w:szCs w:val="20"/>
                <w:color w:val="auto"/>
              </w:rPr>
            </w:pPr>
            <w:r>
              <w:rPr>
                <w:rFonts w:ascii="Arial" w:cs="Arial" w:eastAsia="Arial" w:hAnsi="Arial"/>
                <w:sz w:val="14"/>
                <w:szCs w:val="14"/>
                <w:b w:val="1"/>
                <w:bCs w:val="1"/>
                <w:color w:val="auto"/>
              </w:rPr>
              <w:t>As of</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200" w:type="dxa"/>
            <w:vAlign w:val="bottom"/>
            <w:gridSpan w:val="4"/>
          </w:tcPr>
          <w:p>
            <w:pPr>
              <w:ind w:left="1400"/>
              <w:spacing w:after="0"/>
              <w:rPr>
                <w:sz w:val="20"/>
                <w:szCs w:val="20"/>
                <w:color w:val="auto"/>
              </w:rPr>
            </w:pPr>
            <w:r>
              <w:rPr>
                <w:rFonts w:ascii="Arial" w:cs="Arial" w:eastAsia="Arial" w:hAnsi="Arial"/>
                <w:sz w:val="14"/>
                <w:szCs w:val="14"/>
                <w:b w:val="1"/>
                <w:bCs w:val="1"/>
                <w:color w:val="auto"/>
              </w:rPr>
              <w:t>December 30, 2011</w:t>
            </w:r>
          </w:p>
        </w:tc>
        <w:tc>
          <w:tcPr>
            <w:tcW w:w="940" w:type="dxa"/>
            <w:vAlign w:val="bottom"/>
            <w:gridSpan w:val="4"/>
          </w:tcPr>
          <w:p>
            <w:pPr>
              <w:ind w:left="80"/>
              <w:spacing w:after="0"/>
              <w:rPr>
                <w:sz w:val="20"/>
                <w:szCs w:val="20"/>
                <w:color w:val="auto"/>
              </w:rPr>
            </w:pPr>
            <w:r>
              <w:rPr>
                <w:rFonts w:ascii="Arial" w:cs="Arial" w:eastAsia="Arial" w:hAnsi="Arial"/>
                <w:sz w:val="14"/>
                <w:szCs w:val="14"/>
                <w:b w:val="1"/>
                <w:bCs w:val="1"/>
                <w:color w:val="auto"/>
              </w:rPr>
              <w:t>April 1, 2011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(In thousands)</w:t>
            </w: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Senior Notes due 2016 (the Notes)</w:t>
            </w:r>
          </w:p>
        </w:tc>
        <w:tc>
          <w:tcPr>
            <w:tcW w:w="1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Notes</w:t>
            </w:r>
          </w:p>
        </w:tc>
        <w:tc>
          <w:tcPr>
            <w:tcW w:w="1640" w:type="dxa"/>
            <w:vAlign w:val="bottom"/>
            <w:gridSpan w:val="2"/>
          </w:tcPr>
          <w:p>
            <w:pPr>
              <w:ind w:left="14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275,000</w:t>
            </w:r>
          </w:p>
        </w:tc>
        <w:tc>
          <w:tcPr>
            <w:tcW w:w="700" w:type="dxa"/>
            <w:vAlign w:val="bottom"/>
          </w:tcPr>
          <w:p>
            <w:pPr>
              <w:spacing w:after="0"/>
              <w:rPr>
                <w:sz w:val="18"/>
                <w:szCs w:val="18"/>
                <w:color w:val="auto"/>
              </w:rPr>
            </w:pP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275,000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Unamortized discount on the Notes</w:t>
            </w:r>
          </w:p>
        </w:tc>
        <w:tc>
          <w:tcPr>
            <w:tcW w:w="1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(2,333)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(2,704)</w:t>
            </w:r>
          </w:p>
        </w:tc>
        <w:tc>
          <w:tcPr>
            <w:tcW w:w="0" w:type="dxa"/>
            <w:vAlign w:val="bottom"/>
          </w:tcPr>
          <w:p>
            <w:pPr>
              <w:spacing w:after="0"/>
              <w:rPr>
                <w:sz w:val="1"/>
                <w:szCs w:val="1"/>
                <w:color w:val="auto"/>
              </w:rPr>
            </w:pPr>
          </w:p>
        </w:tc>
      </w:tr>
      <w:tr>
        <w:trPr>
          <w:trHeight w:val="221"/>
        </w:trPr>
        <w:tc>
          <w:tcPr>
            <w:tcW w:w="4540" w:type="dxa"/>
            <w:vAlign w:val="bottom"/>
            <w:gridSpan w:val="2"/>
          </w:tcPr>
          <w:p>
            <w:pPr>
              <w:spacing w:after="0"/>
              <w:rPr>
                <w:sz w:val="20"/>
                <w:szCs w:val="20"/>
                <w:color w:val="auto"/>
              </w:rPr>
            </w:pPr>
            <w:r>
              <w:rPr>
                <w:rFonts w:ascii="Arial" w:cs="Arial" w:eastAsia="Arial" w:hAnsi="Arial"/>
                <w:sz w:val="18"/>
                <w:szCs w:val="18"/>
                <w:color w:val="auto"/>
              </w:rPr>
              <w:t>Total Notes, net of discount</w:t>
            </w:r>
          </w:p>
        </w:tc>
        <w:tc>
          <w:tcPr>
            <w:tcW w:w="14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272,667</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272,296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of the Notes</w:t>
            </w:r>
          </w:p>
        </w:tc>
        <w:tc>
          <w:tcPr>
            <w:tcW w:w="1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4540" w:type="dxa"/>
            <w:vAlign w:val="bottom"/>
            <w:gridSpan w:val="2"/>
          </w:tcPr>
          <w:p>
            <w:pPr>
              <w:spacing w:after="0"/>
              <w:rPr>
                <w:sz w:val="20"/>
                <w:szCs w:val="20"/>
                <w:color w:val="auto"/>
              </w:rPr>
            </w:pPr>
            <w:r>
              <w:rPr>
                <w:rFonts w:ascii="Arial" w:cs="Arial" w:eastAsia="Arial" w:hAnsi="Arial"/>
                <w:sz w:val="18"/>
                <w:szCs w:val="18"/>
                <w:color w:val="auto"/>
              </w:rPr>
              <w:t>Total Notes long-term, net</w:t>
            </w:r>
          </w:p>
        </w:tc>
        <w:tc>
          <w:tcPr>
            <w:tcW w:w="14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272,667</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272,296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Other Long-Term Debt</w:t>
            </w:r>
          </w:p>
        </w:tc>
        <w:tc>
          <w:tcPr>
            <w:tcW w:w="1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Line of credit</w:t>
            </w: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170,000</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w:t>
            </w:r>
          </w:p>
        </w:tc>
        <w:tc>
          <w:tcPr>
            <w:tcW w:w="14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2,315</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540" w:type="dxa"/>
            <w:vAlign w:val="bottom"/>
            <w:gridSpan w:val="2"/>
          </w:tcPr>
          <w:p>
            <w:pPr>
              <w:spacing w:after="0"/>
              <w:rPr>
                <w:sz w:val="20"/>
                <w:szCs w:val="20"/>
                <w:color w:val="auto"/>
              </w:rPr>
            </w:pPr>
            <w:r>
              <w:rPr>
                <w:rFonts w:ascii="Arial" w:cs="Arial" w:eastAsia="Arial" w:hAnsi="Arial"/>
                <w:sz w:val="18"/>
                <w:szCs w:val="18"/>
                <w:color w:val="auto"/>
              </w:rPr>
              <w:t>Total other long-term debt</w:t>
            </w: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172,315</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63,074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of other long-term debt</w:t>
            </w:r>
          </w:p>
        </w:tc>
        <w:tc>
          <w:tcPr>
            <w:tcW w:w="14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1,226</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540" w:type="dxa"/>
            <w:vAlign w:val="bottom"/>
            <w:gridSpan w:val="2"/>
          </w:tcPr>
          <w:p>
            <w:pPr>
              <w:spacing w:after="0"/>
              <w:rPr>
                <w:sz w:val="20"/>
                <w:szCs w:val="20"/>
                <w:color w:val="auto"/>
              </w:rPr>
            </w:pPr>
            <w:r>
              <w:rPr>
                <w:rFonts w:ascii="Arial" w:cs="Arial" w:eastAsia="Arial" w:hAnsi="Arial"/>
                <w:sz w:val="18"/>
                <w:szCs w:val="18"/>
                <w:color w:val="auto"/>
              </w:rPr>
              <w:t>Other long-term debt, net</w:t>
            </w: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171,089</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61,946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1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444,982</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335,370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Less: current portion</w:t>
            </w:r>
          </w:p>
        </w:tc>
        <w:tc>
          <w:tcPr>
            <w:tcW w:w="14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1,226</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w:t>
            </w:r>
          </w:p>
        </w:tc>
        <w:tc>
          <w:tcPr>
            <w:tcW w:w="164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443,756</w:t>
            </w:r>
          </w:p>
        </w:tc>
        <w:tc>
          <w:tcPr>
            <w:tcW w:w="7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334,242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due 2016</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October 2009, the Company issued $275.0 million in principal amount of Notes in a private placement to institutional buyers, which Notes were exchanged in May 2010 for substantially identical Notes that had been registered with the Securities and Exchange Commission (SEC). The Notes bear interest at the rate of 8.875% per year, payable semi-annually in cash in arrears, which interest payments commenced in March 2010. The Notes were issued with an original issue discount of 1.24%, or $3.4 million. The Notes are recorded as long-term debt, net of original issue discount, in the Company’s consolidated financial statements. The original issue discount and deferred financing cost associated with the issuance of the Notes is amortized to interest expense on a straight-line basis over the term of the Notes.</w:t>
      </w:r>
    </w:p>
    <w:p>
      <w:pPr>
        <w:spacing w:after="0" w:line="144"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Notes are guaranteed on an unsecured senior basis by each of the Company’s existing and future subsidiaries that guarantees the Credit Facility (the Guarantor Subsidiaries). The Notes and the guarantees are the Company’s and the Guarantor Subsidiaries’ general senior unsecured obligations and rank equally in right of payment with all of the Company’s existing and future unsecured unsubordinated debt. The Notes and the guarantees are effectively junior in right of payment to their existing and future secured debt, including under the Credit Facility (to the extent of the value of the assets securing such debt), are structurally subordinated to all existing and future liabilities (including trade payables) of the Company’s subsidiaries that are not guarantors of the Notes, and are senior in right of payment to all of their existing and future subordinated indebtedness.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indenture governing the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p>
    <w:p>
      <w:pPr>
        <w:spacing w:after="0" w:line="143"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Prior to September 15, 2012, the Company may redeem a portion of the Notes at the redemption price specified in the indenture, plus accrued and unpaid interest, if any, thereon to the redemption date, from the net cash proceeds of specified equity offerings. The Company may also redeem the Notes prior to September 15, 2012, in whole or in part, at a redemption price equal to the principal amount thereof plus the applicable “make-whole” premium and any accrued and unpaid interest, if any, thereon to the redemption date. The Notes may be redeemed, in whole or in part, at any time from September 15, 2012 at a fixed redemption price that declines ratably over time, plus accrued and unpaid interest, if any, thereon to the redemption date. For more information regarding the applicable redemption prices, see “Item 2. Management’s Discussion and Analysis of Financial Condition and Results of Operations — Liquidity and Capital Resources” of this Quarterly Report.</w:t>
      </w:r>
    </w:p>
    <w:p>
      <w:pPr>
        <w:spacing w:after="0" w:line="118"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In the event a change of control occurs (as defined in the indenture), each holder will have the right to require the Company to repurchase all or any part of such holder’s Notes at a purchase price in cash equal to 101% of the aggregate principal amount of the Notes repurchased plus accrued and unpaid interest, if any, to the date of purchase (subject to the right of holders of record on the relevant record date to receive interest due on the relevant interest payment 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90" w:lineRule="exact"/>
        <w:rPr>
          <w:sz w:val="20"/>
          <w:szCs w:val="20"/>
          <w:color w:val="auto"/>
        </w:rPr>
      </w:pPr>
    </w:p>
    <w:p>
      <w:pPr>
        <w:ind w:right="120" w:firstLine="456"/>
        <w:spacing w:after="0" w:line="287" w:lineRule="auto"/>
        <w:rPr>
          <w:sz w:val="20"/>
          <w:szCs w:val="20"/>
          <w:color w:val="auto"/>
        </w:rPr>
      </w:pPr>
      <w:r>
        <w:rPr>
          <w:rFonts w:ascii="Arial" w:cs="Arial" w:eastAsia="Arial" w:hAnsi="Arial"/>
          <w:sz w:val="16"/>
          <w:szCs w:val="16"/>
          <w:color w:val="auto"/>
        </w:rPr>
        <w:t>As of December 30, 2011, the Credit Facility, as amended, provided a revolving line of credit of $325.0 million (including up to $35.0 million of letters of credit), with a maturity date of January 25, 2016. Borrowings under the Credit Facility bear interest, at the Company’s option, at either (1) the highest of the Federal Funds rate plus 0.50%, the Eurodollar rate plus 1.00% or the administrative agent’s prime rate as announced from time to time, or (2) at the Eurodollar rate plus, in the case of each of (1) and (2), an applicable margin that is based on the ratio of the Company’s debt to earnings before interest, taxes, depreciation and amortization (EBITDA) as defined in the Credit Facility. At December 30, 2011, the weighted average effective interest rate on the Company’s outstanding borrowings under the Credit Facility was 3.79%. The Company has capitalized certain amounts of interest expense on the Credit Facility in connection with the construction of ViaSat-1, certain related gateway and networking equipment and other assets currently under construction. The Credit Facility is guaranteed by certain of the Company’s domestic subsidiaries and collateralized by substantially all of the Company’s and the Guarantor Subsidiaries’ assets. On October 31, 2011, the Company amended the Credit Facility to revise the definition of EBITDA for certain earnings impacts related to the delay in the launch of its ViaSat-1 satellite.</w:t>
      </w:r>
    </w:p>
    <w:p>
      <w:pPr>
        <w:spacing w:after="0" w:line="123"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The Credit Facility contains financial covenants regarding a maximum leverage ratio, a maximum senior secured leverage ratio and a minimum interest coverage ratio. In addition, the Credit Facility contains covenants that restrict, among other things, the Company’s ability to sell assets, make investments and acquisitions, make capital expenditures, grant liens, pay dividends and make certain other restricted payments.</w:t>
      </w:r>
    </w:p>
    <w:p>
      <w:pPr>
        <w:spacing w:after="0" w:line="10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Company was in compliance with its financial covenants under the Credit Facility as of December 30, 2011. At December 30, 2011, the Company had $170.0 million in principal amount of outstanding borrowings under the Credit Facility and $13.0 million outstanding under standby letters of credit, leaving borrowing availability under the Credit Facility as of December 30, 2011 of $142.0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leases</w:t>
      </w:r>
    </w:p>
    <w:p>
      <w:pPr>
        <w:spacing w:after="0" w:line="9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Occasionally, the Company may enter into capital lease agreements for various machinery, equipment, computer-related equipment, software, furniture or fixtures. As of December 30, 2011 and April 1, 2011, the Company had approximately $2.3 million and $3.1 million, respectively, outstanding under capital leases payable over a weighted average period of 36 months, due fiscal years 2014 through 2015. These lease agreements bear interest at a weighted average rate of 4.64% and can be extended on a month-to-month basis after the original term.</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Product Warranty</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Company provides limited warranties on its products for periods of up to five years. The Company records a liability for its warranty obligations when products are shipped or they are included in long-term construction contracts based upon an estimate of expected warranty costs. Amounts expected to be incurred within twelve months are classified as a current liability. For mature products, the warranty cost estimates are based on historical experience with the particular product. For newer products that do not have a history of warranty cost, the Company bases its estimates on its experience with the technology involved and the type of failures that may occur. It is possible that the Company’s underlying assumptions will not reflect the actual experience and in that case, future adjustments will be made to the recorded warranty obligation. The following table reflects the change in the Company’s warranty accrual during the nine months ended December 30, 2011 and December 31, 2010.</w:t>
      </w:r>
    </w:p>
    <w:p>
      <w:pPr>
        <w:spacing w:after="0" w:line="15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jc w:val="center"/>
              <w:ind w:left="296"/>
              <w:spacing w:after="0"/>
              <w:rPr>
                <w:sz w:val="20"/>
                <w:szCs w:val="20"/>
                <w:color w:val="auto"/>
              </w:rPr>
            </w:pPr>
            <w:r>
              <w:rPr>
                <w:rFonts w:ascii="Arial" w:cs="Arial" w:eastAsia="Arial" w:hAnsi="Arial"/>
                <w:sz w:val="14"/>
                <w:szCs w:val="14"/>
                <w:b w:val="1"/>
                <w:bCs w:val="1"/>
                <w:color w:val="auto"/>
                <w:w w:val="88"/>
              </w:rPr>
              <w:t>Nine Months Ended</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20" w:type="dxa"/>
            <w:vAlign w:val="bottom"/>
          </w:tcPr>
          <w:p>
            <w:pPr>
              <w:spacing w:after="0"/>
              <w:rPr>
                <w:sz w:val="12"/>
                <w:szCs w:val="12"/>
                <w:color w:val="auto"/>
              </w:rPr>
            </w:pPr>
          </w:p>
        </w:tc>
        <w:tc>
          <w:tcPr>
            <w:tcW w:w="1160" w:type="dxa"/>
            <w:vAlign w:val="bottom"/>
            <w:tcBorders>
              <w:bottom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w w:val="88"/>
              </w:rPr>
              <w:t>December 30, 2011</w:t>
            </w:r>
          </w:p>
        </w:tc>
        <w:tc>
          <w:tcPr>
            <w:tcW w:w="9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December 31, 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gridSpan w:val="2"/>
          </w:tcPr>
          <w:p>
            <w:pPr>
              <w:jc w:val="center"/>
              <w:ind w:right="352"/>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12,942</w:t>
            </w:r>
          </w:p>
        </w:tc>
        <w:tc>
          <w:tcPr>
            <w:tcW w:w="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11,208</w:t>
            </w:r>
          </w:p>
        </w:tc>
        <w:tc>
          <w:tcPr>
            <w:tcW w:w="0" w:type="dxa"/>
            <w:vAlign w:val="bottom"/>
          </w:tcPr>
          <w:p>
            <w:pPr>
              <w:spacing w:after="0"/>
              <w:rPr>
                <w:sz w:val="1"/>
                <w:szCs w:val="1"/>
                <w:color w:val="auto"/>
              </w:rPr>
            </w:pPr>
          </w:p>
        </w:tc>
      </w:tr>
      <w:tr>
        <w:trPr>
          <w:trHeight w:val="216"/>
        </w:trPr>
        <w:tc>
          <w:tcPr>
            <w:tcW w:w="6320" w:type="dxa"/>
            <w:vAlign w:val="bottom"/>
          </w:tcPr>
          <w:p>
            <w:pPr>
              <w:ind w:left="440"/>
              <w:spacing w:after="0"/>
              <w:rPr>
                <w:sz w:val="20"/>
                <w:szCs w:val="20"/>
                <w:color w:val="auto"/>
              </w:rPr>
            </w:pPr>
            <w:r>
              <w:rPr>
                <w:rFonts w:ascii="Arial" w:cs="Arial" w:eastAsia="Arial" w:hAnsi="Arial"/>
                <w:sz w:val="18"/>
                <w:szCs w:val="18"/>
                <w:color w:val="auto"/>
              </w:rPr>
              <w:t>Change in liability for warranties issued in period</w:t>
            </w: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4,147</w:t>
            </w: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5,903</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Settlements made (in cash or in kind) during the period</w:t>
            </w: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(5,131)</w:t>
            </w: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(4,042)</w:t>
            </w:r>
          </w:p>
        </w:tc>
        <w:tc>
          <w:tcPr>
            <w:tcW w:w="0" w:type="dxa"/>
            <w:vAlign w:val="bottom"/>
          </w:tcPr>
          <w:p>
            <w:pPr>
              <w:spacing w:after="0"/>
              <w:rPr>
                <w:sz w:val="1"/>
                <w:szCs w:val="1"/>
                <w:color w:val="auto"/>
              </w:rPr>
            </w:pPr>
          </w:p>
        </w:tc>
      </w:tr>
      <w:tr>
        <w:trPr>
          <w:trHeight w:val="20"/>
        </w:trPr>
        <w:tc>
          <w:tcPr>
            <w:tcW w:w="6320" w:type="dxa"/>
            <w:vAlign w:val="bottom"/>
            <w:vMerge w:val="restart"/>
          </w:tcPr>
          <w:p>
            <w:pPr>
              <w:spacing w:after="0"/>
              <w:rPr>
                <w:sz w:val="20"/>
                <w:szCs w:val="20"/>
                <w:color w:val="auto"/>
              </w:rPr>
            </w:pPr>
            <w:r>
              <w:rPr>
                <w:rFonts w:ascii="Arial" w:cs="Arial" w:eastAsia="Arial" w:hAnsi="Arial"/>
                <w:sz w:val="18"/>
                <w:szCs w:val="18"/>
                <w:color w:val="auto"/>
              </w:rPr>
              <w:t>Balance, end of period</w:t>
            </w: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320" w:type="dxa"/>
            <w:vAlign w:val="bottom"/>
            <w:vMerge w:val="continue"/>
          </w:tcPr>
          <w:p>
            <w:pPr>
              <w:spacing w:after="0"/>
              <w:rPr>
                <w:sz w:val="19"/>
                <w:szCs w:val="19"/>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11,958</w:t>
            </w:r>
          </w:p>
        </w:tc>
        <w:tc>
          <w:tcPr>
            <w:tcW w:w="6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13,069</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Commitments and Contingencies</w:t>
      </w:r>
    </w:p>
    <w:p>
      <w:pPr>
        <w:spacing w:after="0" w:line="9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 Company is involved in a variety of claims, suits, investigations and proceedings arising in the ordinary course of business, including actions with respect to intellectual property claims, breach of contract claims, labor and employment claims, tax and other matters. Although claims, suits, investigations and proceedings are inherently uncertain and their results cannot be predicted with certainty, the Company believes that the resolution of its current pending matters will not have a material adverse effect on its business, financial condition, results of operations or liquidity.</w:t>
      </w:r>
    </w:p>
    <w:p>
      <w:pPr>
        <w:spacing w:after="0" w:line="11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Company entered into the Indemnification Agreement with the Indemnitors in connection with the Company’s acquisition of WildBlue. Pursuant to the terms of the Indemnification Agreement, the Indemnitors agreed to indemnify the Company for any damages relating to, among other things, the Action. During the third quarter of fiscal year 2012, the parties to the Action entered into a settlement agreement whereby the parties agreed to release all claims in exchange for a payment of $20.5 million by WildBlue to the plaintiffs. Payment of this amount by WildBlue was expressly conditioned upon the Indemnitors fully funding all amounts other than the $0.5 million the Company was obligated to pay under the Indemnification Agreement. Accordingly, the Company recorded an additional $20.0 million liability related to the probable settlement of the Action and corresponding indemnification receivable of $20.0 million pursuant to the Indemnification Agreement in the condensed consolidated balance sheets as of December 30, 2011 as an element of current accrued liabilities and prepaid expenses and other current assets, respectively. Subsequent to the quarter end, in January 2012, in accordance with the terms of the settlement agreement, the Company received $20.0 million in cash from the Indemnitors and paid $20.5 million to the plaintiffs in the Action.</w:t>
      </w:r>
    </w:p>
    <w:p>
      <w:pPr>
        <w:spacing w:after="0" w:line="12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The Company has contracts with various U.S. government agencies. Accordingly, the Company is routinely subject to audit and review by the DCAA and other U.S. government agencies for its performance on government contracts, indirect rates and pricing practices, accounting and management internal control systems, and compliance with applicable contracting and procurement laws, regulations and standards. Such audits or reviews could result in significant customer refunds, penalties and sanctions against the Company, and could adversely affect the Company’s ability to compete for contracts, perform contracts or receive timely payment on contracts. The Company’s incurred cost audits by the DCAA have not been completed for fiscal year 2003 and subsequent fiscal years. Although the Company has recorded contract revenues subsequent to fiscal year 2002 based upon an estimate of costs that the Company believes will be approved upon final audit or review, the Company does not know the outcome of any ongoing or future audits or reviews and adjustments, and if future adjustments exceed the Company’s estimates, its profitability would be adversely affected. As of December 30, 2011 and April 1, 2011, the Company had $6.7 million in contract-related reserves for its estimate of potential refunds to customers for potential cost adjustments on several multi-year U.S. government cost reimbursable contracts. This reserve is classified as either an element of accrued liabilities or as a reduction of unbilled accounts receivable based on status of the related contracts.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Income Taxes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Ordinarily, the effective tax rate at the end of an interim period is calculated using an estimate of the annual effective tax rate expected to be applicable for the full fiscal year. However, when a reliable estimate cannot be made, the Company computes its provision for income taxes using the actual effective tax rate for the year-to-date period. The Company’s effective tax rate is highly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influenced by the amount of its federal and state research and development tax credits. A small change in estimated annual pretax income (loss) can produce a significant variance in the annual effective tax rate given the Company’s expected amount of research and development tax credits. This variability provides an unreliable estimate of the annual effective tax rate. As a result, and in accordance with the authoritative guidance for accounting for income taxes in interim periods, the Company has computed its provision for income taxes for the three and nine months ended December 30, 2011, by applying the actual effective tax rate to the year-to-date income for the nine-month period.</w:t>
      </w:r>
    </w:p>
    <w:p>
      <w:pPr>
        <w:spacing w:after="0" w:line="11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For the three and nine months ended December 30, 2011, the Company’s gross unrecognized tax benefits decreased by $2.0 million and increased by $1.1 million, respectively. In the next twelve months, it is reasonably possible that the amount of unrecognized tax benefits will decrease by up to approximately $2.7 million as a result of the expiration of the statute of limitations or settlements with tax authorities for previously filed tax returns.</w:t>
      </w:r>
    </w:p>
    <w:p>
      <w:pPr>
        <w:spacing w:after="0" w:line="9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00"/>
          </w:cols>
          <w:pgMar w:left="240" w:top="459" w:right="3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Acquisition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July 8, 2010, the Company completed the acquisition of all outstanding shares of the parent company of Stonewood. Stonewood is a leader in the</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design, manufacture and delivery of data at rest encryption products and services. Stonewood products are used to encrypt data on computer hard drives so that a</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lost or stolen laptop does not result in the compromise of classified information or the loss of intellectual property. These products enhance the Company’s current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encryption security offerings within the Company’s information assurance products in the government systems segment. The purchase price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$18.8 million was comprised of $4.6 million related to the fair value of 144,962 shares of the Company’s common stock issued at the closing and $14.2 million in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cash consideration paid to former Stonewood stockholders. The $14.2 million in cash consideration paid to the former Stonewood stockholders less cash acquired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of $0.7 million resulted in a net cash outlay of approximately $13.5 million. The acquisition was accounted for as a purchase and accordingly, the condensed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consolidated financial statements include the operating results of Stonewood from the date of acquisition.</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Segment Information</w:t>
      </w:r>
    </w:p>
    <w:p>
      <w:pPr>
        <w:spacing w:after="0" w:line="96" w:lineRule="exact"/>
        <w:rPr>
          <w:sz w:val="20"/>
          <w:szCs w:val="20"/>
          <w:color w:val="auto"/>
        </w:rPr>
      </w:pPr>
    </w:p>
    <w:p>
      <w:pPr>
        <w:ind w:right="180" w:firstLine="456"/>
        <w:spacing w:after="0" w:line="309" w:lineRule="auto"/>
        <w:rPr>
          <w:sz w:val="20"/>
          <w:szCs w:val="20"/>
          <w:color w:val="auto"/>
        </w:rPr>
      </w:pPr>
      <w:r>
        <w:rPr>
          <w:rFonts w:ascii="Arial" w:cs="Arial" w:eastAsia="Arial" w:hAnsi="Arial"/>
          <w:sz w:val="15"/>
          <w:szCs w:val="15"/>
          <w:color w:val="auto"/>
        </w:rPr>
        <w:t>The Company’s reporting segments, comprised of the government systems, commercial networks and satellite services segments, are primarily distinguished by the type of customer and the related contractual requirements. The Company’s government systems segment develops and produces network-centric, IP-based secure government communications systems, products and solutions. The more regulated government environment is subject to unique contractual requirements and possesses economic characteristics which differ from the commercial networks and satellite services segments. The Company’s commercial networks segment develops and produces a variety of advanced end-to-end satellite communication systems and ground networking equipment and products. The Company’s satellite services segment complements primarily the commercial networks segment by providing wholesale and retail satellite-based broadband internet services in the United States via the Company’s satellite and capacity agreements, as well as managed network services for the satellite communication systems of the Company’s consumer, enterprise and mobile broadband customers. The Company’s segments are determined consistent with the way management currently organizes and evaluates financial information internally for making operating decisions and assessing performance.</w:t>
      </w:r>
    </w:p>
    <w:p>
      <w:pPr>
        <w:spacing w:after="0" w:line="10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As discussed further in Note 1, included in the government systems segment operating profit for the nine months ended December 31, 2010 is an $8.5 million forward loss recorded on a government satellite communications program. Segment revenues and operating profits (losses) for the three and nine months ended December 30, 2011 and December 31, 2010 were as follows:</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w w:val="95"/>
              </w:rPr>
              <w:t>Three Months Ended</w:t>
            </w:r>
          </w:p>
        </w:tc>
        <w:tc>
          <w:tcPr>
            <w:tcW w:w="700" w:type="dxa"/>
            <w:vAlign w:val="bottom"/>
            <w:tcBorders>
              <w:bottom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b w:val="1"/>
                <w:bCs w:val="1"/>
                <w:color w:val="auto"/>
                <w:w w:val="96"/>
              </w:rPr>
              <w:t>Nine Months Ended</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74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December 30, 2011</w:t>
            </w:r>
          </w:p>
        </w:tc>
        <w:tc>
          <w:tcPr>
            <w:tcW w:w="11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December 31, 2010</w:t>
            </w:r>
          </w:p>
        </w:tc>
        <w:tc>
          <w:tcPr>
            <w:tcW w:w="64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December 30, 2011</w:t>
            </w:r>
          </w:p>
        </w:tc>
        <w:tc>
          <w:tcPr>
            <w:tcW w:w="3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December 31, 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60" w:type="dxa"/>
            <w:vAlign w:val="bottom"/>
            <w:gridSpan w:val="3"/>
          </w:tcPr>
          <w:p>
            <w:pPr>
              <w:ind w:left="600"/>
              <w:spacing w:after="0" w:line="142" w:lineRule="exact"/>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420"/>
              <w:spacing w:after="0"/>
              <w:rPr>
                <w:sz w:val="20"/>
                <w:szCs w:val="20"/>
                <w:color w:val="auto"/>
              </w:rPr>
            </w:pPr>
            <w:r>
              <w:rPr>
                <w:rFonts w:ascii="Arial" w:cs="Arial" w:eastAsia="Arial" w:hAnsi="Arial"/>
                <w:sz w:val="18"/>
                <w:szCs w:val="18"/>
                <w:color w:val="auto"/>
              </w:rPr>
              <w:t>Government Systems</w:t>
            </w: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Product</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72,036</w:t>
            </w: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89,640</w:t>
            </w: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233,256</w:t>
            </w:r>
          </w:p>
        </w:tc>
        <w:tc>
          <w:tcPr>
            <w:tcW w:w="3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258,002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tcPr>
          <w:p>
            <w:pPr>
              <w:ind w:left="860"/>
              <w:spacing w:after="0"/>
              <w:rPr>
                <w:sz w:val="20"/>
                <w:szCs w:val="20"/>
                <w:color w:val="auto"/>
              </w:rPr>
            </w:pPr>
            <w:r>
              <w:rPr>
                <w:rFonts w:ascii="Arial" w:cs="Arial" w:eastAsia="Arial" w:hAnsi="Arial"/>
                <w:sz w:val="18"/>
                <w:szCs w:val="18"/>
                <w:color w:val="auto"/>
              </w:rPr>
              <w:t>Service</w:t>
            </w: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22,829</w:t>
            </w:r>
          </w:p>
        </w:tc>
        <w:tc>
          <w:tcPr>
            <w:tcW w:w="6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7,921</w:t>
            </w:r>
          </w:p>
        </w:tc>
        <w:tc>
          <w:tcPr>
            <w:tcW w:w="6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51,188</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94,865</w:t>
            </w: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97,561</w:t>
            </w: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284,444</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420"/>
              <w:spacing w:after="0"/>
              <w:rPr>
                <w:sz w:val="20"/>
                <w:szCs w:val="20"/>
                <w:color w:val="auto"/>
              </w:rPr>
            </w:pPr>
            <w:r>
              <w:rPr>
                <w:rFonts w:ascii="Arial" w:cs="Arial" w:eastAsia="Arial" w:hAnsi="Arial"/>
                <w:sz w:val="18"/>
                <w:szCs w:val="18"/>
                <w:color w:val="auto"/>
              </w:rPr>
              <w:t>Commercial Networks</w:t>
            </w: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Product</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49,092</w:t>
            </w: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34,849</w:t>
            </w: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155,451</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116,898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tcPr>
          <w:p>
            <w:pPr>
              <w:ind w:left="860"/>
              <w:spacing w:after="0"/>
              <w:rPr>
                <w:sz w:val="20"/>
                <w:szCs w:val="20"/>
                <w:color w:val="auto"/>
              </w:rPr>
            </w:pPr>
            <w:r>
              <w:rPr>
                <w:rFonts w:ascii="Arial" w:cs="Arial" w:eastAsia="Arial" w:hAnsi="Arial"/>
                <w:sz w:val="18"/>
                <w:szCs w:val="18"/>
                <w:color w:val="auto"/>
              </w:rPr>
              <w:t>Service</w:t>
            </w: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5,357</w:t>
            </w:r>
          </w:p>
        </w:tc>
        <w:tc>
          <w:tcPr>
            <w:tcW w:w="6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4,199</w:t>
            </w:r>
          </w:p>
        </w:tc>
        <w:tc>
          <w:tcPr>
            <w:tcW w:w="6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15,266</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54,449</w:t>
            </w: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39,048</w:t>
            </w: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170,717</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420"/>
              <w:spacing w:after="0"/>
              <w:rPr>
                <w:sz w:val="20"/>
                <w:szCs w:val="20"/>
                <w:color w:val="auto"/>
              </w:rPr>
            </w:pPr>
            <w:r>
              <w:rPr>
                <w:rFonts w:ascii="Arial" w:cs="Arial" w:eastAsia="Arial" w:hAnsi="Arial"/>
                <w:sz w:val="18"/>
                <w:szCs w:val="18"/>
                <w:color w:val="auto"/>
              </w:rPr>
              <w:t>Satellite Services</w:t>
            </w: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Product</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w:t>
            </w: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tcPr>
          <w:p>
            <w:pPr>
              <w:ind w:left="860"/>
              <w:spacing w:after="0"/>
              <w:rPr>
                <w:sz w:val="20"/>
                <w:szCs w:val="20"/>
                <w:color w:val="auto"/>
              </w:rPr>
            </w:pPr>
            <w:r>
              <w:rPr>
                <w:rFonts w:ascii="Arial" w:cs="Arial" w:eastAsia="Arial" w:hAnsi="Arial"/>
                <w:sz w:val="18"/>
                <w:szCs w:val="18"/>
                <w:color w:val="auto"/>
              </w:rPr>
              <w:t>Service</w:t>
            </w: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54,916</w:t>
            </w:r>
          </w:p>
        </w:tc>
        <w:tc>
          <w:tcPr>
            <w:tcW w:w="6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57,387</w:t>
            </w:r>
          </w:p>
        </w:tc>
        <w:tc>
          <w:tcPr>
            <w:tcW w:w="6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165,616</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171,390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55,650</w:t>
            </w: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59,332</w:t>
            </w: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167,928</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175,512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tcPr>
          <w:p>
            <w:pPr>
              <w:ind w:left="420"/>
              <w:spacing w:after="0"/>
              <w:rPr>
                <w:sz w:val="20"/>
                <w:szCs w:val="20"/>
                <w:color w:val="auto"/>
              </w:rPr>
            </w:pPr>
            <w:r>
              <w:rPr>
                <w:rFonts w:ascii="Arial" w:cs="Arial" w:eastAsia="Arial" w:hAnsi="Arial"/>
                <w:sz w:val="18"/>
                <w:szCs w:val="18"/>
                <w:color w:val="auto"/>
              </w:rPr>
              <w:t>Elimination of intersegment revenues</w:t>
            </w: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204,964</w:t>
            </w: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195,941</w:t>
            </w: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623,089</w:t>
            </w:r>
          </w:p>
        </w:tc>
        <w:tc>
          <w:tcPr>
            <w:tcW w:w="3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585,834</w:t>
            </w:r>
          </w:p>
        </w:tc>
        <w:tc>
          <w:tcPr>
            <w:tcW w:w="0" w:type="dxa"/>
            <w:vAlign w:val="bottom"/>
          </w:tcPr>
          <w:p>
            <w:pPr>
              <w:spacing w:after="0"/>
              <w:rPr>
                <w:sz w:val="1"/>
                <w:szCs w:val="1"/>
                <w:color w:val="auto"/>
              </w:rPr>
            </w:pPr>
          </w:p>
        </w:tc>
      </w:tr>
      <w:tr>
        <w:trPr>
          <w:trHeight w:val="20"/>
        </w:trPr>
        <w:tc>
          <w:tcPr>
            <w:tcW w:w="4060" w:type="dxa"/>
            <w:vAlign w:val="bottom"/>
            <w:gridSpan w:val="2"/>
            <w:vMerge w:val="restart"/>
          </w:tcPr>
          <w:p>
            <w:pPr>
              <w:spacing w:after="0"/>
              <w:rPr>
                <w:sz w:val="20"/>
                <w:szCs w:val="20"/>
                <w:color w:val="auto"/>
              </w:rPr>
            </w:pPr>
            <w:r>
              <w:rPr>
                <w:rFonts w:ascii="Arial" w:cs="Arial" w:eastAsia="Arial" w:hAnsi="Arial"/>
                <w:sz w:val="18"/>
                <w:szCs w:val="18"/>
                <w:color w:val="auto"/>
              </w:rPr>
              <w:t>Operating profits (losses)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406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Government Systems</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13,062</w:t>
            </w: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8,166</w:t>
            </w: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34,775</w:t>
            </w:r>
          </w:p>
        </w:tc>
        <w:tc>
          <w:tcPr>
            <w:tcW w:w="3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420"/>
              <w:spacing w:after="0"/>
              <w:rPr>
                <w:sz w:val="20"/>
                <w:szCs w:val="20"/>
                <w:color w:val="auto"/>
              </w:rPr>
            </w:pPr>
            <w:r>
              <w:rPr>
                <w:rFonts w:ascii="Arial" w:cs="Arial" w:eastAsia="Arial" w:hAnsi="Arial"/>
                <w:sz w:val="18"/>
                <w:szCs w:val="18"/>
                <w:color w:val="auto"/>
              </w:rPr>
              <w:t>Commercial Networks</w:t>
            </w:r>
          </w:p>
        </w:tc>
        <w:tc>
          <w:tcPr>
            <w:tcW w:w="300" w:type="dxa"/>
            <w:vAlign w:val="bottom"/>
          </w:tcPr>
          <w:p>
            <w:pPr>
              <w:spacing w:after="0"/>
              <w:rPr>
                <w:sz w:val="18"/>
                <w:szCs w:val="18"/>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(5,159)</w:t>
            </w:r>
          </w:p>
        </w:tc>
        <w:tc>
          <w:tcPr>
            <w:tcW w:w="400" w:type="dxa"/>
            <w:vAlign w:val="bottom"/>
          </w:tcPr>
          <w:p>
            <w:pPr>
              <w:spacing w:after="0"/>
              <w:rPr>
                <w:sz w:val="18"/>
                <w:szCs w:val="18"/>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(4,160)</w:t>
            </w:r>
          </w:p>
        </w:tc>
        <w:tc>
          <w:tcPr>
            <w:tcW w:w="32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(11,270)</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Satellite Services</w:t>
            </w:r>
          </w:p>
        </w:tc>
        <w:tc>
          <w:tcPr>
            <w:tcW w:w="3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(1,359)</w:t>
            </w: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7,929</w:t>
            </w: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(1,165)</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27,096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40" w:type="dxa"/>
            <w:vAlign w:val="bottom"/>
          </w:tcPr>
          <w:p>
            <w:pPr>
              <w:ind w:left="420"/>
              <w:spacing w:after="0"/>
              <w:rPr>
                <w:sz w:val="20"/>
                <w:szCs w:val="20"/>
                <w:color w:val="auto"/>
              </w:rPr>
            </w:pPr>
            <w:r>
              <w:rPr>
                <w:rFonts w:ascii="Arial" w:cs="Arial" w:eastAsia="Arial" w:hAnsi="Arial"/>
                <w:sz w:val="18"/>
                <w:szCs w:val="18"/>
                <w:color w:val="auto"/>
              </w:rPr>
              <w:t>Elimination of intersegment operating</w:t>
            </w: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040" w:type="dxa"/>
            <w:vAlign w:val="bottom"/>
          </w:tcPr>
          <w:p>
            <w:pPr>
              <w:ind w:left="640"/>
              <w:spacing w:after="0"/>
              <w:rPr>
                <w:sz w:val="20"/>
                <w:szCs w:val="20"/>
                <w:color w:val="auto"/>
              </w:rPr>
            </w:pPr>
            <w:r>
              <w:rPr>
                <w:rFonts w:ascii="Arial" w:cs="Arial" w:eastAsia="Arial" w:hAnsi="Arial"/>
                <w:sz w:val="18"/>
                <w:szCs w:val="18"/>
                <w:color w:val="auto"/>
              </w:rPr>
              <w:t>profits</w:t>
            </w:r>
          </w:p>
        </w:tc>
        <w:tc>
          <w:tcPr>
            <w:tcW w:w="300" w:type="dxa"/>
            <w:vAlign w:val="bottom"/>
          </w:tcPr>
          <w:p>
            <w:pPr>
              <w:spacing w:after="0"/>
              <w:rPr>
                <w:sz w:val="20"/>
                <w:szCs w:val="20"/>
                <w:color w:val="auto"/>
              </w:rPr>
            </w:pPr>
          </w:p>
        </w:tc>
        <w:tc>
          <w:tcPr>
            <w:tcW w:w="144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34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profit before corporate and</w:t>
            </w: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acquired intangible assets</w:t>
            </w: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6,544</w:t>
            </w:r>
          </w:p>
        </w:tc>
        <w:tc>
          <w:tcPr>
            <w:tcW w:w="6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11,935</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22,340</w:t>
            </w:r>
          </w:p>
        </w:tc>
        <w:tc>
          <w:tcPr>
            <w:tcW w:w="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420"/>
              <w:spacing w:after="0"/>
              <w:rPr>
                <w:sz w:val="20"/>
                <w:szCs w:val="20"/>
                <w:color w:val="auto"/>
              </w:rPr>
            </w:pPr>
            <w:r>
              <w:rPr>
                <w:rFonts w:ascii="Arial" w:cs="Arial" w:eastAsia="Arial" w:hAnsi="Arial"/>
                <w:sz w:val="18"/>
                <w:szCs w:val="18"/>
                <w:color w:val="auto"/>
              </w:rPr>
              <w:t>Corporate</w:t>
            </w:r>
          </w:p>
        </w:tc>
        <w:tc>
          <w:tcPr>
            <w:tcW w:w="300" w:type="dxa"/>
            <w:vAlign w:val="bottom"/>
          </w:tcPr>
          <w:p>
            <w:pPr>
              <w:spacing w:after="0"/>
              <w:rPr>
                <w:sz w:val="18"/>
                <w:szCs w:val="18"/>
                <w:color w:val="auto"/>
              </w:rPr>
            </w:pPr>
          </w:p>
        </w:tc>
        <w:tc>
          <w:tcPr>
            <w:tcW w:w="144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34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acquired intangible assets</w:t>
            </w:r>
          </w:p>
        </w:tc>
        <w:tc>
          <w:tcPr>
            <w:tcW w:w="3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(4,752)</w:t>
            </w:r>
          </w:p>
        </w:tc>
        <w:tc>
          <w:tcPr>
            <w:tcW w:w="4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(4,923)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(14,291)</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(14,627)</w:t>
            </w:r>
          </w:p>
        </w:tc>
        <w:tc>
          <w:tcPr>
            <w:tcW w:w="0" w:type="dxa"/>
            <w:vAlign w:val="bottom"/>
          </w:tcPr>
          <w:p>
            <w:pPr>
              <w:spacing w:after="0"/>
              <w:rPr>
                <w:sz w:val="1"/>
                <w:szCs w:val="1"/>
                <w:color w:val="auto"/>
              </w:rPr>
            </w:pPr>
          </w:p>
        </w:tc>
      </w:tr>
      <w:tr>
        <w:trPr>
          <w:trHeight w:val="20"/>
        </w:trPr>
        <w:tc>
          <w:tcPr>
            <w:tcW w:w="4060" w:type="dxa"/>
            <w:vAlign w:val="bottom"/>
            <w:gridSpan w:val="2"/>
            <w:vMerge w:val="restart"/>
          </w:tcPr>
          <w:p>
            <w:pPr>
              <w:spacing w:after="0"/>
              <w:rPr>
                <w:sz w:val="20"/>
                <w:szCs w:val="20"/>
                <w:color w:val="auto"/>
              </w:rPr>
            </w:pPr>
            <w:r>
              <w:rPr>
                <w:rFonts w:ascii="Arial" w:cs="Arial" w:eastAsia="Arial" w:hAnsi="Arial"/>
                <w:sz w:val="18"/>
                <w:szCs w:val="18"/>
                <w:color w:val="auto"/>
              </w:rPr>
              <w:t>Income from operations</w:t>
            </w: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060" w:type="dxa"/>
            <w:vAlign w:val="bottom"/>
            <w:gridSpan w:val="2"/>
            <w:vMerge w:val="continue"/>
          </w:tcPr>
          <w:p>
            <w:pPr>
              <w:spacing w:after="0"/>
              <w:rPr>
                <w:sz w:val="19"/>
                <w:szCs w:val="19"/>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1,792</w:t>
            </w:r>
          </w:p>
        </w:tc>
        <w:tc>
          <w:tcPr>
            <w:tcW w:w="640" w:type="dxa"/>
            <w:vAlign w:val="bottom"/>
          </w:tcPr>
          <w:p>
            <w:pPr>
              <w:spacing w:after="0"/>
              <w:rPr>
                <w:sz w:val="19"/>
                <w:szCs w:val="19"/>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7,012</w:t>
            </w:r>
          </w:p>
        </w:tc>
        <w:tc>
          <w:tcPr>
            <w:tcW w:w="640" w:type="dxa"/>
            <w:vAlign w:val="bottom"/>
          </w:tcPr>
          <w:p>
            <w:pPr>
              <w:spacing w:after="0"/>
              <w:rPr>
                <w:sz w:val="19"/>
                <w:szCs w:val="19"/>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8,049</w:t>
            </w:r>
          </w:p>
        </w:tc>
        <w:tc>
          <w:tcPr>
            <w:tcW w:w="360" w:type="dxa"/>
            <w:vAlign w:val="bottom"/>
          </w:tcPr>
          <w:p>
            <w:pPr>
              <w:spacing w:after="0"/>
              <w:rPr>
                <w:sz w:val="19"/>
                <w:szCs w:val="19"/>
                <w:color w:val="auto"/>
              </w:rPr>
            </w:pPr>
          </w:p>
        </w:tc>
        <w:tc>
          <w:tcPr>
            <w:tcW w:w="6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27,468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459" w:right="23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Assets identifiable to segments include: accounts receivable, unbilled accounts receivable, inventory, acquired intangible assets and goodwill. The Company’s property, plant and equipment, including its satellites, gateways and other networking equipment, are assigned to corporate assets as they are available for use by the various segments throughout their estimated useful lives. Segment assets as of December 30, 2011 and April 1, 2011 were as follows:</w:t>
      </w:r>
    </w:p>
    <w:p>
      <w:pPr>
        <w:spacing w:after="0" w:line="1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gridSpan w:val="2"/>
          </w:tcPr>
          <w:p>
            <w:pPr>
              <w:ind w:left="160"/>
              <w:spacing w:after="0"/>
              <w:rPr>
                <w:sz w:val="20"/>
                <w:szCs w:val="20"/>
                <w:color w:val="auto"/>
              </w:rPr>
            </w:pPr>
            <w:r>
              <w:rPr>
                <w:rFonts w:ascii="Arial" w:cs="Arial" w:eastAsia="Arial" w:hAnsi="Arial"/>
                <w:sz w:val="14"/>
                <w:szCs w:val="14"/>
                <w:b w:val="1"/>
                <w:bCs w:val="1"/>
                <w:color w:val="auto"/>
              </w:rPr>
              <w:t>As of</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As of</w:t>
            </w:r>
          </w:p>
        </w:tc>
      </w:t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3720" w:type="dxa"/>
            <w:vAlign w:val="bottom"/>
            <w:gridSpan w:val="4"/>
          </w:tcPr>
          <w:p>
            <w:pPr>
              <w:ind w:left="2000"/>
              <w:spacing w:after="0"/>
              <w:rPr>
                <w:sz w:val="20"/>
                <w:szCs w:val="20"/>
                <w:color w:val="auto"/>
              </w:rPr>
            </w:pPr>
            <w:r>
              <w:rPr>
                <w:rFonts w:ascii="Arial" w:cs="Arial" w:eastAsia="Arial" w:hAnsi="Arial"/>
                <w:sz w:val="14"/>
                <w:szCs w:val="14"/>
                <w:b w:val="1"/>
                <w:bCs w:val="1"/>
                <w:color w:val="auto"/>
              </w:rPr>
              <w:t>December 30, 2011</w:t>
            </w:r>
          </w:p>
        </w:tc>
        <w:tc>
          <w:tcPr>
            <w:tcW w:w="20" w:type="dxa"/>
            <w:vAlign w:val="bottom"/>
          </w:tcPr>
          <w:p>
            <w:pPr>
              <w:spacing w:after="0"/>
              <w:rPr>
                <w:sz w:val="14"/>
                <w:szCs w:val="14"/>
                <w:color w:val="auto"/>
              </w:rPr>
            </w:pPr>
          </w:p>
        </w:tc>
        <w:tc>
          <w:tcPr>
            <w:tcW w:w="9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April 1, 2011</w:t>
            </w:r>
          </w:p>
        </w:tc>
      </w:tr>
      <w:tr>
        <w:trPr>
          <w:trHeight w:val="142"/>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2"/>
          </w:tcPr>
          <w:p>
            <w:pPr>
              <w:ind w:left="600"/>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2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420"/>
              <w:spacing w:after="0"/>
              <w:rPr>
                <w:sz w:val="20"/>
                <w:szCs w:val="20"/>
                <w:color w:val="auto"/>
              </w:rPr>
            </w:pPr>
            <w:r>
              <w:rPr>
                <w:rFonts w:ascii="Arial" w:cs="Arial" w:eastAsia="Arial" w:hAnsi="Arial"/>
                <w:sz w:val="18"/>
                <w:szCs w:val="18"/>
                <w:color w:val="auto"/>
              </w:rPr>
              <w:t>Government Systems</w:t>
            </w:r>
          </w:p>
        </w:tc>
        <w:tc>
          <w:tcPr>
            <w:tcW w:w="2240" w:type="dxa"/>
            <w:vAlign w:val="bottom"/>
            <w:gridSpan w:val="2"/>
          </w:tcPr>
          <w:p>
            <w:pPr>
              <w:ind w:left="20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225,226</w:t>
            </w:r>
          </w:p>
        </w:tc>
        <w:tc>
          <w:tcPr>
            <w:tcW w:w="62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228,194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Commercial Networks</w:t>
            </w:r>
          </w:p>
        </w:tc>
        <w:tc>
          <w:tcPr>
            <w:tcW w:w="2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143,394</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133,158</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020" w:type="dxa"/>
            <w:vAlign w:val="bottom"/>
          </w:tcPr>
          <w:p>
            <w:pPr>
              <w:ind w:left="420"/>
              <w:spacing w:after="0"/>
              <w:rPr>
                <w:sz w:val="20"/>
                <w:szCs w:val="20"/>
                <w:color w:val="auto"/>
              </w:rPr>
            </w:pPr>
            <w:r>
              <w:rPr>
                <w:rFonts w:ascii="Arial" w:cs="Arial" w:eastAsia="Arial" w:hAnsi="Arial"/>
                <w:sz w:val="18"/>
                <w:szCs w:val="18"/>
                <w:color w:val="auto"/>
              </w:rPr>
              <w:t>Satellite Services</w:t>
            </w:r>
          </w:p>
        </w:tc>
        <w:tc>
          <w:tcPr>
            <w:tcW w:w="20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95,325</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93,857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segment assets</w:t>
            </w:r>
          </w:p>
        </w:tc>
        <w:tc>
          <w:tcPr>
            <w:tcW w:w="2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463,945</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455,209</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020" w:type="dxa"/>
            <w:vAlign w:val="bottom"/>
          </w:tcPr>
          <w:p>
            <w:pPr>
              <w:ind w:left="420"/>
              <w:spacing w:after="0"/>
              <w:rPr>
                <w:sz w:val="20"/>
                <w:szCs w:val="20"/>
                <w:color w:val="auto"/>
              </w:rPr>
            </w:pPr>
            <w:r>
              <w:rPr>
                <w:rFonts w:ascii="Arial" w:cs="Arial" w:eastAsia="Arial" w:hAnsi="Arial"/>
                <w:sz w:val="18"/>
                <w:szCs w:val="18"/>
                <w:color w:val="auto"/>
              </w:rPr>
              <w:t>Corporate assets</w:t>
            </w:r>
          </w:p>
        </w:tc>
        <w:tc>
          <w:tcPr>
            <w:tcW w:w="20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1,115,718</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950,539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240" w:type="dxa"/>
            <w:vAlign w:val="bottom"/>
            <w:gridSpan w:val="2"/>
            <w:shd w:val="clear" w:color="auto" w:fill="CCEEFF"/>
          </w:tcPr>
          <w:p>
            <w:pPr>
              <w:ind w:left="20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1,579,663</w:t>
            </w:r>
          </w:p>
        </w:tc>
        <w:tc>
          <w:tcPr>
            <w:tcW w:w="6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1,405,748</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Other acquired intangible assets, net and goodwill included in segment assets as of December 30, 2011 and April 1, 2011 were as follows:</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80" w:type="dxa"/>
            <w:vAlign w:val="bottom"/>
            <w:gridSpan w:val="3"/>
          </w:tcPr>
          <w:p>
            <w:pPr>
              <w:jc w:val="center"/>
              <w:ind w:left="119"/>
              <w:spacing w:after="0"/>
              <w:rPr>
                <w:sz w:val="20"/>
                <w:szCs w:val="20"/>
                <w:color w:val="auto"/>
              </w:rPr>
            </w:pPr>
            <w:r>
              <w:rPr>
                <w:rFonts w:ascii="Arial" w:cs="Arial" w:eastAsia="Arial" w:hAnsi="Arial"/>
                <w:sz w:val="14"/>
                <w:szCs w:val="14"/>
                <w:b w:val="1"/>
                <w:bCs w:val="1"/>
                <w:color w:val="auto"/>
                <w:w w:val="89"/>
              </w:rPr>
              <w:t>Other Acquired Intangible</w:t>
            </w: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45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2"/>
          </w:tcPr>
          <w:p>
            <w:pPr>
              <w:jc w:val="center"/>
              <w:ind w:left="379"/>
              <w:spacing w:after="0"/>
              <w:rPr>
                <w:sz w:val="20"/>
                <w:szCs w:val="20"/>
                <w:color w:val="auto"/>
              </w:rPr>
            </w:pPr>
            <w:r>
              <w:rPr>
                <w:rFonts w:ascii="Arial" w:cs="Arial" w:eastAsia="Arial" w:hAnsi="Arial"/>
                <w:sz w:val="14"/>
                <w:szCs w:val="14"/>
                <w:b w:val="1"/>
                <w:bCs w:val="1"/>
                <w:color w:val="auto"/>
                <w:w w:val="81"/>
              </w:rPr>
              <w:t>Assets, Net</w:t>
            </w:r>
          </w:p>
        </w:tc>
        <w:tc>
          <w:tcPr>
            <w:tcW w:w="2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ind w:left="680"/>
              <w:spacing w:after="0"/>
              <w:rPr>
                <w:sz w:val="20"/>
                <w:szCs w:val="20"/>
                <w:color w:val="auto"/>
              </w:rPr>
            </w:pPr>
            <w:r>
              <w:rPr>
                <w:rFonts w:ascii="Arial" w:cs="Arial" w:eastAsia="Arial" w:hAnsi="Arial"/>
                <w:sz w:val="14"/>
                <w:szCs w:val="14"/>
                <w:b w:val="1"/>
                <w:bCs w:val="1"/>
                <w:color w:val="auto"/>
              </w:rPr>
              <w:t>Goodwill</w:t>
            </w: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540" w:type="dxa"/>
            <w:vAlign w:val="bottom"/>
          </w:tcPr>
          <w:p>
            <w:pPr>
              <w:spacing w:after="0"/>
              <w:rPr>
                <w:sz w:val="12"/>
                <w:szCs w:val="12"/>
                <w:color w:val="auto"/>
              </w:rPr>
            </w:pPr>
          </w:p>
        </w:tc>
        <w:tc>
          <w:tcPr>
            <w:tcW w:w="1820" w:type="dxa"/>
            <w:vAlign w:val="bottom"/>
            <w:tcBorders>
              <w:bottom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December 30, 2011</w:t>
            </w:r>
          </w:p>
        </w:tc>
        <w:tc>
          <w:tcPr>
            <w:tcW w:w="76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7"/>
              </w:rPr>
              <w:t>April 1, 2011</w:t>
            </w:r>
          </w:p>
        </w:tc>
        <w:tc>
          <w:tcPr>
            <w:tcW w:w="3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December 30, 2011</w:t>
            </w: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7"/>
              </w:rPr>
              <w:t>April 1, 2011</w:t>
            </w:r>
          </w:p>
        </w:tc>
        <w:tc>
          <w:tcPr>
            <w:tcW w:w="100" w:type="dxa"/>
            <w:vAlign w:val="bottom"/>
          </w:tcPr>
          <w:p>
            <w:pPr>
              <w:spacing w:after="0"/>
              <w:rPr>
                <w:sz w:val="12"/>
                <w:szCs w:val="12"/>
                <w:color w:val="auto"/>
              </w:rPr>
            </w:pPr>
          </w:p>
        </w:tc>
      </w:tr>
      <w:tr>
        <w:trPr>
          <w:trHeight w:val="142"/>
        </w:trPr>
        <w:tc>
          <w:tcPr>
            <w:tcW w:w="4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60" w:type="dxa"/>
            <w:vAlign w:val="bottom"/>
            <w:gridSpan w:val="4"/>
          </w:tcPr>
          <w:p>
            <w:pPr>
              <w:ind w:left="440"/>
              <w:spacing w:after="0" w:line="142" w:lineRule="exact"/>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Government Systems</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8,845</w:t>
            </w: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7"/>
              </w:rPr>
              <w:t>11,157</w:t>
            </w: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29,680</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30,023</w:t>
            </w:r>
          </w:p>
        </w:tc>
        <w:tc>
          <w:tcPr>
            <w:tcW w:w="100" w:type="dxa"/>
            <w:vAlign w:val="bottom"/>
            <w:shd w:val="clear" w:color="auto" w:fill="CCEEFF"/>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Commercial Networks</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2,754</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5,391</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43,662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43,700</w:t>
            </w:r>
          </w:p>
        </w:tc>
        <w:tc>
          <w:tcPr>
            <w:tcW w:w="100" w:type="dxa"/>
            <w:vAlign w:val="bottom"/>
          </w:tcPr>
          <w:p>
            <w:pPr>
              <w:spacing w:after="0"/>
              <w:rPr>
                <w:sz w:val="18"/>
                <w:szCs w:val="18"/>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Satellite Services</w:t>
            </w: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55,627</w:t>
            </w:r>
          </w:p>
        </w:tc>
        <w:tc>
          <w:tcPr>
            <w:tcW w:w="7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65,341</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9,809</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9,809</w:t>
            </w:r>
          </w:p>
        </w:tc>
        <w:tc>
          <w:tcPr>
            <w:tcW w:w="100" w:type="dxa"/>
            <w:vAlign w:val="bottom"/>
            <w:shd w:val="clear" w:color="auto" w:fill="CCEEFF"/>
          </w:tcPr>
          <w:p>
            <w:pPr>
              <w:spacing w:after="0"/>
              <w:rPr>
                <w:sz w:val="18"/>
                <w:szCs w:val="18"/>
                <w:color w:val="auto"/>
              </w:rPr>
            </w:pPr>
          </w:p>
        </w:tc>
      </w:tr>
      <w:tr>
        <w:trPr>
          <w:trHeight w:val="222"/>
        </w:trPr>
        <w:tc>
          <w:tcPr>
            <w:tcW w:w="4540" w:type="dxa"/>
            <w:vAlign w:val="bottom"/>
          </w:tcPr>
          <w:p>
            <w:pPr>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67,226</w:t>
            </w:r>
          </w:p>
        </w:tc>
        <w:tc>
          <w:tcPr>
            <w:tcW w:w="72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w w:val="87"/>
              </w:rPr>
              <w:t>81,889</w:t>
            </w: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83,151</w:t>
            </w: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83,532</w:t>
            </w:r>
          </w:p>
        </w:tc>
        <w:tc>
          <w:tcPr>
            <w:tcW w:w="100" w:type="dxa"/>
            <w:vAlign w:val="bottom"/>
          </w:tcPr>
          <w:p>
            <w:pPr>
              <w:spacing w:after="0"/>
              <w:rPr>
                <w:sz w:val="19"/>
                <w:szCs w:val="19"/>
                <w:color w:val="auto"/>
              </w:rPr>
            </w:pPr>
          </w:p>
        </w:tc>
      </w:tr>
      <w:tr>
        <w:trPr>
          <w:trHeight w:val="20"/>
        </w:trPr>
        <w:tc>
          <w:tcPr>
            <w:tcW w:w="45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Amortization of acquired intangible assets by segment for the three and nine months ended December 30, 2011 and December 31, 2010 was as follows: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620" w:type="dxa"/>
            <w:vAlign w:val="bottom"/>
            <w:tcBorders>
              <w:bottom w:val="single" w:sz="8" w:color="auto"/>
            </w:tcBorders>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Nine Months Ended</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760" w:type="dxa"/>
            <w:vAlign w:val="bottom"/>
          </w:tcPr>
          <w:p>
            <w:pPr>
              <w:spacing w:after="0"/>
              <w:rPr>
                <w:sz w:val="12"/>
                <w:szCs w:val="12"/>
                <w:color w:val="auto"/>
              </w:rPr>
            </w:pPr>
          </w:p>
        </w:tc>
        <w:tc>
          <w:tcPr>
            <w:tcW w:w="11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December 30, 2011</w:t>
            </w:r>
          </w:p>
        </w:tc>
        <w:tc>
          <w:tcPr>
            <w:tcW w:w="7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4"/>
              </w:rPr>
              <w:t>December 31, 2010</w:t>
            </w:r>
          </w:p>
        </w:tc>
        <w:tc>
          <w:tcPr>
            <w:tcW w:w="7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December 30, 2011</w:t>
            </w:r>
          </w:p>
        </w:tc>
        <w:tc>
          <w:tcPr>
            <w:tcW w:w="7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4"/>
              </w:rPr>
              <w:t>December 31, 2010</w:t>
            </w:r>
          </w:p>
        </w:tc>
        <w:tc>
          <w:tcPr>
            <w:tcW w:w="100" w:type="dxa"/>
            <w:vAlign w:val="bottom"/>
          </w:tcPr>
          <w:p>
            <w:pPr>
              <w:spacing w:after="0"/>
              <w:rPr>
                <w:sz w:val="12"/>
                <w:szCs w:val="12"/>
                <w:color w:val="auto"/>
              </w:rPr>
            </w:pPr>
          </w:p>
        </w:tc>
      </w:tr>
      <w:tr>
        <w:trPr>
          <w:trHeight w:val="142"/>
        </w:trPr>
        <w:tc>
          <w:tcPr>
            <w:tcW w:w="3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740" w:type="dxa"/>
            <w:vAlign w:val="bottom"/>
            <w:gridSpan w:val="3"/>
          </w:tcPr>
          <w:p>
            <w:pPr>
              <w:ind w:left="580"/>
              <w:spacing w:after="0" w:line="142" w:lineRule="exact"/>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Government Systems</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12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1,806</w:t>
            </w:r>
          </w:p>
        </w:tc>
        <w:tc>
          <w:tcPr>
            <w:tcW w:w="100" w:type="dxa"/>
            <w:vAlign w:val="bottom"/>
            <w:shd w:val="clear" w:color="auto" w:fill="CCEEFF"/>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Commercial Networks</w:t>
            </w: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883</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971</w:t>
            </w: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2,650</w:t>
            </w: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3,107</w:t>
            </w:r>
          </w:p>
        </w:tc>
        <w:tc>
          <w:tcPr>
            <w:tcW w:w="100" w:type="dxa"/>
            <w:vAlign w:val="bottom"/>
          </w:tcPr>
          <w:p>
            <w:pPr>
              <w:spacing w:after="0"/>
              <w:rPr>
                <w:sz w:val="18"/>
                <w:szCs w:val="18"/>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Satellite Services</w:t>
            </w:r>
          </w:p>
        </w:tc>
        <w:tc>
          <w:tcPr>
            <w:tcW w:w="4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3,238</w:t>
            </w:r>
          </w:p>
        </w:tc>
        <w:tc>
          <w:tcPr>
            <w:tcW w:w="7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3,238</w:t>
            </w:r>
          </w:p>
        </w:tc>
        <w:tc>
          <w:tcPr>
            <w:tcW w:w="7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9,714</w:t>
            </w:r>
          </w:p>
        </w:tc>
        <w:tc>
          <w:tcPr>
            <w:tcW w:w="7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9,714</w:t>
            </w:r>
          </w:p>
        </w:tc>
        <w:tc>
          <w:tcPr>
            <w:tcW w:w="100" w:type="dxa"/>
            <w:vAlign w:val="bottom"/>
            <w:shd w:val="clear" w:color="auto" w:fill="CCEEFF"/>
          </w:tcPr>
          <w:p>
            <w:pPr>
              <w:spacing w:after="0"/>
              <w:rPr>
                <w:sz w:val="18"/>
                <w:szCs w:val="18"/>
                <w:color w:val="auto"/>
              </w:rPr>
            </w:pPr>
          </w:p>
        </w:tc>
      </w:tr>
      <w:tr>
        <w:trPr>
          <w:trHeight w:val="215"/>
        </w:trPr>
        <w:tc>
          <w:tcPr>
            <w:tcW w:w="3760" w:type="dxa"/>
            <w:vAlign w:val="bottom"/>
          </w:tcPr>
          <w:p>
            <w:pPr>
              <w:spacing w:after="0"/>
              <w:rPr>
                <w:sz w:val="20"/>
                <w:szCs w:val="20"/>
                <w:color w:val="auto"/>
              </w:rPr>
            </w:pPr>
            <w:r>
              <w:rPr>
                <w:rFonts w:ascii="Arial" w:cs="Arial" w:eastAsia="Arial" w:hAnsi="Arial"/>
                <w:sz w:val="18"/>
                <w:szCs w:val="18"/>
                <w:color w:val="auto"/>
              </w:rPr>
              <w:t>Total amortization of acquired intangible</w:t>
            </w: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3760" w:type="dxa"/>
            <w:vAlign w:val="bottom"/>
          </w:tcPr>
          <w:p>
            <w:pPr>
              <w:ind w:left="220"/>
              <w:spacing w:after="0"/>
              <w:rPr>
                <w:sz w:val="20"/>
                <w:szCs w:val="20"/>
                <w:color w:val="auto"/>
              </w:rPr>
            </w:pPr>
            <w:r>
              <w:rPr>
                <w:rFonts w:ascii="Arial" w:cs="Arial" w:eastAsia="Arial" w:hAnsi="Arial"/>
                <w:sz w:val="18"/>
                <w:szCs w:val="18"/>
                <w:color w:val="auto"/>
              </w:rPr>
              <w:t>assets</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4,752</w:t>
            </w:r>
          </w:p>
        </w:tc>
        <w:tc>
          <w:tcPr>
            <w:tcW w:w="12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4,923</w:t>
            </w: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14,291</w:t>
            </w: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14,627</w:t>
            </w:r>
          </w:p>
        </w:tc>
        <w:tc>
          <w:tcPr>
            <w:tcW w:w="100" w:type="dxa"/>
            <w:vAlign w:val="bottom"/>
          </w:tcPr>
          <w:p>
            <w:pPr>
              <w:spacing w:after="0"/>
              <w:rPr>
                <w:sz w:val="19"/>
                <w:szCs w:val="19"/>
                <w:color w:val="auto"/>
              </w:rPr>
            </w:pPr>
          </w:p>
        </w:tc>
      </w:tr>
      <w:tr>
        <w:trPr>
          <w:trHeight w:val="20"/>
        </w:trPr>
        <w:tc>
          <w:tcPr>
            <w:tcW w:w="37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Revenue information by geographic area for the three and nine months ended December 30, 2011 and December 31, 2010 was as follows: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w w:val="98"/>
              </w:rPr>
              <w:t>Three Months Ended</w:t>
            </w:r>
          </w:p>
        </w:tc>
        <w:tc>
          <w:tcPr>
            <w:tcW w:w="700" w:type="dxa"/>
            <w:vAlign w:val="bottom"/>
            <w:tcBorders>
              <w:bottom w:val="single" w:sz="8" w:color="auto"/>
            </w:tcBorders>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w w:val="99"/>
              </w:rPr>
              <w:t>Nine Months Ended</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760" w:type="dxa"/>
            <w:vAlign w:val="bottom"/>
          </w:tcPr>
          <w:p>
            <w:pPr>
              <w:spacing w:after="0"/>
              <w:rPr>
                <w:sz w:val="12"/>
                <w:szCs w:val="12"/>
                <w:color w:val="auto"/>
              </w:rPr>
            </w:pPr>
          </w:p>
        </w:tc>
        <w:tc>
          <w:tcPr>
            <w:tcW w:w="11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December 30, 2011</w:t>
            </w:r>
          </w:p>
        </w:tc>
        <w:tc>
          <w:tcPr>
            <w:tcW w:w="7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4"/>
              </w:rPr>
              <w:t>December 31, 2010</w:t>
            </w:r>
          </w:p>
        </w:tc>
        <w:tc>
          <w:tcPr>
            <w:tcW w:w="7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December 30, 2011</w:t>
            </w:r>
          </w:p>
        </w:tc>
        <w:tc>
          <w:tcPr>
            <w:tcW w:w="7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4"/>
              </w:rPr>
              <w:t>December 31, 2010</w:t>
            </w:r>
          </w:p>
        </w:tc>
        <w:tc>
          <w:tcPr>
            <w:tcW w:w="100" w:type="dxa"/>
            <w:vAlign w:val="bottom"/>
          </w:tcPr>
          <w:p>
            <w:pPr>
              <w:spacing w:after="0"/>
              <w:rPr>
                <w:sz w:val="12"/>
                <w:szCs w:val="12"/>
                <w:color w:val="auto"/>
              </w:rPr>
            </w:pPr>
          </w:p>
        </w:tc>
      </w:tr>
      <w:tr>
        <w:trPr>
          <w:trHeight w:val="142"/>
        </w:trPr>
        <w:tc>
          <w:tcPr>
            <w:tcW w:w="3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760" w:type="dxa"/>
            <w:vAlign w:val="bottom"/>
            <w:gridSpan w:val="3"/>
          </w:tcPr>
          <w:p>
            <w:pPr>
              <w:ind w:left="660"/>
              <w:spacing w:after="0" w:line="142" w:lineRule="exact"/>
              <w:rPr>
                <w:sz w:val="20"/>
                <w:szCs w:val="20"/>
                <w:color w:val="auto"/>
              </w:rPr>
            </w:pPr>
            <w:r>
              <w:rPr>
                <w:rFonts w:ascii="Arial" w:cs="Arial" w:eastAsia="Arial" w:hAnsi="Arial"/>
                <w:sz w:val="14"/>
                <w:szCs w:val="14"/>
                <w:b w:val="1"/>
                <w:bCs w:val="1"/>
                <w:color w:val="auto"/>
              </w:rPr>
              <w:t>(In thousands)</w:t>
            </w: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165,660</w:t>
            </w:r>
          </w:p>
        </w:tc>
        <w:tc>
          <w:tcPr>
            <w:tcW w:w="11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165,763</w:t>
            </w:r>
          </w:p>
        </w:tc>
        <w:tc>
          <w:tcPr>
            <w:tcW w:w="10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495,621</w:t>
            </w: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493,863</w:t>
            </w:r>
          </w:p>
        </w:tc>
        <w:tc>
          <w:tcPr>
            <w:tcW w:w="100" w:type="dxa"/>
            <w:vAlign w:val="bottom"/>
            <w:shd w:val="clear" w:color="auto" w:fill="CCEEFF"/>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Europe, Middle East and Africa</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25,107</w:t>
            </w: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20,301</w:t>
            </w: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82,347</w:t>
            </w: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62,502</w:t>
            </w:r>
          </w:p>
        </w:tc>
        <w:tc>
          <w:tcPr>
            <w:tcW w:w="100" w:type="dxa"/>
            <w:vAlign w:val="bottom"/>
          </w:tcPr>
          <w:p>
            <w:pPr>
              <w:spacing w:after="0"/>
              <w:rPr>
                <w:sz w:val="18"/>
                <w:szCs w:val="18"/>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4,586</w:t>
            </w: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5,870</w:t>
            </w: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16,583</w:t>
            </w: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18,715</w:t>
            </w:r>
          </w:p>
        </w:tc>
        <w:tc>
          <w:tcPr>
            <w:tcW w:w="100" w:type="dxa"/>
            <w:vAlign w:val="bottom"/>
            <w:shd w:val="clear" w:color="auto" w:fill="CCEEFF"/>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North America other than United States</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7,763</w:t>
            </w: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2,370</w:t>
            </w: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17,476</w:t>
            </w: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5,469</w:t>
            </w:r>
          </w:p>
        </w:tc>
        <w:tc>
          <w:tcPr>
            <w:tcW w:w="100" w:type="dxa"/>
            <w:vAlign w:val="bottom"/>
          </w:tcPr>
          <w:p>
            <w:pPr>
              <w:spacing w:after="0"/>
              <w:rPr>
                <w:sz w:val="18"/>
                <w:szCs w:val="18"/>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Central and Latin America</w:t>
            </w: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1,848</w:t>
            </w:r>
          </w:p>
        </w:tc>
        <w:tc>
          <w:tcPr>
            <w:tcW w:w="7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1,637</w:t>
            </w:r>
          </w:p>
        </w:tc>
        <w:tc>
          <w:tcPr>
            <w:tcW w:w="7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11,062</w:t>
            </w:r>
          </w:p>
        </w:tc>
        <w:tc>
          <w:tcPr>
            <w:tcW w:w="7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5,285</w:t>
            </w:r>
          </w:p>
        </w:tc>
        <w:tc>
          <w:tcPr>
            <w:tcW w:w="100" w:type="dxa"/>
            <w:vAlign w:val="bottom"/>
            <w:shd w:val="clear" w:color="auto" w:fill="CCEEFF"/>
          </w:tcPr>
          <w:p>
            <w:pPr>
              <w:spacing w:after="0"/>
              <w:rPr>
                <w:sz w:val="18"/>
                <w:szCs w:val="18"/>
                <w:color w:val="auto"/>
              </w:rPr>
            </w:pPr>
          </w:p>
        </w:tc>
      </w:tr>
      <w:tr>
        <w:trPr>
          <w:trHeight w:val="222"/>
        </w:trPr>
        <w:tc>
          <w:tcPr>
            <w:tcW w:w="3760" w:type="dxa"/>
            <w:vAlign w:val="bottom"/>
          </w:tcPr>
          <w:p>
            <w:pPr>
              <w:spacing w:after="0"/>
              <w:rPr>
                <w:sz w:val="20"/>
                <w:szCs w:val="20"/>
                <w:color w:val="auto"/>
              </w:rPr>
            </w:pPr>
            <w:r>
              <w:rPr>
                <w:rFonts w:ascii="Arial" w:cs="Arial" w:eastAsia="Arial" w:hAnsi="Arial"/>
                <w:sz w:val="18"/>
                <w:szCs w:val="18"/>
                <w:color w:val="auto"/>
              </w:rPr>
              <w:t>Total revenues</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204,964</w:t>
            </w:r>
          </w:p>
        </w:tc>
        <w:tc>
          <w:tcPr>
            <w:tcW w:w="11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195,941</w:t>
            </w:r>
          </w:p>
        </w:tc>
        <w:tc>
          <w:tcPr>
            <w:tcW w:w="10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623,089</w:t>
            </w: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585,834</w:t>
            </w:r>
          </w:p>
        </w:tc>
        <w:tc>
          <w:tcPr>
            <w:tcW w:w="100" w:type="dxa"/>
            <w:vAlign w:val="bottom"/>
          </w:tcPr>
          <w:p>
            <w:pPr>
              <w:spacing w:after="0"/>
              <w:rPr>
                <w:sz w:val="19"/>
                <w:szCs w:val="19"/>
                <w:color w:val="auto"/>
              </w:rPr>
            </w:pPr>
          </w:p>
        </w:tc>
      </w:tr>
      <w:tr>
        <w:trPr>
          <w:trHeight w:val="20"/>
        </w:trPr>
        <w:tc>
          <w:tcPr>
            <w:tcW w:w="37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distinguishes revenues from external customers by geographic area based on customer location.</w:t>
      </w:r>
    </w:p>
    <w:p>
      <w:pPr>
        <w:spacing w:after="0" w:line="171" w:lineRule="exact"/>
        <w:rPr>
          <w:sz w:val="20"/>
          <w:szCs w:val="20"/>
          <w:color w:val="auto"/>
        </w:rPr>
      </w:pPr>
    </w:p>
    <w:p>
      <w:pPr>
        <w:jc w:val="both"/>
        <w:ind w:right="540" w:firstLine="456"/>
        <w:spacing w:after="0" w:line="268" w:lineRule="auto"/>
        <w:rPr>
          <w:sz w:val="20"/>
          <w:szCs w:val="20"/>
          <w:color w:val="auto"/>
        </w:rPr>
      </w:pPr>
      <w:r>
        <w:rPr>
          <w:rFonts w:ascii="Arial" w:cs="Arial" w:eastAsia="Arial" w:hAnsi="Arial"/>
          <w:sz w:val="18"/>
          <w:szCs w:val="18"/>
          <w:color w:val="auto"/>
        </w:rPr>
        <w:t>The net book value of long-lived assets located outside the United States was $9.1 million and $7.9 million at December 30, 2011 and April 1, 2011, respectively.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Certain Relationships and Related-Party Transactions</w:t>
      </w:r>
    </w:p>
    <w:p>
      <w:pPr>
        <w:spacing w:after="0" w:line="9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Michael Targoff, a director of the Company since February 2003, currently serves as the Chief Executive Officer and the Vice Chairman of the board of directors of Loral Space &amp; Communications, Inc. (Loral), the parent of Space Systems/Loral, Inc. (SS/L), and is also a director of Telesat Holdings, Inc., a joint venture company formed by Loral and the Public Sector Pension Investment Board to acquire Telesat Canada in October 2007. John Stenbit, a director of the Company since August 2004, also currently serves on the board of directors of Loral.</w:t>
      </w:r>
    </w:p>
    <w:p>
      <w:pPr>
        <w:spacing w:after="0" w:line="113"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In January 2008, the Company entered into a satellite construction contract with SS/L under which the Company purchased a new high-capacity Ka-band spot-beam satellite (ViaSat-1) designed by the Company and constructed by SS/L for approximately $209.1 million, subject to purchase price adjustments based on satellite performance. In addition, the Company entered into a beam sharing agreement with Loral, whereby Loral is responsible for contributing 15% of the total costs (estimated at approximately $57.6 million) associated with the ViaSat-1 satellite project. The Company’s purchase of the ViaSat-1 satellite from SS/L was approved by the disinterested members of the Company’s Board of Directors, after a determination by the disinterested members of the Company’s Board that the terms and conditions of the purchase were fair to and in the best interests of the Company and its stockholders. On March 1, 2011, Loral entered into agreements with Telesat Canada pursuant to which Loral assigned to Telesat Canada and Telesat Canada assumed from Loral all of Loral’s rights and obligations with respect to the Canadian beams on ViaSat-1. Material amounts related to the satellite construction contract with SS/L are disclosed in the tables below.</w:t>
      </w:r>
    </w:p>
    <w:p>
      <w:pPr>
        <w:spacing w:after="0" w:line="108"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In addition, from time to time, the Company enters into various contracts in the ordinary course of business with SS/L and Telesat Canada. Material amounts related to these contracts are disclosed in the tables below.</w:t>
      </w:r>
    </w:p>
    <w:p>
      <w:pPr>
        <w:spacing w:after="0" w:line="132"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Current payables included in accounts payable, collection in excess of revenues and deferred revenues included in accrued liabilities and long-term payables included in other liabilities as of December 30, 2011 and April 1, 2011 were as follows:</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tcPr>
          <w:p>
            <w:pPr>
              <w:jc w:val="right"/>
              <w:ind w:right="1200"/>
              <w:spacing w:after="0"/>
              <w:rPr>
                <w:sz w:val="20"/>
                <w:szCs w:val="20"/>
                <w:color w:val="auto"/>
              </w:rPr>
            </w:pPr>
            <w:r>
              <w:rPr>
                <w:rFonts w:ascii="Arial" w:cs="Arial" w:eastAsia="Arial" w:hAnsi="Arial"/>
                <w:sz w:val="14"/>
                <w:szCs w:val="14"/>
                <w:b w:val="1"/>
                <w:bCs w:val="1"/>
                <w:color w:val="auto"/>
              </w:rPr>
              <w:t>As of</w:t>
            </w:r>
          </w:p>
        </w:tc>
        <w:tc>
          <w:tcPr>
            <w:tcW w:w="28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4"/>
                <w:szCs w:val="14"/>
                <w:b w:val="1"/>
                <w:bCs w:val="1"/>
                <w:color w:val="auto"/>
              </w:rPr>
              <w:t>As of</w:t>
            </w:r>
          </w:p>
        </w:tc>
      </w:tr>
      <w:tr>
        <w:trPr>
          <w:trHeight w:val="161"/>
        </w:trPr>
        <w:tc>
          <w:tcPr>
            <w:tcW w:w="5060" w:type="dxa"/>
            <w:vAlign w:val="bottom"/>
          </w:tcPr>
          <w:p>
            <w:pPr>
              <w:spacing w:after="0"/>
              <w:rPr>
                <w:sz w:val="14"/>
                <w:szCs w:val="14"/>
                <w:color w:val="auto"/>
              </w:rPr>
            </w:pPr>
          </w:p>
        </w:tc>
        <w:tc>
          <w:tcPr>
            <w:tcW w:w="2640" w:type="dxa"/>
            <w:vAlign w:val="bottom"/>
            <w:gridSpan w:val="3"/>
          </w:tcPr>
          <w:p>
            <w:pPr>
              <w:ind w:left="680"/>
              <w:spacing w:after="0"/>
              <w:rPr>
                <w:sz w:val="20"/>
                <w:szCs w:val="20"/>
                <w:color w:val="auto"/>
              </w:rPr>
            </w:pPr>
            <w:r>
              <w:rPr>
                <w:rFonts w:ascii="Arial" w:cs="Arial" w:eastAsia="Arial" w:hAnsi="Arial"/>
                <w:sz w:val="14"/>
                <w:szCs w:val="14"/>
                <w:b w:val="1"/>
                <w:bCs w:val="1"/>
                <w:color w:val="auto"/>
              </w:rPr>
              <w:t>December 30, 2011</w:t>
            </w:r>
          </w:p>
        </w:tc>
        <w:tc>
          <w:tcPr>
            <w:tcW w:w="980" w:type="dxa"/>
            <w:vAlign w:val="bottom"/>
            <w:gridSpan w:val="3"/>
          </w:tcPr>
          <w:p>
            <w:pPr>
              <w:ind w:left="140"/>
              <w:spacing w:after="0"/>
              <w:rPr>
                <w:sz w:val="20"/>
                <w:szCs w:val="20"/>
                <w:color w:val="auto"/>
              </w:rPr>
            </w:pPr>
            <w:r>
              <w:rPr>
                <w:rFonts w:ascii="Arial" w:cs="Arial" w:eastAsia="Arial" w:hAnsi="Arial"/>
                <w:sz w:val="14"/>
                <w:szCs w:val="14"/>
                <w:b w:val="1"/>
                <w:bCs w:val="1"/>
                <w:color w:val="auto"/>
                <w:w w:val="99"/>
              </w:rPr>
              <w:t>April 1, 2011</w:t>
            </w:r>
          </w:p>
        </w:tc>
      </w:tr>
      <w:tr>
        <w:trPr>
          <w:trHeight w:val="142"/>
        </w:trPr>
        <w:tc>
          <w:tcPr>
            <w:tcW w:w="5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740" w:type="dxa"/>
            <w:vAlign w:val="bottom"/>
            <w:tcBorders>
              <w:top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rPr>
              <w:t>(In thousands)</w:t>
            </w:r>
          </w:p>
        </w:tc>
        <w:tc>
          <w:tcPr>
            <w:tcW w:w="2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Payables, current</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60" w:type="dxa"/>
            <w:vAlign w:val="bottom"/>
          </w:tcPr>
          <w:p>
            <w:pPr>
              <w:ind w:left="440"/>
              <w:spacing w:after="0"/>
              <w:rPr>
                <w:sz w:val="20"/>
                <w:szCs w:val="20"/>
                <w:color w:val="auto"/>
              </w:rPr>
            </w:pPr>
            <w:r>
              <w:rPr>
                <w:rFonts w:ascii="Arial" w:cs="Arial" w:eastAsia="Arial" w:hAnsi="Arial"/>
                <w:sz w:val="18"/>
                <w:szCs w:val="18"/>
                <w:color w:val="auto"/>
              </w:rPr>
              <w:t>Loral – satellite construction contract</w:t>
            </w:r>
          </w:p>
        </w:tc>
        <w:tc>
          <w:tcPr>
            <w:tcW w:w="9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800"/>
              <w:spacing w:after="0"/>
              <w:rPr>
                <w:sz w:val="20"/>
                <w:szCs w:val="20"/>
                <w:color w:val="auto"/>
              </w:rPr>
            </w:pPr>
            <w:r>
              <w:rPr>
                <w:rFonts w:ascii="Arial" w:cs="Arial" w:eastAsia="Arial" w:hAnsi="Arial"/>
                <w:sz w:val="18"/>
                <w:szCs w:val="18"/>
                <w:color w:val="auto"/>
              </w:rPr>
              <w:t>2,867</w:t>
            </w:r>
          </w:p>
        </w:tc>
        <w:tc>
          <w:tcPr>
            <w:tcW w:w="280" w:type="dxa"/>
            <w:vAlign w:val="bottom"/>
          </w:tcPr>
          <w:p>
            <w:pPr>
              <w:ind w:left="14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340"/>
              <w:spacing w:after="0"/>
              <w:rPr>
                <w:sz w:val="20"/>
                <w:szCs w:val="20"/>
                <w:color w:val="auto"/>
              </w:rPr>
            </w:pPr>
            <w:r>
              <w:rPr>
                <w:rFonts w:ascii="Arial" w:cs="Arial" w:eastAsia="Arial" w:hAnsi="Arial"/>
                <w:sz w:val="18"/>
                <w:szCs w:val="18"/>
                <w:color w:val="auto"/>
              </w:rPr>
              <w:t>—</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Collections in excess of revenues and deferred revenues</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60" w:type="dxa"/>
            <w:vAlign w:val="bottom"/>
          </w:tcPr>
          <w:p>
            <w:pPr>
              <w:ind w:left="440"/>
              <w:spacing w:after="0"/>
              <w:rPr>
                <w:sz w:val="20"/>
                <w:szCs w:val="20"/>
                <w:color w:val="auto"/>
              </w:rPr>
            </w:pPr>
            <w:r>
              <w:rPr>
                <w:rFonts w:ascii="Arial" w:cs="Arial" w:eastAsia="Arial" w:hAnsi="Arial"/>
                <w:sz w:val="18"/>
                <w:szCs w:val="18"/>
                <w:color w:val="auto"/>
              </w:rPr>
              <w:t>Loral – ordinary course of business</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jc w:val="right"/>
              <w:ind w:right="7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1,376</w:t>
            </w:r>
          </w:p>
        </w:tc>
        <w:tc>
          <w:tcPr>
            <w:tcW w:w="100" w:type="dxa"/>
            <w:vAlign w:val="bottom"/>
          </w:tcPr>
          <w:p>
            <w:pPr>
              <w:spacing w:after="0"/>
              <w:rPr>
                <w:sz w:val="18"/>
                <w:szCs w:val="18"/>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Payables, long-term</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5060" w:type="dxa"/>
            <w:vAlign w:val="bottom"/>
          </w:tcPr>
          <w:p>
            <w:pPr>
              <w:ind w:left="440"/>
              <w:spacing w:after="0"/>
              <w:rPr>
                <w:sz w:val="20"/>
                <w:szCs w:val="20"/>
                <w:color w:val="auto"/>
              </w:rPr>
            </w:pPr>
            <w:r>
              <w:rPr>
                <w:rFonts w:ascii="Arial" w:cs="Arial" w:eastAsia="Arial" w:hAnsi="Arial"/>
                <w:sz w:val="18"/>
                <w:szCs w:val="18"/>
                <w:color w:val="auto"/>
              </w:rPr>
              <w:t>Loral – satellite construction contract (estimated in-orbit</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5060" w:type="dxa"/>
            <w:vAlign w:val="bottom"/>
          </w:tcPr>
          <w:p>
            <w:pPr>
              <w:ind w:left="640"/>
              <w:spacing w:after="0"/>
              <w:rPr>
                <w:sz w:val="20"/>
                <w:szCs w:val="20"/>
                <w:color w:val="auto"/>
              </w:rPr>
            </w:pPr>
            <w:r>
              <w:rPr>
                <w:rFonts w:ascii="Arial" w:cs="Arial" w:eastAsia="Arial" w:hAnsi="Arial"/>
                <w:sz w:val="18"/>
                <w:szCs w:val="18"/>
                <w:color w:val="auto"/>
              </w:rPr>
              <w:t>performance incentives)</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jc w:val="right"/>
              <w:ind w:right="800"/>
              <w:spacing w:after="0"/>
              <w:rPr>
                <w:sz w:val="20"/>
                <w:szCs w:val="20"/>
                <w:color w:val="auto"/>
              </w:rPr>
            </w:pPr>
            <w:r>
              <w:rPr>
                <w:rFonts w:ascii="Arial" w:cs="Arial" w:eastAsia="Arial" w:hAnsi="Arial"/>
                <w:sz w:val="18"/>
                <w:szCs w:val="18"/>
                <w:color w:val="auto"/>
              </w:rPr>
              <w:t>20,716</w:t>
            </w:r>
          </w:p>
        </w:tc>
        <w:tc>
          <w:tcPr>
            <w:tcW w:w="280" w:type="dxa"/>
            <w:vAlign w:val="bottom"/>
          </w:tcPr>
          <w:p>
            <w:pPr>
              <w:spacing w:after="0"/>
              <w:rPr>
                <w:sz w:val="19"/>
                <w:szCs w:val="19"/>
                <w:color w:val="auto"/>
              </w:rPr>
            </w:pPr>
          </w:p>
        </w:tc>
        <w:tc>
          <w:tcPr>
            <w:tcW w:w="700" w:type="dxa"/>
            <w:vAlign w:val="bottom"/>
            <w:gridSpan w:val="2"/>
          </w:tcPr>
          <w:p>
            <w:pPr>
              <w:ind w:left="340"/>
              <w:spacing w:after="0"/>
              <w:rPr>
                <w:sz w:val="20"/>
                <w:szCs w:val="20"/>
                <w:color w:val="auto"/>
              </w:rPr>
            </w:pPr>
            <w:r>
              <w:rPr>
                <w:rFonts w:ascii="Arial" w:cs="Arial" w:eastAsia="Arial" w:hAnsi="Arial"/>
                <w:sz w:val="18"/>
                <w:szCs w:val="18"/>
                <w:color w:val="auto"/>
              </w:rPr>
              <w:t>—</w:t>
            </w:r>
          </w:p>
        </w:tc>
      </w:tr>
    </w:tbl>
    <w:p>
      <w:pPr>
        <w:spacing w:after="0" w:line="148" w:lineRule="exact"/>
        <w:rPr>
          <w:sz w:val="20"/>
          <w:szCs w:val="20"/>
          <w:color w:val="auto"/>
        </w:rPr>
      </w:pPr>
    </w:p>
    <w:p>
      <w:pPr>
        <w:ind w:left="220" w:hanging="212"/>
        <w:spacing w:after="0"/>
        <w:tabs>
          <w:tab w:leader="none" w:pos="220" w:val="left"/>
        </w:tabs>
        <w:numPr>
          <w:ilvl w:val="0"/>
          <w:numId w:val="5"/>
        </w:numPr>
        <w:rPr>
          <w:rFonts w:ascii="Arial" w:cs="Arial" w:eastAsia="Arial" w:hAnsi="Arial"/>
          <w:sz w:val="11"/>
          <w:szCs w:val="11"/>
          <w:color w:val="auto"/>
        </w:rPr>
      </w:pPr>
      <w:r>
        <w:rPr>
          <w:rFonts w:ascii="Arial" w:cs="Arial" w:eastAsia="Arial" w:hAnsi="Arial"/>
          <w:sz w:val="11"/>
          <w:szCs w:val="11"/>
          <w:color w:val="auto"/>
        </w:rPr>
        <w:t>Amounts related to SS/L and Telesat Canada under the ViaSat-1 satellite construction contract, and SS/L and Telesat Canada in the ordinary course of business, were not meaningful.</w:t>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Revenue and expense for the three and nine months ended December 30, 2011 and December 31, 2010 were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Borders>
              <w:bottom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2"/>
          </w:tcPr>
          <w:p>
            <w:pPr>
              <w:jc w:val="right"/>
              <w:ind w:right="122"/>
              <w:spacing w:after="0"/>
              <w:rPr>
                <w:sz w:val="20"/>
                <w:szCs w:val="20"/>
                <w:color w:val="auto"/>
              </w:rPr>
            </w:pPr>
            <w:r>
              <w:rPr>
                <w:rFonts w:ascii="Arial" w:cs="Arial" w:eastAsia="Arial" w:hAnsi="Arial"/>
                <w:sz w:val="14"/>
                <w:szCs w:val="14"/>
                <w:b w:val="1"/>
                <w:bCs w:val="1"/>
                <w:color w:val="auto"/>
              </w:rPr>
              <w:t>Nine Months Ended</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December 30, 2011</w:t>
            </w:r>
          </w:p>
        </w:tc>
        <w:tc>
          <w:tcPr>
            <w:tcW w:w="1360" w:type="dxa"/>
            <w:vAlign w:val="bottom"/>
            <w:tcBorders>
              <w:bottom w:val="single" w:sz="8" w:color="auto"/>
            </w:tcBorders>
            <w:gridSpan w:val="2"/>
          </w:tcPr>
          <w:p>
            <w:pPr>
              <w:ind w:left="280"/>
              <w:spacing w:after="0" w:line="142" w:lineRule="exact"/>
              <w:rPr>
                <w:sz w:val="20"/>
                <w:szCs w:val="20"/>
                <w:color w:val="auto"/>
              </w:rPr>
            </w:pPr>
            <w:r>
              <w:rPr>
                <w:rFonts w:ascii="Arial" w:cs="Arial" w:eastAsia="Arial" w:hAnsi="Arial"/>
                <w:sz w:val="14"/>
                <w:szCs w:val="14"/>
                <w:b w:val="1"/>
                <w:bCs w:val="1"/>
                <w:color w:val="auto"/>
                <w:w w:val="84"/>
              </w:rPr>
              <w:t>December 31, 2010</w:t>
            </w:r>
          </w:p>
        </w:tc>
        <w:tc>
          <w:tcPr>
            <w:tcW w:w="64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2"/>
          </w:tcPr>
          <w:p>
            <w:pPr>
              <w:jc w:val="right"/>
              <w:ind w:right="219"/>
              <w:spacing w:after="0" w:line="142" w:lineRule="exact"/>
              <w:rPr>
                <w:sz w:val="20"/>
                <w:szCs w:val="20"/>
                <w:color w:val="auto"/>
              </w:rPr>
            </w:pPr>
            <w:r>
              <w:rPr>
                <w:rFonts w:ascii="Arial" w:cs="Arial" w:eastAsia="Arial" w:hAnsi="Arial"/>
                <w:sz w:val="14"/>
                <w:szCs w:val="14"/>
                <w:b w:val="1"/>
                <w:bCs w:val="1"/>
                <w:color w:val="auto"/>
                <w:w w:val="85"/>
              </w:rPr>
              <w:t>December 30, 2011</w:t>
            </w:r>
          </w:p>
        </w:tc>
        <w:tc>
          <w:tcPr>
            <w:tcW w:w="13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December 31, 2010</w:t>
            </w:r>
          </w:p>
        </w:tc>
        <w:tc>
          <w:tcPr>
            <w:tcW w:w="100" w:type="dxa"/>
            <w:vAlign w:val="bottom"/>
          </w:tcPr>
          <w:p>
            <w:pPr>
              <w:spacing w:after="0"/>
              <w:rPr>
                <w:sz w:val="12"/>
                <w:szCs w:val="12"/>
                <w:color w:val="auto"/>
              </w:rPr>
            </w:pPr>
          </w:p>
        </w:tc>
      </w:tr>
      <w:tr>
        <w:trPr>
          <w:trHeight w:val="142"/>
        </w:trPr>
        <w:tc>
          <w:tcPr>
            <w:tcW w:w="3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20" w:type="dxa"/>
            <w:vAlign w:val="bottom"/>
            <w:gridSpan w:val="3"/>
          </w:tcPr>
          <w:p>
            <w:pPr>
              <w:jc w:val="right"/>
              <w:ind w:right="242"/>
              <w:spacing w:after="0" w:line="142" w:lineRule="exact"/>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80" w:type="dxa"/>
            <w:vAlign w:val="bottom"/>
          </w:tcPr>
          <w:p>
            <w:pPr>
              <w:ind w:left="440"/>
              <w:spacing w:after="0"/>
              <w:rPr>
                <w:sz w:val="20"/>
                <w:szCs w:val="20"/>
                <w:color w:val="auto"/>
              </w:rPr>
            </w:pPr>
            <w:r>
              <w:rPr>
                <w:rFonts w:ascii="Arial" w:cs="Arial" w:eastAsia="Arial" w:hAnsi="Arial"/>
                <w:sz w:val="18"/>
                <w:szCs w:val="18"/>
                <w:color w:val="auto"/>
              </w:rPr>
              <w:t>Loral – ordinary course of business</w:t>
            </w: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79"/>
              <w:spacing w:after="0"/>
              <w:rPr>
                <w:sz w:val="20"/>
                <w:szCs w:val="20"/>
                <w:color w:val="auto"/>
              </w:rPr>
            </w:pPr>
            <w:r>
              <w:rPr>
                <w:rFonts w:ascii="Arial" w:cs="Arial" w:eastAsia="Arial" w:hAnsi="Arial"/>
                <w:sz w:val="18"/>
                <w:szCs w:val="18"/>
                <w:color w:val="auto"/>
              </w:rPr>
              <w:t>2,251</w:t>
            </w:r>
          </w:p>
        </w:tc>
        <w:tc>
          <w:tcPr>
            <w:tcW w:w="780" w:type="dxa"/>
            <w:vAlign w:val="bottom"/>
          </w:tcPr>
          <w:p>
            <w:pPr>
              <w:ind w:left="2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1,223</w:t>
            </w:r>
          </w:p>
        </w:tc>
        <w:tc>
          <w:tcPr>
            <w:tcW w:w="640" w:type="dxa"/>
            <w:vAlign w:val="bottom"/>
          </w:tcPr>
          <w:p>
            <w:pPr>
              <w:spacing w:after="0"/>
              <w:rPr>
                <w:sz w:val="18"/>
                <w:szCs w:val="18"/>
                <w:color w:val="auto"/>
              </w:rPr>
            </w:pPr>
          </w:p>
        </w:tc>
        <w:tc>
          <w:tcPr>
            <w:tcW w:w="400" w:type="dxa"/>
            <w:vAlign w:val="bottom"/>
          </w:tcPr>
          <w:p>
            <w:pPr>
              <w:jc w:val="right"/>
              <w:ind w:right="22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219"/>
              <w:spacing w:after="0"/>
              <w:rPr>
                <w:sz w:val="20"/>
                <w:szCs w:val="20"/>
                <w:color w:val="auto"/>
              </w:rPr>
            </w:pPr>
            <w:r>
              <w:rPr>
                <w:rFonts w:ascii="Arial" w:cs="Arial" w:eastAsia="Arial" w:hAnsi="Arial"/>
                <w:sz w:val="18"/>
                <w:szCs w:val="18"/>
                <w:color w:val="auto"/>
              </w:rPr>
              <w:t>3,768</w:t>
            </w:r>
          </w:p>
        </w:tc>
        <w:tc>
          <w:tcPr>
            <w:tcW w:w="780" w:type="dxa"/>
            <w:vAlign w:val="bottom"/>
          </w:tcPr>
          <w:p>
            <w:pPr>
              <w:jc w:val="right"/>
              <w:ind w:right="32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1,380</w:t>
            </w:r>
          </w:p>
        </w:tc>
        <w:tc>
          <w:tcPr>
            <w:tcW w:w="100" w:type="dxa"/>
            <w:vAlign w:val="bottom"/>
          </w:tcPr>
          <w:p>
            <w:pPr>
              <w:spacing w:after="0"/>
              <w:rPr>
                <w:sz w:val="18"/>
                <w:szCs w:val="18"/>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Expense</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2"/>
        </w:trPr>
        <w:tc>
          <w:tcPr>
            <w:tcW w:w="3880" w:type="dxa"/>
            <w:vAlign w:val="bottom"/>
          </w:tcPr>
          <w:p>
            <w:pPr>
              <w:ind w:left="440"/>
              <w:spacing w:after="0"/>
              <w:rPr>
                <w:sz w:val="20"/>
                <w:szCs w:val="20"/>
                <w:color w:val="auto"/>
              </w:rPr>
            </w:pPr>
            <w:r>
              <w:rPr>
                <w:rFonts w:ascii="Arial" w:cs="Arial" w:eastAsia="Arial" w:hAnsi="Arial"/>
                <w:sz w:val="18"/>
                <w:szCs w:val="18"/>
                <w:color w:val="auto"/>
                <w:w w:val="93"/>
              </w:rPr>
              <w:t>Telesat Canada – ordinary course of business</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ind w:right="199"/>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0" w:type="dxa"/>
            <w:vAlign w:val="bottom"/>
          </w:tcPr>
          <w:p>
            <w:pPr>
              <w:jc w:val="right"/>
              <w:ind w:right="219"/>
              <w:spacing w:after="0"/>
              <w:rPr>
                <w:sz w:val="20"/>
                <w:szCs w:val="20"/>
                <w:color w:val="auto"/>
              </w:rPr>
            </w:pPr>
            <w:r>
              <w:rPr>
                <w:rFonts w:ascii="Arial" w:cs="Arial" w:eastAsia="Arial" w:hAnsi="Arial"/>
                <w:sz w:val="18"/>
                <w:szCs w:val="18"/>
                <w:color w:val="auto"/>
              </w:rPr>
              <w:t>1,986</w:t>
            </w:r>
          </w:p>
        </w:tc>
        <w:tc>
          <w:tcPr>
            <w:tcW w:w="7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2,687</w:t>
            </w:r>
          </w:p>
        </w:tc>
        <w:tc>
          <w:tcPr>
            <w:tcW w:w="100" w:type="dxa"/>
            <w:vAlign w:val="bottom"/>
          </w:tcPr>
          <w:p>
            <w:pPr>
              <w:spacing w:after="0"/>
              <w:rPr>
                <w:sz w:val="19"/>
                <w:szCs w:val="19"/>
                <w:color w:val="auto"/>
              </w:rPr>
            </w:pPr>
          </w:p>
        </w:tc>
      </w:tr>
    </w:tbl>
    <w:p>
      <w:pPr>
        <w:spacing w:after="0" w:line="140" w:lineRule="exact"/>
        <w:rPr>
          <w:sz w:val="20"/>
          <w:szCs w:val="20"/>
          <w:color w:val="auto"/>
        </w:rPr>
      </w:pPr>
    </w:p>
    <w:p>
      <w:pPr>
        <w:ind w:left="220" w:hanging="212"/>
        <w:spacing w:after="0"/>
        <w:tabs>
          <w:tab w:leader="none" w:pos="220" w:val="left"/>
        </w:tabs>
        <w:numPr>
          <w:ilvl w:val="0"/>
          <w:numId w:val="6"/>
        </w:numPr>
        <w:rPr>
          <w:rFonts w:ascii="Arial" w:cs="Arial" w:eastAsia="Arial" w:hAnsi="Arial"/>
          <w:sz w:val="11"/>
          <w:szCs w:val="11"/>
          <w:color w:val="auto"/>
        </w:rPr>
      </w:pPr>
      <w:r>
        <w:rPr>
          <w:rFonts w:ascii="Arial" w:cs="Arial" w:eastAsia="Arial" w:hAnsi="Arial"/>
          <w:sz w:val="11"/>
          <w:szCs w:val="11"/>
          <w:color w:val="auto"/>
        </w:rPr>
        <w:t>Amounts related to SS/L and Telesat Canada under the ViaSat-1 satellite construction contract, and SS/L and Telesat Canada in the ordinary course of business, were not meaningful.</w:t>
      </w:r>
    </w:p>
    <w:p>
      <w:pPr>
        <w:spacing w:after="0" w:line="19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20"/>
          </w:cols>
          <w:pgMar w:left="240" w:top="459" w:right="3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received and cash paid during the nine months ended December 30, 2011 and December 31, 2010 were as follows: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2"/>
          </w:tcPr>
          <w:p>
            <w:pPr>
              <w:jc w:val="right"/>
              <w:ind w:right="202"/>
              <w:spacing w:after="0"/>
              <w:rPr>
                <w:sz w:val="20"/>
                <w:szCs w:val="20"/>
                <w:color w:val="auto"/>
              </w:rPr>
            </w:pPr>
            <w:r>
              <w:rPr>
                <w:rFonts w:ascii="Arial" w:cs="Arial" w:eastAsia="Arial" w:hAnsi="Arial"/>
                <w:sz w:val="14"/>
                <w:szCs w:val="14"/>
                <w:b w:val="1"/>
                <w:bCs w:val="1"/>
                <w:color w:val="auto"/>
              </w:rPr>
              <w:t>Nine Months Ended</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5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4"/>
              </w:rPr>
              <w:t>December 30, 2011</w:t>
            </w:r>
          </w:p>
        </w:tc>
        <w:tc>
          <w:tcPr>
            <w:tcW w:w="20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December 31, 2010</w:t>
            </w:r>
          </w:p>
        </w:tc>
        <w:tc>
          <w:tcPr>
            <w:tcW w:w="100" w:type="dxa"/>
            <w:vAlign w:val="bottom"/>
          </w:tcPr>
          <w:p>
            <w:pPr>
              <w:spacing w:after="0"/>
              <w:rPr>
                <w:sz w:val="12"/>
                <w:szCs w:val="12"/>
                <w:color w:val="auto"/>
              </w:rPr>
            </w:pPr>
          </w:p>
        </w:tc>
      </w:tr>
      <w:tr>
        <w:trPr>
          <w:trHeight w:val="142"/>
        </w:trPr>
        <w:tc>
          <w:tcPr>
            <w:tcW w:w="45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340" w:type="dxa"/>
            <w:vAlign w:val="bottom"/>
          </w:tcPr>
          <w:p>
            <w:pPr>
              <w:jc w:val="right"/>
              <w:ind w:right="362"/>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Cash received</w:t>
            </w: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00" w:type="dxa"/>
            <w:vAlign w:val="bottom"/>
          </w:tcPr>
          <w:p>
            <w:pPr>
              <w:ind w:left="440"/>
              <w:spacing w:after="0"/>
              <w:rPr>
                <w:sz w:val="20"/>
                <w:szCs w:val="20"/>
                <w:color w:val="auto"/>
              </w:rPr>
            </w:pPr>
            <w:r>
              <w:rPr>
                <w:rFonts w:ascii="Arial" w:cs="Arial" w:eastAsia="Arial" w:hAnsi="Arial"/>
                <w:sz w:val="18"/>
                <w:szCs w:val="18"/>
                <w:color w:val="auto"/>
              </w:rPr>
              <w:t>Loral – Beam Sharing Agreement</w:t>
            </w:r>
          </w:p>
        </w:tc>
        <w:tc>
          <w:tcPr>
            <w:tcW w:w="1300" w:type="dxa"/>
            <w:vAlign w:val="bottom"/>
            <w:gridSpan w:val="2"/>
          </w:tcPr>
          <w:p>
            <w:pPr>
              <w:jc w:val="right"/>
              <w:ind w:right="25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3,845</w:t>
            </w:r>
          </w:p>
        </w:tc>
        <w:tc>
          <w:tcPr>
            <w:tcW w:w="1340" w:type="dxa"/>
            <w:vAlign w:val="bottom"/>
          </w:tcPr>
          <w:p>
            <w:pPr>
              <w:jc w:val="right"/>
              <w:ind w:right="20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8,230</w:t>
            </w:r>
          </w:p>
        </w:tc>
        <w:tc>
          <w:tcPr>
            <w:tcW w:w="100" w:type="dxa"/>
            <w:vAlign w:val="bottom"/>
          </w:tcPr>
          <w:p>
            <w:pPr>
              <w:spacing w:after="0"/>
              <w:rPr>
                <w:sz w:val="18"/>
                <w:szCs w:val="18"/>
                <w:color w:val="auto"/>
              </w:rPr>
            </w:pPr>
          </w:p>
        </w:tc>
      </w:tr>
      <w:tr>
        <w:trPr>
          <w:trHeight w:val="216"/>
        </w:trPr>
        <w:tc>
          <w:tcPr>
            <w:tcW w:w="4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Telesat Canada – Beam Sharing Agreement</w:t>
            </w: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8,085</w:t>
            </w:r>
          </w:p>
        </w:tc>
        <w:tc>
          <w:tcPr>
            <w:tcW w:w="1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r>
      <w:tr>
        <w:trPr>
          <w:trHeight w:val="216"/>
        </w:trPr>
        <w:tc>
          <w:tcPr>
            <w:tcW w:w="4500" w:type="dxa"/>
            <w:vAlign w:val="bottom"/>
          </w:tcPr>
          <w:p>
            <w:pPr>
              <w:ind w:left="440"/>
              <w:spacing w:after="0"/>
              <w:rPr>
                <w:sz w:val="20"/>
                <w:szCs w:val="20"/>
                <w:color w:val="auto"/>
              </w:rPr>
            </w:pPr>
            <w:r>
              <w:rPr>
                <w:rFonts w:ascii="Arial" w:cs="Arial" w:eastAsia="Arial" w:hAnsi="Arial"/>
                <w:sz w:val="18"/>
                <w:szCs w:val="18"/>
                <w:color w:val="auto"/>
              </w:rPr>
              <w:t>Loral – ordinary course of business</w:t>
            </w: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40" w:type="dxa"/>
            <w:vAlign w:val="bottom"/>
          </w:tcPr>
          <w:p>
            <w:pPr>
              <w:jc w:val="right"/>
              <w:ind w:right="1182"/>
              <w:spacing w:after="0"/>
              <w:rPr>
                <w:sz w:val="20"/>
                <w:szCs w:val="20"/>
                <w:color w:val="auto"/>
              </w:rPr>
            </w:pPr>
            <w:r>
              <w:rPr>
                <w:rFonts w:ascii="Arial" w:cs="Arial" w:eastAsia="Arial" w:hAnsi="Arial"/>
                <w:sz w:val="18"/>
                <w:szCs w:val="18"/>
                <w:color w:val="auto"/>
                <w:w w:val="84"/>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3,876</w:t>
            </w:r>
          </w:p>
        </w:tc>
        <w:tc>
          <w:tcPr>
            <w:tcW w:w="100" w:type="dxa"/>
            <w:vAlign w:val="bottom"/>
          </w:tcPr>
          <w:p>
            <w:pPr>
              <w:spacing w:after="0"/>
              <w:rPr>
                <w:sz w:val="18"/>
                <w:szCs w:val="18"/>
                <w:color w:val="auto"/>
              </w:rPr>
            </w:pPr>
          </w:p>
        </w:tc>
      </w:tr>
      <w:tr>
        <w:trPr>
          <w:trHeight w:val="216"/>
        </w:trPr>
        <w:tc>
          <w:tcPr>
            <w:tcW w:w="4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Telesat Canada – ordinary course of business</w:t>
            </w: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2,843</w:t>
            </w:r>
          </w:p>
        </w:tc>
        <w:tc>
          <w:tcPr>
            <w:tcW w:w="1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w:t>
            </w:r>
          </w:p>
        </w:tc>
        <w:tc>
          <w:tcPr>
            <w:tcW w:w="100" w:type="dxa"/>
            <w:vAlign w:val="bottom"/>
            <w:shd w:val="clear" w:color="auto" w:fill="CCEEFF"/>
          </w:tcPr>
          <w:p>
            <w:pPr>
              <w:spacing w:after="0"/>
              <w:rPr>
                <w:sz w:val="18"/>
                <w:szCs w:val="18"/>
                <w:color w:val="auto"/>
              </w:rPr>
            </w:pPr>
          </w:p>
        </w:tc>
      </w:tr>
      <w:tr>
        <w:trPr>
          <w:trHeight w:val="323"/>
        </w:trPr>
        <w:tc>
          <w:tcPr>
            <w:tcW w:w="4500" w:type="dxa"/>
            <w:vAlign w:val="bottom"/>
          </w:tcPr>
          <w:p>
            <w:pPr>
              <w:spacing w:after="0"/>
              <w:rPr>
                <w:sz w:val="20"/>
                <w:szCs w:val="20"/>
                <w:color w:val="auto"/>
              </w:rPr>
            </w:pPr>
            <w:r>
              <w:rPr>
                <w:rFonts w:ascii="Arial" w:cs="Arial" w:eastAsia="Arial" w:hAnsi="Arial"/>
                <w:sz w:val="18"/>
                <w:szCs w:val="18"/>
                <w:color w:val="auto"/>
              </w:rPr>
              <w:t>Cash paid</w:t>
            </w: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4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Loral – satellite construction contract</w:t>
            </w: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2,566</w:t>
            </w:r>
          </w:p>
        </w:tc>
        <w:tc>
          <w:tcPr>
            <w:tcW w:w="1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23,096</w:t>
            </w:r>
          </w:p>
        </w:tc>
        <w:tc>
          <w:tcPr>
            <w:tcW w:w="100" w:type="dxa"/>
            <w:vAlign w:val="bottom"/>
            <w:shd w:val="clear" w:color="auto" w:fill="CCEEFF"/>
          </w:tcPr>
          <w:p>
            <w:pPr>
              <w:spacing w:after="0"/>
              <w:rPr>
                <w:sz w:val="18"/>
                <w:szCs w:val="18"/>
                <w:color w:val="auto"/>
              </w:rPr>
            </w:pPr>
          </w:p>
        </w:tc>
      </w:tr>
      <w:tr>
        <w:trPr>
          <w:trHeight w:val="222"/>
        </w:trPr>
        <w:tc>
          <w:tcPr>
            <w:tcW w:w="4500" w:type="dxa"/>
            <w:vAlign w:val="bottom"/>
          </w:tcPr>
          <w:p>
            <w:pPr>
              <w:ind w:left="440"/>
              <w:spacing w:after="0"/>
              <w:rPr>
                <w:sz w:val="20"/>
                <w:szCs w:val="20"/>
                <w:color w:val="auto"/>
              </w:rPr>
            </w:pPr>
            <w:r>
              <w:rPr>
                <w:rFonts w:ascii="Arial" w:cs="Arial" w:eastAsia="Arial" w:hAnsi="Arial"/>
                <w:sz w:val="18"/>
                <w:szCs w:val="18"/>
                <w:color w:val="auto"/>
              </w:rPr>
              <w:t>Telesat Canada – ordinary course of business</w:t>
            </w: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5,707</w:t>
            </w:r>
          </w:p>
        </w:tc>
        <w:tc>
          <w:tcPr>
            <w:tcW w:w="1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6,046</w:t>
            </w:r>
          </w:p>
        </w:tc>
        <w:tc>
          <w:tcPr>
            <w:tcW w:w="100" w:type="dxa"/>
            <w:vAlign w:val="bottom"/>
          </w:tcPr>
          <w:p>
            <w:pPr>
              <w:spacing w:after="0"/>
              <w:rPr>
                <w:sz w:val="19"/>
                <w:szCs w:val="19"/>
                <w:color w:val="auto"/>
              </w:rPr>
            </w:pPr>
          </w:p>
        </w:tc>
      </w:tr>
    </w:tbl>
    <w:p>
      <w:pPr>
        <w:spacing w:after="0" w:line="140" w:lineRule="exact"/>
        <w:rPr>
          <w:sz w:val="20"/>
          <w:szCs w:val="20"/>
          <w:color w:val="auto"/>
        </w:rPr>
      </w:pPr>
    </w:p>
    <w:p>
      <w:pPr>
        <w:ind w:left="220" w:hanging="212"/>
        <w:spacing w:after="0"/>
        <w:tabs>
          <w:tab w:leader="none" w:pos="220" w:val="left"/>
        </w:tabs>
        <w:numPr>
          <w:ilvl w:val="0"/>
          <w:numId w:val="7"/>
        </w:numPr>
        <w:rPr>
          <w:rFonts w:ascii="Arial" w:cs="Arial" w:eastAsia="Arial" w:hAnsi="Arial"/>
          <w:sz w:val="11"/>
          <w:szCs w:val="11"/>
          <w:color w:val="auto"/>
        </w:rPr>
      </w:pPr>
      <w:r>
        <w:rPr>
          <w:rFonts w:ascii="Arial" w:cs="Arial" w:eastAsia="Arial" w:hAnsi="Arial"/>
          <w:sz w:val="11"/>
          <w:szCs w:val="11"/>
          <w:color w:val="auto"/>
        </w:rPr>
        <w:t>Amounts related to SS/L and Telesat Canada under the ViaSat-1 satellite construction contract, and SS/L and Telesat Canada in the ordinary course of business, were not meaningful.</w:t>
      </w:r>
    </w:p>
    <w:p>
      <w:pPr>
        <w:spacing w:after="0" w:line="20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As discussed in Note 1, the Company entered into the Indemnification Agreement with the Indemnitors in connection with the Company’s acquisition of WildBlue. Pursuant to the terms of the Indemnification Agreement, the Indemnitors agreed to indemnify the Company for any damages relating to, among other things, the Action. During the third quarter of fiscal year 2012, the parties to the Action entered into a settlement agreement whereby the parties agreed to release all claims in exchange for a payment of $20.5 million by WildBlue to the plaintiffs. Payment of this amount by WildBlue was expressly conditioned upon the Indemnitors fully funding an escrow account covering all amounts other than the $0.5 million the Company was obligated to pay under the Indemnification Agreement. Subsequent to the quarter end, in January 2012, in accordance with the terms of the settlement agreement, the Company received $20.0 million in cash from the Indemnitors and paid $20.5 million to the plaintiffs in the Action. One of the former WildBlue stockholders and plaintiffs in the Action was TimesArrow Capital I, LLC. Thomas Moore, Senior Vice President of the Company, served as the administrative member of, and held 33.3% of the equity interests in, TimesArrow. Of the $20.5 million paid to the plaintiffs in the Action, TimesArrow and Mr. Moore received $3.0 million and $1.0 million, respectively.</w:t>
      </w:r>
    </w:p>
    <w:p>
      <w:pPr>
        <w:spacing w:after="0" w:line="33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Subsequent to the quarter end, on February 1, 2012, the Company filed a complaint against SS/L in the United States District Court for the Southern District of California for patent infringement and breach of contract relating to the manufacture of ViaSat-1. For more information regarding the complaint, see “Part II—Item 1. Legal Proceedings” of this Quarterly Report.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Financial Statements of Parent and Subsidiary Guarantors</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October 2009, the Company issued $275.0 million in principal amount of Notes in a private placement to institutional buyers. The Notes were exchanged in May 2010 for substantially identical Notes that had been registered with the SEC. The Notes are jointly and severally guaranteed on a full and unconditional basis by each of the Guarantor Subsidiaries, which are 100% owned by the Company. The indenture governing the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p>
    <w:p>
      <w:pPr>
        <w:spacing w:after="0" w:line="118" w:lineRule="exact"/>
        <w:rPr>
          <w:sz w:val="20"/>
          <w:szCs w:val="20"/>
          <w:color w:val="auto"/>
        </w:rPr>
      </w:pPr>
    </w:p>
    <w:p>
      <w:pPr>
        <w:ind w:right="360" w:firstLine="456"/>
        <w:spacing w:after="0" w:line="335" w:lineRule="auto"/>
        <w:rPr>
          <w:sz w:val="20"/>
          <w:szCs w:val="20"/>
          <w:color w:val="auto"/>
        </w:rPr>
      </w:pPr>
      <w:r>
        <w:rPr>
          <w:rFonts w:ascii="Arial" w:cs="Arial" w:eastAsia="Arial" w:hAnsi="Arial"/>
          <w:sz w:val="15"/>
          <w:szCs w:val="15"/>
          <w:color w:val="auto"/>
        </w:rPr>
        <w:t>The following supplemental financial information sets forth, on a condensed consolidating basis, the balance sheets, statements of operations and statements of cash flows for the Company (as “Issuing Parent Company”), the Guarantor Subsidiaries, the non-guarantor subsidiaries and total consolidated Company and subsidiaries as of December 30, 2011 and April 1, 2011 and for the three and nine months ended December 30, 2011 and December 31, 2010.</w:t>
      </w:r>
    </w:p>
    <w:p>
      <w:pPr>
        <w:spacing w:after="0" w:line="7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40"/>
          </w:cols>
          <w:pgMar w:left="240" w:top="459" w:right="3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 as of December 30, 2011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center"/>
              <w:ind w:right="34"/>
              <w:spacing w:after="0"/>
              <w:rPr>
                <w:sz w:val="20"/>
                <w:szCs w:val="20"/>
                <w:color w:val="auto"/>
              </w:rPr>
            </w:pPr>
            <w:r>
              <w:rPr>
                <w:rFonts w:ascii="Arial" w:cs="Arial" w:eastAsia="Arial" w:hAnsi="Arial"/>
                <w:sz w:val="14"/>
                <w:szCs w:val="14"/>
                <w:b w:val="1"/>
                <w:bCs w:val="1"/>
                <w:color w:val="auto"/>
                <w:w w:val="85"/>
              </w:rPr>
              <w:t>Issuing</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Consolidation and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Parent</w:t>
            </w:r>
          </w:p>
        </w:tc>
        <w:tc>
          <w:tcPr>
            <w:tcW w:w="48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7"/>
              </w:rPr>
              <w:t>Guarantor</w:t>
            </w:r>
          </w:p>
        </w:tc>
        <w:tc>
          <w:tcPr>
            <w:tcW w:w="48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Non-Guarantor</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98"/>
              </w:rPr>
              <w:t>Elimination</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7"/>
              </w:rPr>
              <w:t>Company</w:t>
            </w:r>
          </w:p>
        </w:tc>
        <w:tc>
          <w:tcPr>
            <w:tcW w:w="48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84"/>
              </w:rPr>
              <w:t>Subsidiaries</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4"/>
              </w:rPr>
              <w:t>Subsidiaries</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9"/>
              </w:rPr>
              <w:t>Adjustments</w:t>
            </w:r>
          </w:p>
        </w:tc>
        <w:tc>
          <w:tcPr>
            <w:tcW w:w="20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0" w:type="dxa"/>
            <w:vAlign w:val="bottom"/>
            <w:tcBorders>
              <w:top w:val="single" w:sz="8" w:color="auto"/>
            </w:tcBorders>
            <w:gridSpan w:val="6"/>
          </w:tcPr>
          <w:p>
            <w:pPr>
              <w:ind w:left="380"/>
              <w:spacing w:after="0" w:line="142" w:lineRule="exact"/>
              <w:rPr>
                <w:sz w:val="20"/>
                <w:szCs w:val="20"/>
                <w:color w:val="auto"/>
              </w:rPr>
            </w:pPr>
            <w:r>
              <w:rPr>
                <w:rFonts w:ascii="Arial" w:cs="Arial" w:eastAsia="Arial" w:hAnsi="Arial"/>
                <w:sz w:val="14"/>
                <w:szCs w:val="14"/>
                <w:b w:val="1"/>
                <w:bCs w:val="1"/>
                <w:color w:val="auto"/>
                <w:w w:val="92"/>
              </w:rPr>
              <w:t>(Unaudited, in thousands)</w:t>
            </w:r>
          </w:p>
        </w:tc>
        <w:tc>
          <w:tcPr>
            <w:tcW w:w="9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020"/>
              <w:spacing w:after="0"/>
              <w:rPr>
                <w:sz w:val="20"/>
                <w:szCs w:val="20"/>
                <w:color w:val="auto"/>
              </w:rPr>
            </w:pPr>
            <w:r>
              <w:rPr>
                <w:rFonts w:ascii="Arial" w:cs="Arial" w:eastAsia="Arial" w:hAnsi="Arial"/>
                <w:sz w:val="18"/>
                <w:szCs w:val="18"/>
                <w:b w:val="1"/>
                <w:bCs w:val="1"/>
                <w:color w:val="auto"/>
              </w:rPr>
              <w:t>ASSETS</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Current assets:</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38,218</w:t>
            </w: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56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7,449</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167,431</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9,291</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7,577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184,299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108,859</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14,533</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6,371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16,696</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1,723</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162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18,581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23,637</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27,017</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vMerge w:val="restart"/>
          </w:tcPr>
          <w:p>
            <w:pPr>
              <w:ind w:left="420"/>
              <w:spacing w:after="0"/>
              <w:rPr>
                <w:sz w:val="20"/>
                <w:szCs w:val="20"/>
                <w:color w:val="auto"/>
              </w:rPr>
            </w:pPr>
            <w:r>
              <w:rPr>
                <w:rFonts w:ascii="Arial" w:cs="Arial" w:eastAsia="Arial" w:hAnsi="Arial"/>
                <w:sz w:val="18"/>
                <w:szCs w:val="18"/>
                <w:color w:val="auto"/>
              </w:rPr>
              <w:t>Total current assets</w:t>
            </w: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56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354,841</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52,739</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22,316</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429,896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Satellites, net</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362,711</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234,525</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597,236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173,070</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96,908</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5,620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275,598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Other acquired intangible assets, net</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3,292</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55,627</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8,307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Goodwill</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63,939</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9,687</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9,525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83,151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w w:val="98"/>
              </w:rPr>
              <w:t>Investments in subsidiaries and intercompany receivables</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452,910</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2,363</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654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(455,927)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Other assets</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108,426</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17,534</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596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126,556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1,519,189</w:t>
            </w: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469,383</w:t>
            </w:r>
          </w:p>
        </w:tc>
        <w:tc>
          <w:tcPr>
            <w:tcW w:w="56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47,018</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(455,927)</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1,579,663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vMerge w:val="restart"/>
          </w:tcPr>
          <w:p>
            <w:pPr>
              <w:ind w:left="1220"/>
              <w:spacing w:after="0"/>
              <w:rPr>
                <w:sz w:val="20"/>
                <w:szCs w:val="20"/>
                <w:color w:val="auto"/>
              </w:rPr>
            </w:pPr>
            <w:r>
              <w:rPr>
                <w:rFonts w:ascii="Arial" w:cs="Arial" w:eastAsia="Arial" w:hAnsi="Arial"/>
                <w:sz w:val="18"/>
                <w:szCs w:val="18"/>
                <w:b w:val="1"/>
                <w:bCs w:val="1"/>
                <w:color w:val="auto"/>
              </w:rPr>
              <w:t>LIABILITIES AND EQUITY</w:t>
            </w: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20" w:type="dxa"/>
            <w:vAlign w:val="bottom"/>
          </w:tcPr>
          <w:p>
            <w:pPr>
              <w:spacing w:after="0"/>
              <w:rPr>
                <w:sz w:val="24"/>
                <w:szCs w:val="24"/>
                <w:color w:val="auto"/>
              </w:rPr>
            </w:pPr>
          </w:p>
        </w:tc>
        <w:tc>
          <w:tcPr>
            <w:tcW w:w="456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54,227</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7,814</w:t>
            </w:r>
          </w:p>
        </w:tc>
        <w:tc>
          <w:tcPr>
            <w:tcW w:w="560" w:type="dxa"/>
            <w:vAlign w:val="bottom"/>
            <w:gridSpan w:val="2"/>
          </w:tcPr>
          <w:p>
            <w:pPr>
              <w:ind w:left="480"/>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839</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62,880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liabilities</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92,571</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43,214</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3,575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Current portion of other long-term debt</w:t>
            </w:r>
          </w:p>
        </w:tc>
        <w:tc>
          <w:tcPr>
            <w:tcW w:w="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1,098</w:t>
            </w:r>
          </w:p>
        </w:tc>
        <w:tc>
          <w:tcPr>
            <w:tcW w:w="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liabilities</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146,926</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52,126</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4,414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580" w:type="dxa"/>
            <w:vAlign w:val="bottom"/>
            <w:gridSpan w:val="2"/>
          </w:tcPr>
          <w:p>
            <w:pPr>
              <w:spacing w:after="0"/>
              <w:rPr>
                <w:sz w:val="20"/>
                <w:szCs w:val="20"/>
                <w:color w:val="auto"/>
              </w:rPr>
            </w:pPr>
            <w:r>
              <w:rPr>
                <w:rFonts w:ascii="Arial" w:cs="Arial" w:eastAsia="Arial" w:hAnsi="Arial"/>
                <w:sz w:val="18"/>
                <w:szCs w:val="18"/>
                <w:color w:val="auto"/>
              </w:rPr>
              <w:t>Senior Notes due 2016, net</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272,667</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272,667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debt</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170,107</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Intercompany payables</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9,937</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10,446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(20,383)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36,476</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6,249</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2,517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vMerge w:val="restart"/>
          </w:tcPr>
          <w:p>
            <w:pPr>
              <w:ind w:left="420"/>
              <w:spacing w:after="0"/>
              <w:rPr>
                <w:sz w:val="20"/>
                <w:szCs w:val="20"/>
                <w:color w:val="auto"/>
              </w:rPr>
            </w:pPr>
            <w:r>
              <w:rPr>
                <w:rFonts w:ascii="Arial" w:cs="Arial" w:eastAsia="Arial" w:hAnsi="Arial"/>
                <w:sz w:val="18"/>
                <w:szCs w:val="18"/>
                <w:color w:val="auto"/>
              </w:rPr>
              <w:t>Total liabilities</w:t>
            </w: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vMerge w:val="continue"/>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636,113</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59,357</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17,377</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(20,383)</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692,464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5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ViaSat, Inc. stockholders’ equity</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ViaSat, Inc. stockholders’ equity</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883,076</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410,026</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29,641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(439,667)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883,076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rPr>
              <w:t>Noncontrolling interest in subsidiary</w:t>
            </w:r>
          </w:p>
        </w:tc>
        <w:tc>
          <w:tcPr>
            <w:tcW w:w="5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4,123</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equity</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883,076</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410,026</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29,641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(435,544)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887,199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vMerge w:val="restart"/>
          </w:tcPr>
          <w:p>
            <w:pPr>
              <w:ind w:left="420"/>
              <w:spacing w:after="0"/>
              <w:rPr>
                <w:sz w:val="20"/>
                <w:szCs w:val="20"/>
                <w:color w:val="auto"/>
              </w:rPr>
            </w:pPr>
            <w:r>
              <w:rPr>
                <w:rFonts w:ascii="Arial" w:cs="Arial" w:eastAsia="Arial" w:hAnsi="Arial"/>
                <w:sz w:val="18"/>
                <w:szCs w:val="18"/>
                <w:color w:val="auto"/>
              </w:rPr>
              <w:t>Total liabilities and equity</w:t>
            </w: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560" w:type="dxa"/>
            <w:vAlign w:val="bottom"/>
            <w:vMerge w:val="continue"/>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1,519,189</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469,383</w:t>
            </w:r>
          </w:p>
        </w:tc>
        <w:tc>
          <w:tcPr>
            <w:tcW w:w="560" w:type="dxa"/>
            <w:vAlign w:val="bottom"/>
            <w:gridSpan w:val="2"/>
          </w:tcPr>
          <w:p>
            <w:pPr>
              <w:ind w:left="480"/>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47,018</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(455,927)</w:t>
            </w:r>
          </w:p>
        </w:tc>
        <w:tc>
          <w:tcPr>
            <w:tcW w:w="300" w:type="dxa"/>
            <w:vAlign w:val="bottom"/>
            <w:gridSpan w:val="2"/>
          </w:tcPr>
          <w:p>
            <w:pPr>
              <w:ind w:left="200"/>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1,579,663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26</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 as of April 1, 2011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54"/>
              <w:spacing w:after="0"/>
              <w:rPr>
                <w:sz w:val="20"/>
                <w:szCs w:val="20"/>
                <w:color w:val="auto"/>
              </w:rPr>
            </w:pPr>
            <w:r>
              <w:rPr>
                <w:rFonts w:ascii="Arial" w:cs="Arial" w:eastAsia="Arial" w:hAnsi="Arial"/>
                <w:sz w:val="14"/>
                <w:szCs w:val="14"/>
                <w:b w:val="1"/>
                <w:bCs w:val="1"/>
                <w:color w:val="auto"/>
                <w:w w:val="81"/>
              </w:rPr>
              <w:t>Issuing</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rPr>
              <w:t>Consolidation and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14"/>
              <w:spacing w:after="0" w:line="149" w:lineRule="exact"/>
              <w:rPr>
                <w:sz w:val="20"/>
                <w:szCs w:val="20"/>
                <w:color w:val="auto"/>
              </w:rPr>
            </w:pPr>
            <w:r>
              <w:rPr>
                <w:rFonts w:ascii="Arial" w:cs="Arial" w:eastAsia="Arial" w:hAnsi="Arial"/>
                <w:sz w:val="14"/>
                <w:szCs w:val="14"/>
                <w:b w:val="1"/>
                <w:bCs w:val="1"/>
                <w:color w:val="auto"/>
                <w:w w:val="91"/>
              </w:rPr>
              <w:t>Parent</w:t>
            </w:r>
          </w:p>
        </w:tc>
        <w:tc>
          <w:tcPr>
            <w:tcW w:w="46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7"/>
              </w:rPr>
              <w:t>Guarantor</w:t>
            </w:r>
          </w:p>
        </w:tc>
        <w:tc>
          <w:tcPr>
            <w:tcW w:w="480" w:type="dxa"/>
            <w:vAlign w:val="bottom"/>
          </w:tcPr>
          <w:p>
            <w:pPr>
              <w:spacing w:after="0"/>
              <w:rPr>
                <w:sz w:val="12"/>
                <w:szCs w:val="12"/>
                <w:color w:val="auto"/>
              </w:rPr>
            </w:pPr>
          </w:p>
        </w:tc>
        <w:tc>
          <w:tcPr>
            <w:tcW w:w="13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Non-Guarantor</w:t>
            </w:r>
          </w:p>
        </w:tc>
        <w:tc>
          <w:tcPr>
            <w:tcW w:w="140" w:type="dxa"/>
            <w:vAlign w:val="bottom"/>
          </w:tcPr>
          <w:p>
            <w:pPr>
              <w:spacing w:after="0"/>
              <w:rPr>
                <w:sz w:val="12"/>
                <w:szCs w:val="12"/>
                <w:color w:val="auto"/>
              </w:rPr>
            </w:pPr>
          </w:p>
        </w:tc>
        <w:tc>
          <w:tcPr>
            <w:tcW w:w="12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Elimination</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14"/>
              <w:spacing w:after="0"/>
              <w:rPr>
                <w:sz w:val="20"/>
                <w:szCs w:val="20"/>
                <w:color w:val="auto"/>
              </w:rPr>
            </w:pPr>
            <w:r>
              <w:rPr>
                <w:rFonts w:ascii="Arial" w:cs="Arial" w:eastAsia="Arial" w:hAnsi="Arial"/>
                <w:sz w:val="14"/>
                <w:szCs w:val="14"/>
                <w:b w:val="1"/>
                <w:bCs w:val="1"/>
                <w:color w:val="auto"/>
                <w:w w:val="87"/>
              </w:rPr>
              <w:t>Company</w:t>
            </w:r>
          </w:p>
        </w:tc>
        <w:tc>
          <w:tcPr>
            <w:tcW w:w="46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w w:val="81"/>
              </w:rPr>
              <w:t>Subsidiaries</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Adjustments</w:t>
            </w:r>
          </w:p>
        </w:tc>
        <w:tc>
          <w:tcPr>
            <w:tcW w:w="20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860" w:type="dxa"/>
            <w:vAlign w:val="bottom"/>
            <w:tcBorders>
              <w:top w:val="single" w:sz="8" w:color="auto"/>
            </w:tcBorders>
            <w:gridSpan w:val="4"/>
          </w:tcPr>
          <w:p>
            <w:pPr>
              <w:ind w:left="360"/>
              <w:spacing w:after="0" w:line="142" w:lineRule="exact"/>
              <w:rPr>
                <w:sz w:val="20"/>
                <w:szCs w:val="20"/>
                <w:color w:val="auto"/>
              </w:rPr>
            </w:pPr>
            <w:r>
              <w:rPr>
                <w:rFonts w:ascii="Arial" w:cs="Arial" w:eastAsia="Arial" w:hAnsi="Arial"/>
                <w:sz w:val="14"/>
                <w:szCs w:val="14"/>
                <w:b w:val="1"/>
                <w:bCs w:val="1"/>
                <w:color w:val="auto"/>
                <w:w w:val="85"/>
              </w:rPr>
              <w:t>(Unaudited, in thousands)</w:t>
            </w: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2040"/>
              <w:spacing w:after="0"/>
              <w:rPr>
                <w:sz w:val="20"/>
                <w:szCs w:val="20"/>
                <w:color w:val="auto"/>
              </w:rPr>
            </w:pPr>
            <w:r>
              <w:rPr>
                <w:rFonts w:ascii="Arial" w:cs="Arial" w:eastAsia="Arial" w:hAnsi="Arial"/>
                <w:sz w:val="18"/>
                <w:szCs w:val="18"/>
                <w:b w:val="1"/>
                <w:bCs w:val="1"/>
                <w:color w:val="auto"/>
              </w:rPr>
              <w:t>ASSETS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Current assets: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24,347</w:t>
            </w:r>
          </w:p>
        </w:tc>
        <w:tc>
          <w:tcPr>
            <w:tcW w:w="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7,600</w:t>
            </w: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8,543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171,183</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10,644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10,062</w:t>
            </w:r>
          </w:p>
        </w:tc>
        <w:tc>
          <w:tcPr>
            <w:tcW w:w="140" w:type="dxa"/>
            <w:vAlign w:val="bottom"/>
          </w:tcPr>
          <w:p>
            <w:pPr>
              <w:spacing w:after="0"/>
              <w:rPr>
                <w:sz w:val="18"/>
                <w:szCs w:val="18"/>
                <w:color w:val="auto"/>
              </w:rPr>
            </w:pPr>
          </w:p>
        </w:tc>
        <w:tc>
          <w:tcPr>
            <w:tcW w:w="12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191,889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88,542</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2,932</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16,428</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1,723</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162</w:t>
            </w:r>
          </w:p>
        </w:tc>
        <w:tc>
          <w:tcPr>
            <w:tcW w:w="140" w:type="dxa"/>
            <w:vAlign w:val="bottom"/>
          </w:tcPr>
          <w:p>
            <w:pPr>
              <w:spacing w:after="0"/>
              <w:rPr>
                <w:sz w:val="18"/>
                <w:szCs w:val="18"/>
                <w:color w:val="auto"/>
              </w:rPr>
            </w:pPr>
          </w:p>
        </w:tc>
        <w:tc>
          <w:tcPr>
            <w:tcW w:w="1200" w:type="dxa"/>
            <w:vAlign w:val="bottom"/>
            <w:gridSpan w:val="2"/>
          </w:tcPr>
          <w:p>
            <w:pPr>
              <w:ind w:left="680"/>
              <w:spacing w:after="0"/>
              <w:rPr>
                <w:sz w:val="20"/>
                <w:szCs w:val="20"/>
                <w:color w:val="auto"/>
              </w:rPr>
            </w:pPr>
            <w:r>
              <w:rPr>
                <w:rFonts w:ascii="Arial" w:cs="Arial" w:eastAsia="Arial" w:hAnsi="Arial"/>
                <w:sz w:val="18"/>
                <w:szCs w:val="18"/>
                <w:color w:val="auto"/>
              </w:rPr>
              <w:t>492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18,805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15,236</w:t>
            </w: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4,745</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4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580" w:type="dxa"/>
            <w:vAlign w:val="bottom"/>
          </w:tcPr>
          <w:p>
            <w:pPr>
              <w:ind w:left="420"/>
              <w:spacing w:after="0"/>
              <w:rPr>
                <w:sz w:val="20"/>
                <w:szCs w:val="20"/>
                <w:color w:val="auto"/>
              </w:rPr>
            </w:pPr>
            <w:r>
              <w:rPr>
                <w:rFonts w:ascii="Arial" w:cs="Arial" w:eastAsia="Arial" w:hAnsi="Arial"/>
                <w:sz w:val="18"/>
                <w:szCs w:val="18"/>
                <w:color w:val="auto"/>
              </w:rPr>
              <w:t>Total current assets</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315,736</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32,196</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22,859</w:t>
            </w:r>
          </w:p>
        </w:tc>
        <w:tc>
          <w:tcPr>
            <w:tcW w:w="14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89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370,880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Satellites, net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276,418</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256,582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122,945</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103,410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7,785</w:t>
            </w: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(1,001)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233,139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Other acquired intangible assets, net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6,201</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65,341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10,347</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Goodwill</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63,939</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9,686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9,907</w:t>
            </w:r>
          </w:p>
        </w:tc>
        <w:tc>
          <w:tcPr>
            <w:tcW w:w="140" w:type="dxa"/>
            <w:vAlign w:val="bottom"/>
          </w:tcPr>
          <w:p>
            <w:pPr>
              <w:spacing w:after="0"/>
              <w:rPr>
                <w:sz w:val="18"/>
                <w:szCs w:val="18"/>
                <w:color w:val="auto"/>
              </w:rPr>
            </w:pPr>
          </w:p>
        </w:tc>
        <w:tc>
          <w:tcPr>
            <w:tcW w:w="12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83,532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w w:val="99"/>
              </w:rPr>
              <w:t>Investments in subsidiaries and intercompany receivables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490,288</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404</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(492,938)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Other assets</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89,834</w:t>
            </w:r>
          </w:p>
        </w:tc>
        <w:tc>
          <w:tcPr>
            <w:tcW w:w="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12,922</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w:t>
            </w:r>
          </w:p>
        </w:tc>
        <w:tc>
          <w:tcPr>
            <w:tcW w:w="4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103,308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1,365,361</w:t>
            </w:r>
          </w:p>
        </w:tc>
        <w:tc>
          <w:tcPr>
            <w:tcW w:w="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482,383</w:t>
            </w: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51,854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(493,850)</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1,405,748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vMerge w:val="restart"/>
          </w:tcPr>
          <w:p>
            <w:pPr>
              <w:ind w:left="1240"/>
              <w:spacing w:after="0"/>
              <w:rPr>
                <w:sz w:val="20"/>
                <w:szCs w:val="20"/>
                <w:color w:val="auto"/>
              </w:rPr>
            </w:pPr>
            <w:r>
              <w:rPr>
                <w:rFonts w:ascii="Arial" w:cs="Arial" w:eastAsia="Arial" w:hAnsi="Arial"/>
                <w:sz w:val="18"/>
                <w:szCs w:val="18"/>
                <w:b w:val="1"/>
                <w:bCs w:val="1"/>
                <w:color w:val="auto"/>
              </w:rPr>
              <w:t>LIABILITIES AND EQUITY</w:t>
            </w: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20" w:type="dxa"/>
            <w:vAlign w:val="bottom"/>
          </w:tcPr>
          <w:p>
            <w:pPr>
              <w:spacing w:after="0"/>
              <w:rPr>
                <w:sz w:val="24"/>
                <w:szCs w:val="24"/>
                <w:color w:val="auto"/>
              </w:rPr>
            </w:pPr>
          </w:p>
        </w:tc>
        <w:tc>
          <w:tcPr>
            <w:tcW w:w="458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62,465</w:t>
            </w:r>
          </w:p>
        </w:tc>
        <w:tc>
          <w:tcPr>
            <w:tcW w:w="580" w:type="dxa"/>
            <w:vAlign w:val="bottom"/>
            <w:gridSpan w:val="2"/>
          </w:tcPr>
          <w:p>
            <w:pPr>
              <w:ind w:left="46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8,164</w:t>
            </w:r>
          </w:p>
        </w:tc>
        <w:tc>
          <w:tcPr>
            <w:tcW w:w="580" w:type="dxa"/>
            <w:vAlign w:val="bottom"/>
            <w:gridSpan w:val="2"/>
          </w:tcPr>
          <w:p>
            <w:pPr>
              <w:ind w:left="48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1,083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71,712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liabilities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100,749</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4,143</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Pr>
          <w:p>
            <w:pPr>
              <w:ind w:left="420"/>
              <w:spacing w:after="0"/>
              <w:rPr>
                <w:sz w:val="20"/>
                <w:szCs w:val="20"/>
                <w:color w:val="auto"/>
              </w:rPr>
            </w:pPr>
            <w:r>
              <w:rPr>
                <w:rFonts w:ascii="Arial" w:cs="Arial" w:eastAsia="Arial" w:hAnsi="Arial"/>
                <w:sz w:val="18"/>
                <w:szCs w:val="18"/>
                <w:color w:val="auto"/>
              </w:rPr>
              <w:t>Current portion of other long-term debt</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liabilities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163,330</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34,867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5,226</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600" w:type="dxa"/>
            <w:vAlign w:val="bottom"/>
            <w:gridSpan w:val="2"/>
          </w:tcPr>
          <w:p>
            <w:pPr>
              <w:spacing w:after="0"/>
              <w:rPr>
                <w:sz w:val="20"/>
                <w:szCs w:val="20"/>
                <w:color w:val="auto"/>
              </w:rPr>
            </w:pPr>
            <w:r>
              <w:rPr>
                <w:rFonts w:ascii="Arial" w:cs="Arial" w:eastAsia="Arial" w:hAnsi="Arial"/>
                <w:sz w:val="18"/>
                <w:szCs w:val="18"/>
                <w:color w:val="auto"/>
              </w:rPr>
              <w:t>Senior Notes due 2016, net</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272,296</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2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272,296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debt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60,203</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Intercompany payables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14,606</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11,945</w:t>
            </w: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(26,551)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16,464</w:t>
            </w: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4,321</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3,057</w:t>
            </w:r>
          </w:p>
        </w:tc>
        <w:tc>
          <w:tcPr>
            <w:tcW w:w="4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80" w:type="dxa"/>
            <w:vAlign w:val="bottom"/>
          </w:tcPr>
          <w:p>
            <w:pPr>
              <w:ind w:left="420"/>
              <w:spacing w:after="0"/>
              <w:rPr>
                <w:sz w:val="20"/>
                <w:szCs w:val="20"/>
                <w:color w:val="auto"/>
              </w:rPr>
            </w:pPr>
            <w:r>
              <w:rPr>
                <w:rFonts w:ascii="Arial" w:cs="Arial" w:eastAsia="Arial" w:hAnsi="Arial"/>
                <w:sz w:val="18"/>
                <w:szCs w:val="18"/>
                <w:color w:val="auto"/>
              </w:rPr>
              <w:t>Total liabilities</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526,899</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40,931</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20,228</w:t>
            </w: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(26,551)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561,507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ViaSat, Inc. stockholders’ equity</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ViaSat, Inc. stockholders’ equity</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838,462</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441,452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31,626</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(471,415)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840,125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0" w:type="dxa"/>
            <w:vAlign w:val="bottom"/>
            <w:gridSpan w:val="2"/>
          </w:tcPr>
          <w:p>
            <w:pPr>
              <w:spacing w:after="0"/>
              <w:rPr>
                <w:sz w:val="20"/>
                <w:szCs w:val="20"/>
                <w:color w:val="auto"/>
              </w:rPr>
            </w:pPr>
            <w:r>
              <w:rPr>
                <w:rFonts w:ascii="Arial" w:cs="Arial" w:eastAsia="Arial" w:hAnsi="Arial"/>
                <w:sz w:val="18"/>
                <w:szCs w:val="18"/>
                <w:color w:val="auto"/>
              </w:rPr>
              <w:t>Noncontrolling interest in subsidiary</w:t>
            </w:r>
          </w:p>
        </w:tc>
        <w:tc>
          <w:tcPr>
            <w:tcW w:w="5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4,116</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equity</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838,462</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441,452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31,626</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(467,299)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844,241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vMerge w:val="restart"/>
          </w:tcPr>
          <w:p>
            <w:pPr>
              <w:ind w:left="420"/>
              <w:spacing w:after="0"/>
              <w:rPr>
                <w:sz w:val="20"/>
                <w:szCs w:val="20"/>
                <w:color w:val="auto"/>
              </w:rPr>
            </w:pPr>
            <w:r>
              <w:rPr>
                <w:rFonts w:ascii="Arial" w:cs="Arial" w:eastAsia="Arial" w:hAnsi="Arial"/>
                <w:sz w:val="18"/>
                <w:szCs w:val="18"/>
                <w:color w:val="auto"/>
              </w:rPr>
              <w:t>Total liabilities and equity</w:t>
            </w: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58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1,365,361</w:t>
            </w:r>
          </w:p>
        </w:tc>
        <w:tc>
          <w:tcPr>
            <w:tcW w:w="46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482,383</w:t>
            </w:r>
          </w:p>
        </w:tc>
        <w:tc>
          <w:tcPr>
            <w:tcW w:w="580" w:type="dxa"/>
            <w:vAlign w:val="bottom"/>
            <w:gridSpan w:val="2"/>
          </w:tcPr>
          <w:p>
            <w:pPr>
              <w:ind w:left="48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51,854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(493,850)</w:t>
            </w:r>
          </w:p>
        </w:tc>
        <w:tc>
          <w:tcPr>
            <w:tcW w:w="300" w:type="dxa"/>
            <w:vAlign w:val="bottom"/>
            <w:gridSpan w:val="2"/>
          </w:tcPr>
          <w:p>
            <w:pPr>
              <w:ind w:left="200"/>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1,405,748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ind w:right="54"/>
              <w:spacing w:after="0"/>
              <w:rPr>
                <w:sz w:val="20"/>
                <w:szCs w:val="20"/>
                <w:color w:val="auto"/>
              </w:rPr>
            </w:pPr>
            <w:r>
              <w:rPr>
                <w:rFonts w:ascii="Arial" w:cs="Arial" w:eastAsia="Arial" w:hAnsi="Arial"/>
                <w:sz w:val="18"/>
                <w:szCs w:val="18"/>
                <w:color w:val="auto"/>
              </w:rPr>
              <w:t>27</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 of Operations for the Three Months Ended December 30, 2011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Issuing</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Consolidation and</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Parent</w:t>
            </w:r>
          </w:p>
        </w:tc>
        <w:tc>
          <w:tcPr>
            <w:tcW w:w="240" w:type="dxa"/>
            <w:vAlign w:val="bottom"/>
          </w:tcPr>
          <w:p>
            <w:pPr>
              <w:spacing w:after="0"/>
              <w:rPr>
                <w:sz w:val="12"/>
                <w:szCs w:val="12"/>
                <w:color w:val="auto"/>
              </w:rPr>
            </w:pPr>
          </w:p>
        </w:tc>
        <w:tc>
          <w:tcPr>
            <w:tcW w:w="960" w:type="dxa"/>
            <w:vAlign w:val="bottom"/>
            <w:gridSpan w:val="3"/>
          </w:tcPr>
          <w:p>
            <w:pPr>
              <w:jc w:val="right"/>
              <w:ind w:right="300"/>
              <w:spacing w:after="0" w:line="149" w:lineRule="exact"/>
              <w:rPr>
                <w:sz w:val="20"/>
                <w:szCs w:val="20"/>
                <w:color w:val="auto"/>
              </w:rPr>
            </w:pPr>
            <w:r>
              <w:rPr>
                <w:rFonts w:ascii="Arial" w:cs="Arial" w:eastAsia="Arial" w:hAnsi="Arial"/>
                <w:sz w:val="14"/>
                <w:szCs w:val="14"/>
                <w:b w:val="1"/>
                <w:bCs w:val="1"/>
                <w:color w:val="auto"/>
                <w:w w:val="94"/>
              </w:rPr>
              <w:t>Guarantor</w:t>
            </w:r>
          </w:p>
        </w:tc>
        <w:tc>
          <w:tcPr>
            <w:tcW w:w="260" w:type="dxa"/>
            <w:vAlign w:val="bottom"/>
          </w:tcPr>
          <w:p>
            <w:pPr>
              <w:spacing w:after="0"/>
              <w:rPr>
                <w:sz w:val="12"/>
                <w:szCs w:val="12"/>
                <w:color w:val="auto"/>
              </w:rPr>
            </w:pPr>
          </w:p>
        </w:tc>
        <w:tc>
          <w:tcPr>
            <w:tcW w:w="14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Non-Guarantor</w:t>
            </w:r>
          </w:p>
        </w:tc>
        <w:tc>
          <w:tcPr>
            <w:tcW w:w="120" w:type="dxa"/>
            <w:vAlign w:val="bottom"/>
          </w:tcPr>
          <w:p>
            <w:pPr>
              <w:spacing w:after="0"/>
              <w:rPr>
                <w:sz w:val="12"/>
                <w:szCs w:val="12"/>
                <w:color w:val="auto"/>
              </w:rPr>
            </w:pPr>
          </w:p>
        </w:tc>
        <w:tc>
          <w:tcPr>
            <w:tcW w:w="148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w w:val="98"/>
              </w:rPr>
              <w:t>Elimination</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7"/>
              </w:rPr>
              <w:t>Company</w:t>
            </w:r>
          </w:p>
        </w:tc>
        <w:tc>
          <w:tcPr>
            <w:tcW w:w="24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84"/>
              </w:rPr>
              <w:t>Subsidiaries</w:t>
            </w:r>
          </w:p>
        </w:tc>
        <w:tc>
          <w:tcPr>
            <w:tcW w:w="120" w:type="dxa"/>
            <w:vAlign w:val="bottom"/>
          </w:tcPr>
          <w:p>
            <w:pPr>
              <w:spacing w:after="0"/>
              <w:rPr>
                <w:sz w:val="14"/>
                <w:szCs w:val="14"/>
                <w:color w:val="auto"/>
              </w:rPr>
            </w:pPr>
          </w:p>
        </w:tc>
        <w:tc>
          <w:tcPr>
            <w:tcW w:w="14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89"/>
              </w:rPr>
              <w:t>Adjustments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820" w:type="dxa"/>
            <w:vAlign w:val="bottom"/>
            <w:tcBorders>
              <w:top w:val="single" w:sz="8" w:color="auto"/>
            </w:tcBorders>
            <w:gridSpan w:val="5"/>
          </w:tcPr>
          <w:p>
            <w:pPr>
              <w:ind w:left="220"/>
              <w:spacing w:after="0" w:line="142" w:lineRule="exact"/>
              <w:rPr>
                <w:sz w:val="20"/>
                <w:szCs w:val="20"/>
                <w:color w:val="auto"/>
              </w:rPr>
            </w:pPr>
            <w:r>
              <w:rPr>
                <w:rFonts w:ascii="Arial" w:cs="Arial" w:eastAsia="Arial" w:hAnsi="Arial"/>
                <w:sz w:val="14"/>
                <w:szCs w:val="14"/>
                <w:b w:val="1"/>
                <w:bCs w:val="1"/>
                <w:color w:val="auto"/>
                <w:w w:val="91"/>
              </w:rPr>
              <w:t>(Unaudited, in thousands)</w:t>
            </w:r>
          </w:p>
        </w:tc>
        <w:tc>
          <w:tcPr>
            <w:tcW w:w="9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Product revenues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115,537</w:t>
            </w:r>
          </w:p>
        </w:tc>
        <w:tc>
          <w:tcPr>
            <w:tcW w:w="280" w:type="dxa"/>
            <w:vAlign w:val="bottom"/>
          </w:tcPr>
          <w:p>
            <w:pPr>
              <w:spacing w:after="0"/>
              <w:rPr>
                <w:sz w:val="18"/>
                <w:szCs w:val="18"/>
                <w:color w:val="auto"/>
              </w:rPr>
            </w:pP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735</w:t>
            </w:r>
          </w:p>
        </w:tc>
        <w:tc>
          <w:tcPr>
            <w:tcW w:w="240" w:type="dxa"/>
            <w:vAlign w:val="bottom"/>
          </w:tcPr>
          <w:p>
            <w:pPr>
              <w:spacing w:after="0"/>
              <w:rPr>
                <w:sz w:val="18"/>
                <w:szCs w:val="18"/>
                <w:color w:val="auto"/>
              </w:rPr>
            </w:pP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5,651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460"/>
              <w:spacing w:after="0"/>
              <w:rPr>
                <w:sz w:val="20"/>
                <w:szCs w:val="20"/>
                <w:color w:val="auto"/>
              </w:rPr>
            </w:pPr>
            <w:r>
              <w:rPr>
                <w:rFonts w:ascii="Arial" w:cs="Arial" w:eastAsia="Arial" w:hAnsi="Arial"/>
                <w:sz w:val="18"/>
                <w:szCs w:val="18"/>
                <w:color w:val="auto"/>
              </w:rPr>
              <w:t>(61)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121,862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Service revenues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30,438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50,864</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2,211</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(411)</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83,102</w:t>
            </w: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spacing w:after="0"/>
              <w:rPr>
                <w:sz w:val="20"/>
                <w:szCs w:val="20"/>
                <w:color w:val="auto"/>
              </w:rPr>
            </w:pPr>
            <w:r>
              <w:rPr>
                <w:rFonts w:ascii="Arial" w:cs="Arial" w:eastAsia="Arial" w:hAnsi="Arial"/>
                <w:sz w:val="18"/>
                <w:szCs w:val="18"/>
                <w:color w:val="auto"/>
              </w:rPr>
              <w:t>Total revenues</w:t>
            </w: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86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145,975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51,599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7,862</w:t>
            </w:r>
          </w:p>
        </w:tc>
        <w:tc>
          <w:tcPr>
            <w:tcW w:w="120" w:type="dxa"/>
            <w:vAlign w:val="bottom"/>
          </w:tcPr>
          <w:p>
            <w:pPr>
              <w:spacing w:after="0"/>
              <w:rPr>
                <w:sz w:val="19"/>
                <w:szCs w:val="19"/>
                <w:color w:val="auto"/>
              </w:rPr>
            </w:pPr>
          </w:p>
        </w:tc>
        <w:tc>
          <w:tcPr>
            <w:tcW w:w="1480" w:type="dxa"/>
            <w:vAlign w:val="bottom"/>
            <w:gridSpan w:val="2"/>
          </w:tcPr>
          <w:p>
            <w:pPr>
              <w:jc w:val="right"/>
              <w:ind w:right="460"/>
              <w:spacing w:after="0"/>
              <w:rPr>
                <w:sz w:val="20"/>
                <w:szCs w:val="20"/>
                <w:color w:val="auto"/>
              </w:rPr>
            </w:pPr>
            <w:r>
              <w:rPr>
                <w:rFonts w:ascii="Arial" w:cs="Arial" w:eastAsia="Arial" w:hAnsi="Arial"/>
                <w:sz w:val="18"/>
                <w:szCs w:val="18"/>
                <w:color w:val="auto"/>
              </w:rPr>
              <w:t>(472)</w:t>
            </w:r>
          </w:p>
        </w:tc>
        <w:tc>
          <w:tcPr>
            <w:tcW w:w="1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204,964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Cost of product revenues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85,440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854</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3,230</w:t>
            </w:r>
          </w:p>
        </w:tc>
        <w:tc>
          <w:tcPr>
            <w:tcW w:w="120" w:type="dxa"/>
            <w:vAlign w:val="bottom"/>
          </w:tcPr>
          <w:p>
            <w:pPr>
              <w:spacing w:after="0"/>
              <w:rPr>
                <w:sz w:val="18"/>
                <w:szCs w:val="18"/>
                <w:color w:val="auto"/>
              </w:rPr>
            </w:pPr>
          </w:p>
        </w:tc>
        <w:tc>
          <w:tcPr>
            <w:tcW w:w="1480" w:type="dxa"/>
            <w:vAlign w:val="bottom"/>
            <w:gridSpan w:val="2"/>
          </w:tcPr>
          <w:p>
            <w:pPr>
              <w:jc w:val="right"/>
              <w:ind w:right="460"/>
              <w:spacing w:after="0"/>
              <w:rPr>
                <w:sz w:val="20"/>
                <w:szCs w:val="20"/>
                <w:color w:val="auto"/>
              </w:rPr>
            </w:pPr>
            <w:r>
              <w:rPr>
                <w:rFonts w:ascii="Arial" w:cs="Arial" w:eastAsia="Arial" w:hAnsi="Arial"/>
                <w:sz w:val="18"/>
                <w:szCs w:val="18"/>
                <w:color w:val="auto"/>
              </w:rPr>
              <w:t>(61)</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89,463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service revenues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17,781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38,200</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1,760</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(423)</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31,801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11,767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2,057</w:t>
            </w:r>
          </w:p>
        </w:tc>
        <w:tc>
          <w:tcPr>
            <w:tcW w:w="120" w:type="dxa"/>
            <w:vAlign w:val="bottom"/>
          </w:tcPr>
          <w:p>
            <w:pPr>
              <w:spacing w:after="0"/>
              <w:rPr>
                <w:sz w:val="18"/>
                <w:szCs w:val="18"/>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45,640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Independent research and development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181</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Amortization of acquired intangible assets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971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3,238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543</w:t>
            </w:r>
          </w:p>
        </w:tc>
        <w:tc>
          <w:tcPr>
            <w:tcW w:w="120" w:type="dxa"/>
            <w:vAlign w:val="bottom"/>
          </w:tcPr>
          <w:p>
            <w:pPr>
              <w:spacing w:after="0"/>
              <w:rPr>
                <w:sz w:val="18"/>
                <w:szCs w:val="18"/>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4,752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(2,460)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1,792</w:t>
            </w:r>
          </w:p>
        </w:tc>
        <w:tc>
          <w:tcPr>
            <w:tcW w:w="0" w:type="dxa"/>
            <w:vAlign w:val="bottom"/>
          </w:tcPr>
          <w:p>
            <w:pPr>
              <w:spacing w:after="0"/>
              <w:rPr>
                <w:sz w:val="1"/>
                <w:szCs w:val="1"/>
                <w:color w:val="auto"/>
              </w:rPr>
            </w:pPr>
          </w:p>
        </w:tc>
      </w:tr>
      <w:tr>
        <w:trPr>
          <w:trHeight w:val="323"/>
        </w:trPr>
        <w:tc>
          <w:tcPr>
            <w:tcW w:w="486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(305)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(2,486)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1,481</w:t>
            </w:r>
          </w:p>
        </w:tc>
        <w:tc>
          <w:tcPr>
            <w:tcW w:w="0" w:type="dxa"/>
            <w:vAlign w:val="bottom"/>
          </w:tcPr>
          <w:p>
            <w:pPr>
              <w:spacing w:after="0"/>
              <w:rPr>
                <w:sz w:val="1"/>
                <w:szCs w:val="1"/>
                <w:color w:val="auto"/>
              </w:rPr>
            </w:pPr>
          </w:p>
        </w:tc>
      </w:tr>
      <w:tr>
        <w:trPr>
          <w:trHeight w:val="322"/>
        </w:trPr>
        <w:tc>
          <w:tcPr>
            <w:tcW w:w="4860" w:type="dxa"/>
            <w:vAlign w:val="bottom"/>
            <w:gridSpan w:val="2"/>
          </w:tcPr>
          <w:p>
            <w:pPr>
              <w:spacing w:after="0"/>
              <w:rPr>
                <w:sz w:val="20"/>
                <w:szCs w:val="20"/>
                <w:color w:val="auto"/>
              </w:rPr>
            </w:pPr>
            <w:r>
              <w:rPr>
                <w:rFonts w:ascii="Arial" w:cs="Arial" w:eastAsia="Arial" w:hAnsi="Arial"/>
                <w:sz w:val="18"/>
                <w:szCs w:val="18"/>
                <w:color w:val="auto"/>
              </w:rPr>
              <w:t>Provision for (benefit from) income taxes</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(1,901)</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(1,318)</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(418)</w:t>
            </w:r>
          </w:p>
        </w:tc>
        <w:tc>
          <w:tcPr>
            <w:tcW w:w="120" w:type="dxa"/>
            <w:vAlign w:val="bottom"/>
          </w:tcPr>
          <w:p>
            <w:pPr>
              <w:spacing w:after="0"/>
              <w:rPr>
                <w:sz w:val="24"/>
                <w:szCs w:val="24"/>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(3,637)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Equity in net income (loss) of consolidated subsidiaries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636</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86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5,140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(1,168)</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510</w:t>
            </w:r>
          </w:p>
        </w:tc>
        <w:tc>
          <w:tcPr>
            <w:tcW w:w="120" w:type="dxa"/>
            <w:vAlign w:val="bottom"/>
          </w:tcPr>
          <w:p>
            <w:pPr>
              <w:spacing w:after="0"/>
              <w:rPr>
                <w:sz w:val="19"/>
                <w:szCs w:val="19"/>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rPr>
              <w:t>636</w:t>
            </w:r>
          </w:p>
        </w:tc>
        <w:tc>
          <w:tcPr>
            <w:tcW w:w="1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5,118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w w:val="93"/>
              </w:rPr>
              <w:t>Less: Net income (loss) attributable to noncontrolling interest, net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of tax</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spacing w:after="0"/>
              <w:rPr>
                <w:sz w:val="20"/>
                <w:szCs w:val="20"/>
                <w:color w:val="auto"/>
              </w:rPr>
            </w:pPr>
            <w:r>
              <w:rPr>
                <w:rFonts w:ascii="Arial" w:cs="Arial" w:eastAsia="Arial" w:hAnsi="Arial"/>
                <w:sz w:val="18"/>
                <w:szCs w:val="18"/>
                <w:color w:val="auto"/>
              </w:rPr>
              <w:t>Net income (loss) attributable to ViaSat, Inc.</w:t>
            </w: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86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5,140</w:t>
            </w:r>
          </w:p>
        </w:tc>
        <w:tc>
          <w:tcPr>
            <w:tcW w:w="280" w:type="dxa"/>
            <w:vAlign w:val="bottom"/>
          </w:tcPr>
          <w:p>
            <w:pPr>
              <w:spacing w:after="0"/>
              <w:rPr>
                <w:sz w:val="19"/>
                <w:szCs w:val="19"/>
                <w:color w:val="auto"/>
              </w:rPr>
            </w:pP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(1,168)</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510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rPr>
              <w:t>658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5,140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 of Operations for the Nine Months Ended December 30, 2011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5"/>
              </w:rPr>
              <w:t>Issuing</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40" w:type="dxa"/>
            <w:vAlign w:val="bottom"/>
            <w:gridSpan w:val="3"/>
          </w:tcPr>
          <w:p>
            <w:pPr>
              <w:ind w:left="20"/>
              <w:spacing w:after="0"/>
              <w:rPr>
                <w:sz w:val="20"/>
                <w:szCs w:val="20"/>
                <w:color w:val="auto"/>
              </w:rPr>
            </w:pPr>
            <w:r>
              <w:rPr>
                <w:rFonts w:ascii="Arial" w:cs="Arial" w:eastAsia="Arial" w:hAnsi="Arial"/>
                <w:sz w:val="14"/>
                <w:szCs w:val="14"/>
                <w:b w:val="1"/>
                <w:bCs w:val="1"/>
                <w:color w:val="auto"/>
              </w:rPr>
              <w:t>Consolidation and</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Parent</w:t>
            </w:r>
          </w:p>
        </w:tc>
        <w:tc>
          <w:tcPr>
            <w:tcW w:w="200" w:type="dxa"/>
            <w:vAlign w:val="bottom"/>
          </w:tcPr>
          <w:p>
            <w:pPr>
              <w:spacing w:after="0"/>
              <w:rPr>
                <w:sz w:val="12"/>
                <w:szCs w:val="12"/>
                <w:color w:val="auto"/>
              </w:rPr>
            </w:pPr>
          </w:p>
        </w:tc>
        <w:tc>
          <w:tcPr>
            <w:tcW w:w="980" w:type="dxa"/>
            <w:vAlign w:val="bottom"/>
            <w:gridSpan w:val="3"/>
          </w:tcPr>
          <w:p>
            <w:pPr>
              <w:jc w:val="right"/>
              <w:ind w:right="320"/>
              <w:spacing w:after="0" w:line="149" w:lineRule="exact"/>
              <w:rPr>
                <w:sz w:val="20"/>
                <w:szCs w:val="20"/>
                <w:color w:val="auto"/>
              </w:rPr>
            </w:pPr>
            <w:r>
              <w:rPr>
                <w:rFonts w:ascii="Arial" w:cs="Arial" w:eastAsia="Arial" w:hAnsi="Arial"/>
                <w:sz w:val="14"/>
                <w:szCs w:val="14"/>
                <w:b w:val="1"/>
                <w:bCs w:val="1"/>
                <w:color w:val="auto"/>
                <w:w w:val="94"/>
              </w:rPr>
              <w:t>Guarantor</w:t>
            </w:r>
          </w:p>
        </w:tc>
        <w:tc>
          <w:tcPr>
            <w:tcW w:w="260" w:type="dxa"/>
            <w:vAlign w:val="bottom"/>
          </w:tcPr>
          <w:p>
            <w:pPr>
              <w:spacing w:after="0"/>
              <w:rPr>
                <w:sz w:val="12"/>
                <w:szCs w:val="12"/>
                <w:color w:val="auto"/>
              </w:rPr>
            </w:pPr>
          </w:p>
        </w:tc>
        <w:tc>
          <w:tcPr>
            <w:tcW w:w="14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Non-Guarantor</w:t>
            </w:r>
          </w:p>
        </w:tc>
        <w:tc>
          <w:tcPr>
            <w:tcW w:w="140" w:type="dxa"/>
            <w:vAlign w:val="bottom"/>
          </w:tcPr>
          <w:p>
            <w:pPr>
              <w:spacing w:after="0"/>
              <w:rPr>
                <w:sz w:val="12"/>
                <w:szCs w:val="12"/>
                <w:color w:val="auto"/>
              </w:rPr>
            </w:pPr>
          </w:p>
        </w:tc>
        <w:tc>
          <w:tcPr>
            <w:tcW w:w="1500" w:type="dxa"/>
            <w:vAlign w:val="bottom"/>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w w:val="98"/>
              </w:rPr>
              <w:t>Elimination</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0"/>
              </w:rPr>
              <w:t>Company</w:t>
            </w:r>
          </w:p>
        </w:tc>
        <w:tc>
          <w:tcPr>
            <w:tcW w:w="20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4"/>
              </w:rPr>
              <w:t>Subsidiaries</w:t>
            </w:r>
          </w:p>
        </w:tc>
        <w:tc>
          <w:tcPr>
            <w:tcW w:w="140" w:type="dxa"/>
            <w:vAlign w:val="bottom"/>
          </w:tcPr>
          <w:p>
            <w:pPr>
              <w:spacing w:after="0"/>
              <w:rPr>
                <w:sz w:val="14"/>
                <w:szCs w:val="14"/>
                <w:color w:val="auto"/>
              </w:rPr>
            </w:pPr>
          </w:p>
        </w:tc>
        <w:tc>
          <w:tcPr>
            <w:tcW w:w="15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89"/>
              </w:rPr>
              <w:t>Adjustments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720" w:type="dxa"/>
            <w:vAlign w:val="bottom"/>
            <w:tcBorders>
              <w:top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w w:val="98"/>
              </w:rPr>
              <w:t>(Unaudited, in thousands)</w:t>
            </w:r>
          </w:p>
        </w:tc>
        <w:tc>
          <w:tcPr>
            <w:tcW w:w="1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420"/>
              <w:spacing w:after="0"/>
              <w:rPr>
                <w:sz w:val="20"/>
                <w:szCs w:val="20"/>
                <w:color w:val="auto"/>
              </w:rPr>
            </w:pPr>
            <w:r>
              <w:rPr>
                <w:rFonts w:ascii="Arial" w:cs="Arial" w:eastAsia="Arial" w:hAnsi="Arial"/>
                <w:sz w:val="18"/>
                <w:szCs w:val="18"/>
                <w:color w:val="auto"/>
              </w:rPr>
              <w:t>Product revenues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370,293</w:t>
            </w:r>
          </w:p>
        </w:tc>
        <w:tc>
          <w:tcPr>
            <w:tcW w:w="320" w:type="dxa"/>
            <w:vAlign w:val="bottom"/>
          </w:tcPr>
          <w:p>
            <w:pPr>
              <w:spacing w:after="0"/>
              <w:rPr>
                <w:sz w:val="18"/>
                <w:szCs w:val="18"/>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2,313</w:t>
            </w:r>
          </w:p>
        </w:tc>
        <w:tc>
          <w:tcPr>
            <w:tcW w:w="280" w:type="dxa"/>
            <w:vAlign w:val="bottom"/>
          </w:tcPr>
          <w:p>
            <w:pPr>
              <w:spacing w:after="0"/>
              <w:rPr>
                <w:sz w:val="18"/>
                <w:szCs w:val="18"/>
                <w:color w:val="auto"/>
              </w:rPr>
            </w:pP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18,818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480"/>
              <w:spacing w:after="0"/>
              <w:rPr>
                <w:sz w:val="20"/>
                <w:szCs w:val="20"/>
                <w:color w:val="auto"/>
              </w:rPr>
            </w:pPr>
            <w:r>
              <w:rPr>
                <w:rFonts w:ascii="Arial" w:cs="Arial" w:eastAsia="Arial" w:hAnsi="Arial"/>
                <w:sz w:val="18"/>
                <w:szCs w:val="18"/>
                <w:color w:val="auto"/>
              </w:rPr>
              <w:t>(405)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391,019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Service revenues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70,123</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155,853</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7,624</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(1,530)</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232,070</w:t>
            </w:r>
          </w:p>
        </w:tc>
        <w:tc>
          <w:tcPr>
            <w:tcW w:w="0" w:type="dxa"/>
            <w:vAlign w:val="bottom"/>
          </w:tcPr>
          <w:p>
            <w:pPr>
              <w:spacing w:after="0"/>
              <w:rPr>
                <w:sz w:val="1"/>
                <w:szCs w:val="1"/>
                <w:color w:val="auto"/>
              </w:rPr>
            </w:pPr>
          </w:p>
        </w:tc>
      </w:tr>
      <w:tr>
        <w:trPr>
          <w:trHeight w:val="20"/>
        </w:trPr>
        <w:tc>
          <w:tcPr>
            <w:tcW w:w="4680" w:type="dxa"/>
            <w:vAlign w:val="bottom"/>
            <w:gridSpan w:val="2"/>
            <w:vMerge w:val="restart"/>
          </w:tcPr>
          <w:p>
            <w:pPr>
              <w:spacing w:after="0"/>
              <w:rPr>
                <w:sz w:val="20"/>
                <w:szCs w:val="20"/>
                <w:color w:val="auto"/>
              </w:rPr>
            </w:pPr>
            <w:r>
              <w:rPr>
                <w:rFonts w:ascii="Arial" w:cs="Arial" w:eastAsia="Arial" w:hAnsi="Arial"/>
                <w:sz w:val="18"/>
                <w:szCs w:val="18"/>
                <w:color w:val="auto"/>
              </w:rPr>
              <w:t>Total revenues</w:t>
            </w: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8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440,416</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158,166</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26,442</w:t>
            </w:r>
          </w:p>
        </w:tc>
        <w:tc>
          <w:tcPr>
            <w:tcW w:w="140" w:type="dxa"/>
            <w:vAlign w:val="bottom"/>
          </w:tcPr>
          <w:p>
            <w:pPr>
              <w:spacing w:after="0"/>
              <w:rPr>
                <w:sz w:val="19"/>
                <w:szCs w:val="19"/>
                <w:color w:val="auto"/>
              </w:rPr>
            </w:pPr>
          </w:p>
        </w:tc>
        <w:tc>
          <w:tcPr>
            <w:tcW w:w="1500" w:type="dxa"/>
            <w:vAlign w:val="bottom"/>
            <w:gridSpan w:val="2"/>
          </w:tcPr>
          <w:p>
            <w:pPr>
              <w:jc w:val="right"/>
              <w:ind w:right="480"/>
              <w:spacing w:after="0"/>
              <w:rPr>
                <w:sz w:val="20"/>
                <w:szCs w:val="20"/>
                <w:color w:val="auto"/>
              </w:rPr>
            </w:pPr>
            <w:r>
              <w:rPr>
                <w:rFonts w:ascii="Arial" w:cs="Arial" w:eastAsia="Arial" w:hAnsi="Arial"/>
                <w:sz w:val="18"/>
                <w:szCs w:val="18"/>
                <w:color w:val="auto"/>
              </w:rPr>
              <w:t>(1,935)</w:t>
            </w:r>
          </w:p>
        </w:tc>
        <w:tc>
          <w:tcPr>
            <w:tcW w:w="1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623,089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420"/>
              <w:spacing w:after="0"/>
              <w:rPr>
                <w:sz w:val="20"/>
                <w:szCs w:val="20"/>
                <w:color w:val="auto"/>
              </w:rPr>
            </w:pPr>
            <w:r>
              <w:rPr>
                <w:rFonts w:ascii="Arial" w:cs="Arial" w:eastAsia="Arial" w:hAnsi="Arial"/>
                <w:sz w:val="18"/>
                <w:szCs w:val="18"/>
                <w:color w:val="auto"/>
              </w:rPr>
              <w:t>Cost of product revenues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275,370</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2,396</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13,695</w:t>
            </w:r>
          </w:p>
        </w:tc>
        <w:tc>
          <w:tcPr>
            <w:tcW w:w="140" w:type="dxa"/>
            <w:vAlign w:val="bottom"/>
          </w:tcPr>
          <w:p>
            <w:pPr>
              <w:spacing w:after="0"/>
              <w:rPr>
                <w:sz w:val="18"/>
                <w:szCs w:val="18"/>
                <w:color w:val="auto"/>
              </w:rPr>
            </w:pPr>
          </w:p>
        </w:tc>
        <w:tc>
          <w:tcPr>
            <w:tcW w:w="1500" w:type="dxa"/>
            <w:vAlign w:val="bottom"/>
            <w:gridSpan w:val="2"/>
          </w:tcPr>
          <w:p>
            <w:pPr>
              <w:jc w:val="right"/>
              <w:ind w:right="480"/>
              <w:spacing w:after="0"/>
              <w:rPr>
                <w:sz w:val="20"/>
                <w:szCs w:val="20"/>
                <w:color w:val="auto"/>
              </w:rPr>
            </w:pPr>
            <w:r>
              <w:rPr>
                <w:rFonts w:ascii="Arial" w:cs="Arial" w:eastAsia="Arial" w:hAnsi="Arial"/>
                <w:sz w:val="18"/>
                <w:szCs w:val="18"/>
                <w:color w:val="auto"/>
              </w:rPr>
              <w:t>(1,804)</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289,657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service revenues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43,253</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113,657</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5,419</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(1,491)</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160,838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42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88,335</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36,827</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6,578</w:t>
            </w:r>
          </w:p>
        </w:tc>
        <w:tc>
          <w:tcPr>
            <w:tcW w:w="140" w:type="dxa"/>
            <w:vAlign w:val="bottom"/>
          </w:tcPr>
          <w:p>
            <w:pPr>
              <w:spacing w:after="0"/>
              <w:rPr>
                <w:sz w:val="18"/>
                <w:szCs w:val="18"/>
                <w:color w:val="auto"/>
              </w:rPr>
            </w:pPr>
          </w:p>
        </w:tc>
        <w:tc>
          <w:tcPr>
            <w:tcW w:w="1500" w:type="dxa"/>
            <w:vAlign w:val="bottom"/>
            <w:gridSpan w:val="2"/>
          </w:tcPr>
          <w:p>
            <w:pPr>
              <w:jc w:val="right"/>
              <w:ind w:right="54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131,752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Independent research and development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17,778</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753</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420"/>
              <w:spacing w:after="0"/>
              <w:rPr>
                <w:sz w:val="20"/>
                <w:szCs w:val="20"/>
                <w:color w:val="auto"/>
              </w:rPr>
            </w:pPr>
            <w:r>
              <w:rPr>
                <w:rFonts w:ascii="Arial" w:cs="Arial" w:eastAsia="Arial" w:hAnsi="Arial"/>
                <w:sz w:val="18"/>
                <w:szCs w:val="18"/>
                <w:color w:val="auto"/>
              </w:rPr>
              <w:t>Amortization of acquired intangible assets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2,911</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9,715</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1,665</w:t>
            </w:r>
          </w:p>
        </w:tc>
        <w:tc>
          <w:tcPr>
            <w:tcW w:w="140" w:type="dxa"/>
            <w:vAlign w:val="bottom"/>
          </w:tcPr>
          <w:p>
            <w:pPr>
              <w:spacing w:after="0"/>
              <w:rPr>
                <w:sz w:val="18"/>
                <w:szCs w:val="18"/>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14,291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12,769</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(4,429)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(1,668)</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1,377</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8,049</w:t>
            </w:r>
          </w:p>
        </w:tc>
        <w:tc>
          <w:tcPr>
            <w:tcW w:w="0" w:type="dxa"/>
            <w:vAlign w:val="bottom"/>
          </w:tcPr>
          <w:p>
            <w:pPr>
              <w:spacing w:after="0"/>
              <w:rPr>
                <w:sz w:val="1"/>
                <w:szCs w:val="1"/>
                <w:color w:val="auto"/>
              </w:rPr>
            </w:pPr>
          </w:p>
        </w:tc>
      </w:tr>
      <w:tr>
        <w:trPr>
          <w:trHeight w:val="323"/>
        </w:trPr>
        <w:tc>
          <w:tcPr>
            <w:tcW w:w="468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264</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(210)</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280"/>
              <w:spacing w:after="0"/>
              <w:rPr>
                <w:sz w:val="20"/>
                <w:szCs w:val="20"/>
                <w:color w:val="auto"/>
              </w:rPr>
            </w:pPr>
            <w:r>
              <w:rPr>
                <w:rFonts w:ascii="Arial" w:cs="Arial" w:eastAsia="Arial" w:hAnsi="Arial"/>
                <w:sz w:val="18"/>
                <w:szCs w:val="18"/>
                <w:color w:val="auto"/>
              </w:rPr>
              <w:t>(457)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(85)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(210)</w:t>
            </w:r>
          </w:p>
        </w:tc>
        <w:tc>
          <w:tcPr>
            <w:tcW w:w="140" w:type="dxa"/>
            <w:vAlign w:val="bottom"/>
          </w:tcPr>
          <w:p>
            <w:pPr>
              <w:spacing w:after="0"/>
              <w:rPr>
                <w:sz w:val="18"/>
                <w:szCs w:val="18"/>
                <w:color w:val="auto"/>
              </w:rPr>
            </w:pPr>
          </w:p>
        </w:tc>
        <w:tc>
          <w:tcPr>
            <w:tcW w:w="1500" w:type="dxa"/>
            <w:vAlign w:val="bottom"/>
            <w:gridSpan w:val="2"/>
          </w:tcPr>
          <w:p>
            <w:pPr>
              <w:jc w:val="right"/>
              <w:ind w:right="540"/>
              <w:spacing w:after="0"/>
              <w:rPr>
                <w:sz w:val="20"/>
                <w:szCs w:val="20"/>
                <w:color w:val="auto"/>
              </w:rPr>
            </w:pPr>
            <w:r>
              <w:rPr>
                <w:rFonts w:ascii="Arial" w:cs="Arial" w:eastAsia="Arial" w:hAnsi="Arial"/>
                <w:sz w:val="18"/>
                <w:szCs w:val="18"/>
                <w:color w:val="auto"/>
              </w:rPr>
              <w:t>210</w:t>
            </w: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12,576</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(4,514)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(1,873)</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1,377</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7,566</w:t>
            </w:r>
          </w:p>
        </w:tc>
        <w:tc>
          <w:tcPr>
            <w:tcW w:w="0" w:type="dxa"/>
            <w:vAlign w:val="bottom"/>
          </w:tcPr>
          <w:p>
            <w:pPr>
              <w:spacing w:after="0"/>
              <w:rPr>
                <w:sz w:val="1"/>
                <w:szCs w:val="1"/>
                <w:color w:val="auto"/>
              </w:rPr>
            </w:pPr>
          </w:p>
        </w:tc>
      </w:tr>
      <w:tr>
        <w:trPr>
          <w:trHeight w:val="322"/>
        </w:trPr>
        <w:tc>
          <w:tcPr>
            <w:tcW w:w="4680" w:type="dxa"/>
            <w:vAlign w:val="bottom"/>
            <w:gridSpan w:val="2"/>
          </w:tcPr>
          <w:p>
            <w:pPr>
              <w:spacing w:after="0"/>
              <w:rPr>
                <w:sz w:val="20"/>
                <w:szCs w:val="20"/>
                <w:color w:val="auto"/>
              </w:rPr>
            </w:pPr>
            <w:r>
              <w:rPr>
                <w:rFonts w:ascii="Arial" w:cs="Arial" w:eastAsia="Arial" w:hAnsi="Arial"/>
                <w:sz w:val="18"/>
                <w:szCs w:val="18"/>
                <w:color w:val="auto"/>
              </w:rPr>
              <w:t>Provision for (benefit from) income taxes</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3"/>
          </w:tcPr>
          <w:p>
            <w:pPr>
              <w:jc w:val="right"/>
              <w:ind w:right="280"/>
              <w:spacing w:after="0"/>
              <w:rPr>
                <w:sz w:val="20"/>
                <w:szCs w:val="20"/>
                <w:color w:val="auto"/>
              </w:rPr>
            </w:pPr>
            <w:r>
              <w:rPr>
                <w:rFonts w:ascii="Arial" w:cs="Arial" w:eastAsia="Arial" w:hAnsi="Arial"/>
                <w:sz w:val="18"/>
                <w:szCs w:val="18"/>
                <w:color w:val="auto"/>
              </w:rPr>
              <w:t>(5,364)</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(2,140)</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(303)</w:t>
            </w:r>
          </w:p>
        </w:tc>
        <w:tc>
          <w:tcPr>
            <w:tcW w:w="140" w:type="dxa"/>
            <w:vAlign w:val="bottom"/>
          </w:tcPr>
          <w:p>
            <w:pPr>
              <w:spacing w:after="0"/>
              <w:rPr>
                <w:sz w:val="24"/>
                <w:szCs w:val="24"/>
                <w:color w:val="auto"/>
              </w:rPr>
            </w:pPr>
          </w:p>
        </w:tc>
        <w:tc>
          <w:tcPr>
            <w:tcW w:w="1500" w:type="dxa"/>
            <w:vAlign w:val="bottom"/>
            <w:gridSpan w:val="2"/>
          </w:tcPr>
          <w:p>
            <w:pPr>
              <w:jc w:val="right"/>
              <w:ind w:right="540"/>
              <w:spacing w:after="0"/>
              <w:rPr>
                <w:sz w:val="20"/>
                <w:szCs w:val="20"/>
                <w:color w:val="auto"/>
              </w:rPr>
            </w:pPr>
            <w:r>
              <w:rPr>
                <w:rFonts w:ascii="Arial" w:cs="Arial" w:eastAsia="Arial" w:hAnsi="Arial"/>
                <w:sz w:val="18"/>
                <w:szCs w:val="18"/>
                <w:color w:val="auto"/>
              </w:rPr>
              <w:t>492</w:t>
            </w:r>
          </w:p>
        </w:tc>
        <w:tc>
          <w:tcPr>
            <w:tcW w:w="14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(7,315)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Equity in net income (loss) of consolidated subsidiaries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(3,951)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3,951</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8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8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13,989</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(2,374)</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(1,570)</w:t>
            </w:r>
          </w:p>
        </w:tc>
        <w:tc>
          <w:tcPr>
            <w:tcW w:w="140" w:type="dxa"/>
            <w:vAlign w:val="bottom"/>
          </w:tcPr>
          <w:p>
            <w:pPr>
              <w:spacing w:after="0"/>
              <w:rPr>
                <w:sz w:val="19"/>
                <w:szCs w:val="19"/>
                <w:color w:val="auto"/>
              </w:rPr>
            </w:pPr>
          </w:p>
        </w:tc>
        <w:tc>
          <w:tcPr>
            <w:tcW w:w="1500" w:type="dxa"/>
            <w:vAlign w:val="bottom"/>
            <w:gridSpan w:val="2"/>
          </w:tcPr>
          <w:p>
            <w:pPr>
              <w:jc w:val="right"/>
              <w:ind w:right="540"/>
              <w:spacing w:after="0"/>
              <w:rPr>
                <w:sz w:val="20"/>
                <w:szCs w:val="20"/>
                <w:color w:val="auto"/>
              </w:rPr>
            </w:pPr>
            <w:r>
              <w:rPr>
                <w:rFonts w:ascii="Arial" w:cs="Arial" w:eastAsia="Arial" w:hAnsi="Arial"/>
                <w:sz w:val="18"/>
                <w:szCs w:val="18"/>
                <w:color w:val="auto"/>
              </w:rPr>
              <w:t>4,836</w:t>
            </w:r>
          </w:p>
        </w:tc>
        <w:tc>
          <w:tcPr>
            <w:tcW w:w="1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14,881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w w:val="95"/>
              </w:rPr>
              <w:t>Less: Net income (loss) attributable to noncontrolling interest,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of tax</w:t>
            </w: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4680" w:type="dxa"/>
            <w:vAlign w:val="bottom"/>
            <w:gridSpan w:val="2"/>
            <w:vMerge w:val="restart"/>
          </w:tcPr>
          <w:p>
            <w:pPr>
              <w:spacing w:after="0"/>
              <w:rPr>
                <w:sz w:val="20"/>
                <w:szCs w:val="20"/>
                <w:color w:val="auto"/>
              </w:rPr>
            </w:pPr>
            <w:r>
              <w:rPr>
                <w:rFonts w:ascii="Arial" w:cs="Arial" w:eastAsia="Arial" w:hAnsi="Arial"/>
                <w:sz w:val="18"/>
                <w:szCs w:val="18"/>
                <w:color w:val="auto"/>
              </w:rPr>
              <w:t>Net income (loss) attributable to ViaSat, Inc.</w:t>
            </w: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80" w:type="dxa"/>
            <w:vAlign w:val="bottom"/>
            <w:gridSpan w:val="2"/>
            <w:vMerge w:val="continue"/>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13,989</w:t>
            </w:r>
          </w:p>
        </w:tc>
        <w:tc>
          <w:tcPr>
            <w:tcW w:w="320" w:type="dxa"/>
            <w:vAlign w:val="bottom"/>
          </w:tcPr>
          <w:p>
            <w:pPr>
              <w:spacing w:after="0"/>
              <w:rPr>
                <w:sz w:val="19"/>
                <w:szCs w:val="19"/>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(2,374)</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(1,570)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540"/>
              <w:spacing w:after="0"/>
              <w:rPr>
                <w:sz w:val="20"/>
                <w:szCs w:val="20"/>
                <w:color w:val="auto"/>
              </w:rPr>
            </w:pPr>
            <w:r>
              <w:rPr>
                <w:rFonts w:ascii="Arial" w:cs="Arial" w:eastAsia="Arial" w:hAnsi="Arial"/>
                <w:sz w:val="18"/>
                <w:szCs w:val="18"/>
                <w:color w:val="auto"/>
              </w:rPr>
              <w:t>4,829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14,874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 of Operations for the Three Months Ended December 31, 2010</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5"/>
              </w:rPr>
              <w:t>Issuing</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Consolidation and</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7"/>
              </w:rPr>
              <w:t>Parent</w:t>
            </w:r>
          </w:p>
        </w:tc>
        <w:tc>
          <w:tcPr>
            <w:tcW w:w="940" w:type="dxa"/>
            <w:vAlign w:val="bottom"/>
            <w:gridSpan w:val="3"/>
          </w:tcPr>
          <w:p>
            <w:pPr>
              <w:jc w:val="right"/>
              <w:ind w:right="280"/>
              <w:spacing w:after="0" w:line="149" w:lineRule="exact"/>
              <w:rPr>
                <w:sz w:val="20"/>
                <w:szCs w:val="20"/>
                <w:color w:val="auto"/>
              </w:rPr>
            </w:pPr>
            <w:r>
              <w:rPr>
                <w:rFonts w:ascii="Arial" w:cs="Arial" w:eastAsia="Arial" w:hAnsi="Arial"/>
                <w:sz w:val="14"/>
                <w:szCs w:val="14"/>
                <w:b w:val="1"/>
                <w:bCs w:val="1"/>
                <w:color w:val="auto"/>
                <w:w w:val="94"/>
              </w:rPr>
              <w:t>Guarantor</w:t>
            </w:r>
          </w:p>
        </w:tc>
        <w:tc>
          <w:tcPr>
            <w:tcW w:w="300" w:type="dxa"/>
            <w:vAlign w:val="bottom"/>
          </w:tcPr>
          <w:p>
            <w:pPr>
              <w:spacing w:after="0"/>
              <w:rPr>
                <w:sz w:val="12"/>
                <w:szCs w:val="12"/>
                <w:color w:val="auto"/>
              </w:rPr>
            </w:pPr>
          </w:p>
        </w:tc>
        <w:tc>
          <w:tcPr>
            <w:tcW w:w="14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Non-Guarantor</w:t>
            </w:r>
          </w:p>
        </w:tc>
        <w:tc>
          <w:tcPr>
            <w:tcW w:w="140" w:type="dxa"/>
            <w:vAlign w:val="bottom"/>
          </w:tcPr>
          <w:p>
            <w:pPr>
              <w:spacing w:after="0"/>
              <w:rPr>
                <w:sz w:val="12"/>
                <w:szCs w:val="12"/>
                <w:color w:val="auto"/>
              </w:rPr>
            </w:pPr>
          </w:p>
        </w:tc>
        <w:tc>
          <w:tcPr>
            <w:tcW w:w="148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w w:val="98"/>
              </w:rPr>
              <w:t>Elimination</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20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0"/>
              </w:rPr>
              <w:t>Company</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1"/>
              </w:rPr>
              <w:t>Subsidiaries</w:t>
            </w:r>
          </w:p>
        </w:tc>
        <w:tc>
          <w:tcPr>
            <w:tcW w:w="140" w:type="dxa"/>
            <w:vAlign w:val="bottom"/>
          </w:tcPr>
          <w:p>
            <w:pPr>
              <w:spacing w:after="0"/>
              <w:rPr>
                <w:sz w:val="14"/>
                <w:szCs w:val="14"/>
                <w:color w:val="auto"/>
              </w:rPr>
            </w:pPr>
          </w:p>
        </w:tc>
        <w:tc>
          <w:tcPr>
            <w:tcW w:w="14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89"/>
              </w:rPr>
              <w:t>Adjustments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740" w:type="dxa"/>
            <w:vAlign w:val="bottom"/>
            <w:tcBorders>
              <w:top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w w:val="99"/>
              </w:rPr>
              <w:t>(Unaudited, in thousands)</w:t>
            </w:r>
          </w:p>
        </w:tc>
        <w:tc>
          <w:tcPr>
            <w:tcW w:w="1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Product revenues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119,849</w:t>
            </w:r>
          </w:p>
        </w:tc>
        <w:tc>
          <w:tcPr>
            <w:tcW w:w="5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1,944</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4,733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460"/>
              <w:spacing w:after="0"/>
              <w:rPr>
                <w:sz w:val="20"/>
                <w:szCs w:val="20"/>
                <w:color w:val="auto"/>
              </w:rPr>
            </w:pPr>
            <w:r>
              <w:rPr>
                <w:rFonts w:ascii="Arial" w:cs="Arial" w:eastAsia="Arial" w:hAnsi="Arial"/>
                <w:sz w:val="18"/>
                <w:szCs w:val="18"/>
                <w:color w:val="auto"/>
              </w:rPr>
              <w:t>(92)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126,434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Service revenues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13,757</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53,976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2,188</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(414)</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69,507</w:t>
            </w: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Arial" w:cs="Arial" w:eastAsia="Arial" w:hAnsi="Arial"/>
                <w:sz w:val="18"/>
                <w:szCs w:val="18"/>
                <w:color w:val="auto"/>
              </w:rPr>
              <w:t>Total revenues</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04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133,606</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55,920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6,921</w:t>
            </w:r>
          </w:p>
        </w:tc>
        <w:tc>
          <w:tcPr>
            <w:tcW w:w="140" w:type="dxa"/>
            <w:vAlign w:val="bottom"/>
          </w:tcPr>
          <w:p>
            <w:pPr>
              <w:spacing w:after="0"/>
              <w:rPr>
                <w:sz w:val="19"/>
                <w:szCs w:val="19"/>
                <w:color w:val="auto"/>
              </w:rPr>
            </w:pPr>
          </w:p>
        </w:tc>
        <w:tc>
          <w:tcPr>
            <w:tcW w:w="1480" w:type="dxa"/>
            <w:vAlign w:val="bottom"/>
            <w:gridSpan w:val="2"/>
          </w:tcPr>
          <w:p>
            <w:pPr>
              <w:jc w:val="right"/>
              <w:ind w:right="460"/>
              <w:spacing w:after="0"/>
              <w:rPr>
                <w:sz w:val="20"/>
                <w:szCs w:val="20"/>
                <w:color w:val="auto"/>
              </w:rPr>
            </w:pPr>
            <w:r>
              <w:rPr>
                <w:rFonts w:ascii="Arial" w:cs="Arial" w:eastAsia="Arial" w:hAnsi="Arial"/>
                <w:sz w:val="18"/>
                <w:szCs w:val="18"/>
                <w:color w:val="auto"/>
              </w:rPr>
              <w:t>(506)</w:t>
            </w:r>
          </w:p>
        </w:tc>
        <w:tc>
          <w:tcPr>
            <w:tcW w:w="1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195,941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Cost of product revenues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88,745</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3,347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3,015</w:t>
            </w:r>
          </w:p>
        </w:tc>
        <w:tc>
          <w:tcPr>
            <w:tcW w:w="140" w:type="dxa"/>
            <w:vAlign w:val="bottom"/>
          </w:tcPr>
          <w:p>
            <w:pPr>
              <w:spacing w:after="0"/>
              <w:rPr>
                <w:sz w:val="18"/>
                <w:szCs w:val="18"/>
                <w:color w:val="auto"/>
              </w:rPr>
            </w:pPr>
          </w:p>
        </w:tc>
        <w:tc>
          <w:tcPr>
            <w:tcW w:w="1480" w:type="dxa"/>
            <w:vAlign w:val="bottom"/>
            <w:gridSpan w:val="2"/>
          </w:tcPr>
          <w:p>
            <w:pPr>
              <w:jc w:val="right"/>
              <w:ind w:right="460"/>
              <w:spacing w:after="0"/>
              <w:rPr>
                <w:sz w:val="20"/>
                <w:szCs w:val="20"/>
                <w:color w:val="auto"/>
              </w:rPr>
            </w:pPr>
            <w:r>
              <w:rPr>
                <w:rFonts w:ascii="Arial" w:cs="Arial" w:eastAsia="Arial" w:hAnsi="Arial"/>
                <w:sz w:val="18"/>
                <w:szCs w:val="18"/>
                <w:color w:val="auto"/>
              </w:rPr>
              <w:t>(98)</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95,009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service revenues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8,604</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31,769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1,964</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(414)</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Selling, general and administrative</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26,081</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11,571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2,777</w:t>
            </w:r>
          </w:p>
        </w:tc>
        <w:tc>
          <w:tcPr>
            <w:tcW w:w="140" w:type="dxa"/>
            <w:vAlign w:val="bottom"/>
          </w:tcPr>
          <w:p>
            <w:pPr>
              <w:spacing w:after="0"/>
              <w:rPr>
                <w:sz w:val="18"/>
                <w:szCs w:val="18"/>
                <w:color w:val="auto"/>
              </w:rPr>
            </w:pPr>
          </w:p>
        </w:tc>
        <w:tc>
          <w:tcPr>
            <w:tcW w:w="1480" w:type="dxa"/>
            <w:vAlign w:val="bottom"/>
            <w:gridSpan w:val="2"/>
          </w:tcPr>
          <w:p>
            <w:pPr>
              <w:jc w:val="right"/>
              <w:ind w:right="46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40,413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Independent research and development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6,546</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119</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Amortization of acquired intangible assets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1,189</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3,238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496</w:t>
            </w:r>
          </w:p>
        </w:tc>
        <w:tc>
          <w:tcPr>
            <w:tcW w:w="140" w:type="dxa"/>
            <w:vAlign w:val="bottom"/>
          </w:tcPr>
          <w:p>
            <w:pPr>
              <w:spacing w:after="0"/>
              <w:rPr>
                <w:sz w:val="18"/>
                <w:szCs w:val="18"/>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4,923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2,441</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5,995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(1,450)</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7,012</w:t>
            </w:r>
          </w:p>
        </w:tc>
        <w:tc>
          <w:tcPr>
            <w:tcW w:w="0" w:type="dxa"/>
            <w:vAlign w:val="bottom"/>
          </w:tcPr>
          <w:p>
            <w:pPr>
              <w:spacing w:after="0"/>
              <w:rPr>
                <w:sz w:val="1"/>
                <w:szCs w:val="1"/>
                <w:color w:val="auto"/>
              </w:rPr>
            </w:pPr>
          </w:p>
        </w:tc>
      </w:tr>
      <w:tr>
        <w:trPr>
          <w:trHeight w:val="323"/>
        </w:trPr>
        <w:tc>
          <w:tcPr>
            <w:tcW w:w="504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(96)</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(58)</w:t>
            </w:r>
          </w:p>
        </w:tc>
        <w:tc>
          <w:tcPr>
            <w:tcW w:w="16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(98)</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2,523</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5,995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(1,546)</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6,998</w:t>
            </w:r>
          </w:p>
        </w:tc>
        <w:tc>
          <w:tcPr>
            <w:tcW w:w="0" w:type="dxa"/>
            <w:vAlign w:val="bottom"/>
          </w:tcPr>
          <w:p>
            <w:pPr>
              <w:spacing w:after="0"/>
              <w:rPr>
                <w:sz w:val="1"/>
                <w:szCs w:val="1"/>
                <w:color w:val="auto"/>
              </w:rPr>
            </w:pPr>
          </w:p>
        </w:tc>
      </w:tr>
      <w:tr>
        <w:trPr>
          <w:trHeight w:val="322"/>
        </w:trPr>
        <w:tc>
          <w:tcPr>
            <w:tcW w:w="5040" w:type="dxa"/>
            <w:vAlign w:val="bottom"/>
            <w:gridSpan w:val="2"/>
          </w:tcPr>
          <w:p>
            <w:pPr>
              <w:spacing w:after="0"/>
              <w:rPr>
                <w:sz w:val="20"/>
                <w:szCs w:val="20"/>
                <w:color w:val="auto"/>
              </w:rPr>
            </w:pPr>
            <w:r>
              <w:rPr>
                <w:rFonts w:ascii="Arial" w:cs="Arial" w:eastAsia="Arial" w:hAnsi="Arial"/>
                <w:sz w:val="18"/>
                <w:szCs w:val="18"/>
                <w:color w:val="auto"/>
              </w:rPr>
              <w:t>Provision for (benefit from) income taxes</w:t>
            </w:r>
          </w:p>
        </w:tc>
        <w:tc>
          <w:tcPr>
            <w:tcW w:w="80" w:type="dxa"/>
            <w:vAlign w:val="bottom"/>
          </w:tcPr>
          <w:p>
            <w:pPr>
              <w:spacing w:after="0"/>
              <w:rPr>
                <w:sz w:val="24"/>
                <w:szCs w:val="24"/>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(5,952)</w:t>
            </w:r>
          </w:p>
        </w:tc>
        <w:tc>
          <w:tcPr>
            <w:tcW w:w="160" w:type="dxa"/>
            <w:vAlign w:val="bottom"/>
          </w:tcPr>
          <w:p>
            <w:pPr>
              <w:spacing w:after="0"/>
              <w:rPr>
                <w:sz w:val="24"/>
                <w:szCs w:val="2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27</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4"/>
                <w:szCs w:val="24"/>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(5,929)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Equity in net income (loss) of consolidated subsidiaries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4,423</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(4,423)</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04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12,898</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5,968</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(1,542)</w:t>
            </w:r>
          </w:p>
        </w:tc>
        <w:tc>
          <w:tcPr>
            <w:tcW w:w="140" w:type="dxa"/>
            <w:vAlign w:val="bottom"/>
          </w:tcPr>
          <w:p>
            <w:pPr>
              <w:spacing w:after="0"/>
              <w:rPr>
                <w:sz w:val="19"/>
                <w:szCs w:val="19"/>
                <w:color w:val="auto"/>
              </w:rPr>
            </w:pPr>
          </w:p>
        </w:tc>
        <w:tc>
          <w:tcPr>
            <w:tcW w:w="1480" w:type="dxa"/>
            <w:vAlign w:val="bottom"/>
            <w:gridSpan w:val="2"/>
          </w:tcPr>
          <w:p>
            <w:pPr>
              <w:jc w:val="right"/>
              <w:ind w:right="460"/>
              <w:spacing w:after="0"/>
              <w:rPr>
                <w:sz w:val="20"/>
                <w:szCs w:val="20"/>
                <w:color w:val="auto"/>
              </w:rPr>
            </w:pPr>
            <w:r>
              <w:rPr>
                <w:rFonts w:ascii="Arial" w:cs="Arial" w:eastAsia="Arial" w:hAnsi="Arial"/>
                <w:sz w:val="18"/>
                <w:szCs w:val="18"/>
                <w:color w:val="auto"/>
              </w:rPr>
              <w:t>(4,397)</w:t>
            </w:r>
          </w:p>
        </w:tc>
        <w:tc>
          <w:tcPr>
            <w:tcW w:w="1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12,927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Less: Net income (loss) attributable to noncontrolling interest,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of tax</w:t>
            </w:r>
          </w:p>
        </w:tc>
        <w:tc>
          <w:tcPr>
            <w:tcW w:w="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040" w:type="dxa"/>
            <w:vAlign w:val="bottom"/>
            <w:gridSpan w:val="2"/>
          </w:tcPr>
          <w:p>
            <w:pPr>
              <w:spacing w:after="0"/>
              <w:rPr>
                <w:sz w:val="20"/>
                <w:szCs w:val="20"/>
                <w:color w:val="auto"/>
              </w:rPr>
            </w:pPr>
            <w:r>
              <w:rPr>
                <w:rFonts w:ascii="Arial" w:cs="Arial" w:eastAsia="Arial" w:hAnsi="Arial"/>
                <w:sz w:val="18"/>
                <w:szCs w:val="18"/>
                <w:color w:val="auto"/>
              </w:rPr>
              <w:t>Net income (loss) attributable to ViaSat, Inc.</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12,898</w:t>
            </w:r>
          </w:p>
        </w:tc>
        <w:tc>
          <w:tcPr>
            <w:tcW w:w="5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5,968</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(1,542)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460"/>
              <w:spacing w:after="0"/>
              <w:rPr>
                <w:sz w:val="20"/>
                <w:szCs w:val="20"/>
                <w:color w:val="auto"/>
              </w:rPr>
            </w:pPr>
            <w:r>
              <w:rPr>
                <w:rFonts w:ascii="Arial" w:cs="Arial" w:eastAsia="Arial" w:hAnsi="Arial"/>
                <w:sz w:val="18"/>
                <w:szCs w:val="18"/>
                <w:color w:val="auto"/>
              </w:rPr>
              <w:t>(4,400)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12,924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 of Operations for the Nine Months Ended December 31, 2010</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1"/>
              </w:rPr>
              <w:t>Issuing</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3"/>
          </w:tcPr>
          <w:p>
            <w:pPr>
              <w:ind w:left="20"/>
              <w:spacing w:after="0"/>
              <w:rPr>
                <w:sz w:val="20"/>
                <w:szCs w:val="20"/>
                <w:color w:val="auto"/>
              </w:rPr>
            </w:pPr>
            <w:r>
              <w:rPr>
                <w:rFonts w:ascii="Arial" w:cs="Arial" w:eastAsia="Arial" w:hAnsi="Arial"/>
                <w:sz w:val="14"/>
                <w:szCs w:val="14"/>
                <w:b w:val="1"/>
                <w:bCs w:val="1"/>
                <w:color w:val="auto"/>
              </w:rPr>
              <w:t>Consolidation and</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1"/>
              </w:rPr>
              <w:t>Parent</w:t>
            </w:r>
          </w:p>
        </w:tc>
        <w:tc>
          <w:tcPr>
            <w:tcW w:w="9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Guarantor</w:t>
            </w:r>
          </w:p>
        </w:tc>
        <w:tc>
          <w:tcPr>
            <w:tcW w:w="26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Non-Guarantor</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w w:val="98"/>
              </w:rPr>
              <w:t>Elimination</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7"/>
              </w:rPr>
              <w:t>Company</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4"/>
              </w:rPr>
              <w:t>Subsidiaries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9"/>
              </w:rPr>
              <w:t>Adjustments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760" w:type="dxa"/>
            <w:vAlign w:val="bottom"/>
            <w:tcBorders>
              <w:top w:val="single" w:sz="8" w:color="auto"/>
            </w:tcBorders>
            <w:gridSpan w:val="6"/>
          </w:tcPr>
          <w:p>
            <w:pPr>
              <w:ind w:left="200"/>
              <w:spacing w:after="0" w:line="142" w:lineRule="exact"/>
              <w:rPr>
                <w:sz w:val="20"/>
                <w:szCs w:val="20"/>
                <w:color w:val="auto"/>
              </w:rPr>
            </w:pPr>
            <w:r>
              <w:rPr>
                <w:rFonts w:ascii="Arial" w:cs="Arial" w:eastAsia="Arial" w:hAnsi="Arial"/>
                <w:sz w:val="14"/>
                <w:szCs w:val="14"/>
                <w:b w:val="1"/>
                <w:bCs w:val="1"/>
                <w:color w:val="auto"/>
                <w:w w:val="89"/>
              </w:rPr>
              <w:t>(Unaudited, in thousands)</w:t>
            </w:r>
          </w:p>
        </w:tc>
        <w:tc>
          <w:tcPr>
            <w:tcW w:w="9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420"/>
              <w:spacing w:after="0"/>
              <w:rPr>
                <w:sz w:val="20"/>
                <w:szCs w:val="20"/>
                <w:color w:val="auto"/>
              </w:rPr>
            </w:pPr>
            <w:r>
              <w:rPr>
                <w:rFonts w:ascii="Arial" w:cs="Arial" w:eastAsia="Arial" w:hAnsi="Arial"/>
                <w:sz w:val="18"/>
                <w:szCs w:val="18"/>
                <w:color w:val="auto"/>
              </w:rPr>
              <w:t>Product revenues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w w:val="86"/>
              </w:rPr>
              <w:t>367,629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4,124</w:t>
            </w: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10,118</w:t>
            </w:r>
          </w:p>
        </w:tc>
        <w:tc>
          <w:tcPr>
            <w:tcW w:w="260" w:type="dxa"/>
            <w:vAlign w:val="bottom"/>
          </w:tcPr>
          <w:p>
            <w:pPr>
              <w:spacing w:after="0"/>
              <w:rPr>
                <w:sz w:val="18"/>
                <w:szCs w:val="18"/>
                <w:color w:val="auto"/>
              </w:rPr>
            </w:pP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rPr>
              <w:t>(2,849)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379,022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Service revenues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39,227</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160,984</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(1,264)</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206,812</w:t>
            </w: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spacing w:after="0"/>
              <w:rPr>
                <w:sz w:val="20"/>
                <w:szCs w:val="20"/>
                <w:color w:val="auto"/>
              </w:rPr>
            </w:pPr>
            <w:r>
              <w:rPr>
                <w:rFonts w:ascii="Arial" w:cs="Arial" w:eastAsia="Arial" w:hAnsi="Arial"/>
                <w:sz w:val="18"/>
                <w:szCs w:val="18"/>
                <w:color w:val="auto"/>
              </w:rPr>
              <w:t>Total revenues</w:t>
            </w: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06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406,856</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165,108</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17,983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rPr>
              <w:t>(4,113)</w:t>
            </w:r>
          </w:p>
        </w:tc>
        <w:tc>
          <w:tcPr>
            <w:tcW w:w="1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585,834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420"/>
              <w:spacing w:after="0"/>
              <w:rPr>
                <w:sz w:val="20"/>
                <w:szCs w:val="20"/>
                <w:color w:val="auto"/>
              </w:rPr>
            </w:pPr>
            <w:r>
              <w:rPr>
                <w:rFonts w:ascii="Arial" w:cs="Arial" w:eastAsia="Arial" w:hAnsi="Arial"/>
                <w:sz w:val="18"/>
                <w:szCs w:val="18"/>
                <w:color w:val="auto"/>
              </w:rPr>
              <w:t>Cost of product revenues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w w:val="86"/>
              </w:rPr>
              <w:t>269,181</w:t>
            </w: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5,337</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6,367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rPr>
              <w:t>(2,711)</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278,174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service revenues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26,431</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91,476</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(1,224)</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122,682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42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77,078</w:t>
            </w: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38,109</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6,135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121,286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Independent research and development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21,191</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Pr>
          <w:p>
            <w:pPr>
              <w:ind w:left="420"/>
              <w:spacing w:after="0"/>
              <w:rPr>
                <w:sz w:val="20"/>
                <w:szCs w:val="20"/>
                <w:color w:val="auto"/>
              </w:rPr>
            </w:pPr>
            <w:r>
              <w:rPr>
                <w:rFonts w:ascii="Arial" w:cs="Arial" w:eastAsia="Arial" w:hAnsi="Arial"/>
                <w:sz w:val="18"/>
                <w:szCs w:val="18"/>
                <w:color w:val="auto"/>
              </w:rPr>
              <w:t>Amortization of acquired intangible assets</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3,682</w:t>
            </w:r>
          </w:p>
        </w:tc>
        <w:tc>
          <w:tcPr>
            <w:tcW w:w="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9,715</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9,293</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20,471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(2,160)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(136)</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27,468</w:t>
            </w:r>
          </w:p>
        </w:tc>
        <w:tc>
          <w:tcPr>
            <w:tcW w:w="0" w:type="dxa"/>
            <w:vAlign w:val="bottom"/>
          </w:tcPr>
          <w:p>
            <w:pPr>
              <w:spacing w:after="0"/>
              <w:rPr>
                <w:sz w:val="1"/>
                <w:szCs w:val="1"/>
                <w:color w:val="auto"/>
              </w:rPr>
            </w:pPr>
          </w:p>
        </w:tc>
      </w:tr>
      <w:tr>
        <w:trPr>
          <w:trHeight w:val="323"/>
        </w:trPr>
        <w:tc>
          <w:tcPr>
            <w:tcW w:w="506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520</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(279)</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(3,149)</w:t>
            </w:r>
          </w:p>
        </w:tc>
        <w:tc>
          <w:tcPr>
            <w:tcW w:w="120" w:type="dxa"/>
            <w:vAlign w:val="bottom"/>
          </w:tcPr>
          <w:p>
            <w:pPr>
              <w:spacing w:after="0"/>
              <w:rPr>
                <w:sz w:val="18"/>
                <w:szCs w:val="18"/>
                <w:color w:val="auto"/>
              </w:rPr>
            </w:pP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(281)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279</w:t>
            </w: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(3,151)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6,664</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20,471</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(2,434)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(136)</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24,565</w:t>
            </w:r>
          </w:p>
        </w:tc>
        <w:tc>
          <w:tcPr>
            <w:tcW w:w="0" w:type="dxa"/>
            <w:vAlign w:val="bottom"/>
          </w:tcPr>
          <w:p>
            <w:pPr>
              <w:spacing w:after="0"/>
              <w:rPr>
                <w:sz w:val="1"/>
                <w:szCs w:val="1"/>
                <w:color w:val="auto"/>
              </w:rPr>
            </w:pPr>
          </w:p>
        </w:tc>
      </w:tr>
      <w:tr>
        <w:trPr>
          <w:trHeight w:val="322"/>
        </w:trPr>
        <w:tc>
          <w:tcPr>
            <w:tcW w:w="5060" w:type="dxa"/>
            <w:vAlign w:val="bottom"/>
            <w:gridSpan w:val="2"/>
          </w:tcPr>
          <w:p>
            <w:pPr>
              <w:spacing w:after="0"/>
              <w:rPr>
                <w:sz w:val="20"/>
                <w:szCs w:val="20"/>
                <w:color w:val="auto"/>
              </w:rPr>
            </w:pPr>
            <w:r>
              <w:rPr>
                <w:rFonts w:ascii="Arial" w:cs="Arial" w:eastAsia="Arial" w:hAnsi="Arial"/>
                <w:sz w:val="18"/>
                <w:szCs w:val="18"/>
                <w:color w:val="auto"/>
              </w:rPr>
              <w:t>Provision for (benefit from) income taxes</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(5,578)</w:t>
            </w:r>
          </w:p>
        </w:tc>
        <w:tc>
          <w:tcPr>
            <w:tcW w:w="120" w:type="dxa"/>
            <w:vAlign w:val="bottom"/>
          </w:tcPr>
          <w:p>
            <w:pPr>
              <w:spacing w:after="0"/>
              <w:rPr>
                <w:sz w:val="24"/>
                <w:szCs w:val="2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5,779</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236</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Equity in net income (loss) of consolidated subsidiaries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11,865</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(11,865)</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06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24,107</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14,692</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(2,670)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rPr>
              <w:t>(12,001)</w:t>
            </w:r>
          </w:p>
        </w:tc>
        <w:tc>
          <w:tcPr>
            <w:tcW w:w="1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24,128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w w:val="93"/>
              </w:rPr>
              <w:t>Less: Net income (loss) attributable to noncontrolling interest, net of</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157</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spacing w:after="0"/>
              <w:rPr>
                <w:sz w:val="20"/>
                <w:szCs w:val="20"/>
                <w:color w:val="auto"/>
              </w:rPr>
            </w:pPr>
            <w:r>
              <w:rPr>
                <w:rFonts w:ascii="Arial" w:cs="Arial" w:eastAsia="Arial" w:hAnsi="Arial"/>
                <w:sz w:val="18"/>
                <w:szCs w:val="18"/>
                <w:color w:val="auto"/>
              </w:rPr>
              <w:t>Net income (loss) attributable to ViaSat, Inc.</w:t>
            </w: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6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24,107</w:t>
            </w:r>
          </w:p>
        </w:tc>
        <w:tc>
          <w:tcPr>
            <w:tcW w:w="46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14,692</w:t>
            </w:r>
          </w:p>
        </w:tc>
        <w:tc>
          <w:tcPr>
            <w:tcW w:w="200" w:type="dxa"/>
            <w:vAlign w:val="bottom"/>
          </w:tcPr>
          <w:p>
            <w:pPr>
              <w:spacing w:after="0"/>
              <w:rPr>
                <w:sz w:val="19"/>
                <w:szCs w:val="19"/>
                <w:color w:val="auto"/>
              </w:rPr>
            </w:pP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(2,670)</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rPr>
              <w:t>(12,158)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23,971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ind w:right="94"/>
              <w:spacing w:after="0"/>
              <w:rPr>
                <w:sz w:val="20"/>
                <w:szCs w:val="20"/>
                <w:color w:val="auto"/>
              </w:rPr>
            </w:pPr>
            <w:r>
              <w:rPr>
                <w:rFonts w:ascii="Arial" w:cs="Arial" w:eastAsia="Arial" w:hAnsi="Arial"/>
                <w:sz w:val="18"/>
                <w:szCs w:val="18"/>
                <w:color w:val="auto"/>
              </w:rPr>
              <w:t>31</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 of Cash Flows for the Nine Months Ended December 30, 2011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Issuing</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Consolidation and</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Parent</w:t>
            </w:r>
          </w:p>
        </w:tc>
        <w:tc>
          <w:tcPr>
            <w:tcW w:w="220" w:type="dxa"/>
            <w:vAlign w:val="bottom"/>
          </w:tcPr>
          <w:p>
            <w:pPr>
              <w:spacing w:after="0"/>
              <w:rPr>
                <w:sz w:val="12"/>
                <w:szCs w:val="12"/>
                <w:color w:val="auto"/>
              </w:rPr>
            </w:pPr>
          </w:p>
        </w:tc>
        <w:tc>
          <w:tcPr>
            <w:tcW w:w="960" w:type="dxa"/>
            <w:vAlign w:val="bottom"/>
            <w:gridSpan w:val="3"/>
          </w:tcPr>
          <w:p>
            <w:pPr>
              <w:jc w:val="right"/>
              <w:ind w:right="280"/>
              <w:spacing w:after="0" w:line="149" w:lineRule="exact"/>
              <w:rPr>
                <w:sz w:val="20"/>
                <w:szCs w:val="20"/>
                <w:color w:val="auto"/>
              </w:rPr>
            </w:pPr>
            <w:r>
              <w:rPr>
                <w:rFonts w:ascii="Arial" w:cs="Arial" w:eastAsia="Arial" w:hAnsi="Arial"/>
                <w:sz w:val="14"/>
                <w:szCs w:val="14"/>
                <w:b w:val="1"/>
                <w:bCs w:val="1"/>
                <w:color w:val="auto"/>
                <w:w w:val="97"/>
              </w:rPr>
              <w:t>Guarantor</w:t>
            </w:r>
          </w:p>
        </w:tc>
        <w:tc>
          <w:tcPr>
            <w:tcW w:w="280" w:type="dxa"/>
            <w:vAlign w:val="bottom"/>
          </w:tcPr>
          <w:p>
            <w:pPr>
              <w:spacing w:after="0"/>
              <w:rPr>
                <w:sz w:val="12"/>
                <w:szCs w:val="12"/>
                <w:color w:val="auto"/>
              </w:rPr>
            </w:pPr>
          </w:p>
        </w:tc>
        <w:tc>
          <w:tcPr>
            <w:tcW w:w="14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Non-Guarantor</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w w:val="98"/>
              </w:rPr>
              <w:t>Elimination</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0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7"/>
              </w:rPr>
              <w:t>Company</w:t>
            </w:r>
          </w:p>
        </w:tc>
        <w:tc>
          <w:tcPr>
            <w:tcW w:w="22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84"/>
              </w:rPr>
              <w:t>Subsidiaries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89"/>
              </w:rPr>
              <w:t>Adjustments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r>
      <w:tr>
        <w:trPr>
          <w:trHeight w:val="142"/>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w w:val="96"/>
              </w:rPr>
              <w:t>(Unaudited, in thousands)</w:t>
            </w: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040" w:type="dxa"/>
            <w:vAlign w:val="bottom"/>
          </w:tcPr>
          <w:p>
            <w:pPr>
              <w:ind w:left="860"/>
              <w:spacing w:after="0"/>
              <w:rPr>
                <w:sz w:val="20"/>
                <w:szCs w:val="20"/>
                <w:color w:val="auto"/>
              </w:rPr>
            </w:pPr>
            <w:r>
              <w:rPr>
                <w:rFonts w:ascii="Arial" w:cs="Arial" w:eastAsia="Arial" w:hAnsi="Arial"/>
                <w:sz w:val="18"/>
                <w:szCs w:val="18"/>
                <w:color w:val="auto"/>
              </w:rPr>
              <w:t>Net cash provided by (used in) operating activities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10,692</w:t>
            </w:r>
          </w:p>
        </w:tc>
        <w:tc>
          <w:tcPr>
            <w:tcW w:w="300" w:type="dxa"/>
            <w:vAlign w:val="bottom"/>
          </w:tcPr>
          <w:p>
            <w:pPr>
              <w:spacing w:after="0"/>
              <w:rPr>
                <w:sz w:val="19"/>
                <w:szCs w:val="19"/>
                <w:color w:val="auto"/>
              </w:rPr>
            </w:pP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51,853</w:t>
            </w:r>
          </w:p>
        </w:tc>
        <w:tc>
          <w:tcPr>
            <w:tcW w:w="240" w:type="dxa"/>
            <w:vAlign w:val="bottom"/>
          </w:tcPr>
          <w:p>
            <w:pPr>
              <w:spacing w:after="0"/>
              <w:rPr>
                <w:sz w:val="19"/>
                <w:szCs w:val="19"/>
                <w:color w:val="auto"/>
              </w:rPr>
            </w:pPr>
          </w:p>
        </w:tc>
        <w:tc>
          <w:tcPr>
            <w:tcW w:w="360" w:type="dxa"/>
            <w:vAlign w:val="bottom"/>
            <w:gridSpan w:val="2"/>
          </w:tcPr>
          <w:p>
            <w:pPr>
              <w:ind w:left="28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4,365</w:t>
            </w:r>
          </w:p>
        </w:tc>
        <w:tc>
          <w:tcPr>
            <w:tcW w:w="500" w:type="dxa"/>
            <w:vAlign w:val="bottom"/>
          </w:tcPr>
          <w:p>
            <w:pPr>
              <w:spacing w:after="0"/>
              <w:rPr>
                <w:sz w:val="19"/>
                <w:szCs w:val="19"/>
                <w:color w:val="auto"/>
              </w:rPr>
            </w:pPr>
          </w:p>
        </w:tc>
        <w:tc>
          <w:tcPr>
            <w:tcW w:w="14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(1,945)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64,965</w:t>
            </w: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420"/>
              <w:spacing w:after="0"/>
              <w:rPr>
                <w:sz w:val="20"/>
                <w:szCs w:val="20"/>
                <w:color w:val="auto"/>
              </w:rPr>
            </w:pPr>
            <w:r>
              <w:rPr>
                <w:rFonts w:ascii="Arial" w:cs="Arial" w:eastAsia="Arial" w:hAnsi="Arial"/>
                <w:sz w:val="18"/>
                <w:szCs w:val="18"/>
                <w:color w:val="auto"/>
              </w:rPr>
              <w:t>Purchase of property, equipment and satellites, net</w:t>
            </w:r>
          </w:p>
        </w:tc>
        <w:tc>
          <w:tcPr>
            <w:tcW w:w="1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85"/>
              </w:rPr>
              <w:t>(130,843)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(28,069)</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(2,200)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rPr>
              <w:t>1,945</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(159,167)</w:t>
            </w: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paid for patents, licenses and other assets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(17,068)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(17,104)</w:t>
            </w:r>
          </w:p>
        </w:tc>
      </w:tr>
      <w:tr>
        <w:trPr>
          <w:trHeight w:val="216"/>
        </w:trPr>
        <w:tc>
          <w:tcPr>
            <w:tcW w:w="20" w:type="dxa"/>
            <w:vAlign w:val="bottom"/>
          </w:tcPr>
          <w:p>
            <w:pPr>
              <w:spacing w:after="0"/>
              <w:rPr>
                <w:sz w:val="18"/>
                <w:szCs w:val="18"/>
                <w:color w:val="auto"/>
              </w:rPr>
            </w:pPr>
          </w:p>
        </w:tc>
        <w:tc>
          <w:tcPr>
            <w:tcW w:w="5040" w:type="dxa"/>
            <w:vAlign w:val="bottom"/>
          </w:tcPr>
          <w:p>
            <w:pPr>
              <w:ind w:left="420"/>
              <w:spacing w:after="0"/>
              <w:rPr>
                <w:sz w:val="20"/>
                <w:szCs w:val="20"/>
                <w:color w:val="auto"/>
              </w:rPr>
            </w:pPr>
            <w:r>
              <w:rPr>
                <w:rFonts w:ascii="Arial" w:cs="Arial" w:eastAsia="Arial" w:hAnsi="Arial"/>
                <w:sz w:val="18"/>
                <w:szCs w:val="18"/>
                <w:color w:val="auto"/>
              </w:rPr>
              <w:t>Long-term intercompany notes and investments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3,265</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(3,265)</w:t>
            </w: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5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provided by (used in) investing activities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5"/>
              </w:rPr>
              <w:t>(144,646)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(28,069)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(2,236)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(1,320)</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(176,271)</w:t>
            </w: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line of credit borrowings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130,000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130,000</w:t>
            </w:r>
          </w:p>
        </w:tc>
      </w:tr>
      <w:tr>
        <w:trPr>
          <w:trHeight w:val="216"/>
        </w:trPr>
        <w:tc>
          <w:tcPr>
            <w:tcW w:w="20" w:type="dxa"/>
            <w:vAlign w:val="bottom"/>
          </w:tcPr>
          <w:p>
            <w:pPr>
              <w:spacing w:after="0"/>
              <w:rPr>
                <w:sz w:val="18"/>
                <w:szCs w:val="18"/>
                <w:color w:val="auto"/>
              </w:rPr>
            </w:pPr>
          </w:p>
        </w:tc>
        <w:tc>
          <w:tcPr>
            <w:tcW w:w="5040" w:type="dxa"/>
            <w:vAlign w:val="bottom"/>
          </w:tcPr>
          <w:p>
            <w:pPr>
              <w:ind w:left="420"/>
              <w:spacing w:after="0"/>
              <w:rPr>
                <w:sz w:val="20"/>
                <w:szCs w:val="20"/>
                <w:color w:val="auto"/>
              </w:rPr>
            </w:pPr>
            <w:r>
              <w:rPr>
                <w:rFonts w:ascii="Arial" w:cs="Arial" w:eastAsia="Arial" w:hAnsi="Arial"/>
                <w:sz w:val="18"/>
                <w:szCs w:val="18"/>
                <w:color w:val="auto"/>
              </w:rPr>
              <w:t>Payments on line of credit</w:t>
            </w:r>
          </w:p>
        </w:tc>
        <w:tc>
          <w:tcPr>
            <w:tcW w:w="1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(20,000)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(20,000)</w:t>
            </w:r>
          </w:p>
        </w:tc>
      </w:tr>
      <w:tr>
        <w:trPr>
          <w:trHeight w:val="208"/>
        </w:trPr>
        <w:tc>
          <w:tcPr>
            <w:tcW w:w="20" w:type="dxa"/>
            <w:vAlign w:val="bottom"/>
          </w:tcPr>
          <w:p>
            <w:pPr>
              <w:spacing w:after="0"/>
              <w:rPr>
                <w:sz w:val="18"/>
                <w:szCs w:val="18"/>
                <w:color w:val="auto"/>
              </w:rPr>
            </w:pPr>
          </w:p>
        </w:tc>
        <w:tc>
          <w:tcPr>
            <w:tcW w:w="5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common stock under equity</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50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plans</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14,369</w:t>
            </w: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14,369</w:t>
            </w:r>
          </w:p>
        </w:tc>
      </w:tr>
      <w:tr>
        <w:trPr>
          <w:trHeight w:val="216"/>
        </w:trPr>
        <w:tc>
          <w:tcPr>
            <w:tcW w:w="20" w:type="dxa"/>
            <w:vAlign w:val="bottom"/>
          </w:tcPr>
          <w:p>
            <w:pPr>
              <w:spacing w:after="0"/>
              <w:rPr>
                <w:sz w:val="18"/>
                <w:szCs w:val="18"/>
                <w:color w:val="auto"/>
              </w:rPr>
            </w:pPr>
          </w:p>
        </w:tc>
        <w:tc>
          <w:tcPr>
            <w:tcW w:w="5040" w:type="dxa"/>
            <w:vAlign w:val="bottom"/>
          </w:tcPr>
          <w:p>
            <w:pPr>
              <w:ind w:left="420"/>
              <w:spacing w:after="0"/>
              <w:rPr>
                <w:sz w:val="20"/>
                <w:szCs w:val="20"/>
                <w:color w:val="auto"/>
              </w:rPr>
            </w:pPr>
            <w:r>
              <w:rPr>
                <w:rFonts w:ascii="Arial" w:cs="Arial" w:eastAsia="Arial" w:hAnsi="Arial"/>
                <w:sz w:val="18"/>
                <w:szCs w:val="18"/>
                <w:color w:val="auto"/>
              </w:rPr>
              <w:t>Purchase of common stock in treasury</w:t>
            </w:r>
          </w:p>
        </w:tc>
        <w:tc>
          <w:tcPr>
            <w:tcW w:w="1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(6,991)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(6,991)</w:t>
            </w: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on capital lease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(762)</w:t>
            </w:r>
          </w:p>
        </w:tc>
      </w:tr>
      <w:tr>
        <w:trPr>
          <w:trHeight w:val="216"/>
        </w:trPr>
        <w:tc>
          <w:tcPr>
            <w:tcW w:w="20" w:type="dxa"/>
            <w:vAlign w:val="bottom"/>
          </w:tcPr>
          <w:p>
            <w:pPr>
              <w:spacing w:after="0"/>
              <w:rPr>
                <w:sz w:val="18"/>
                <w:szCs w:val="18"/>
                <w:color w:val="auto"/>
              </w:rPr>
            </w:pPr>
          </w:p>
        </w:tc>
        <w:tc>
          <w:tcPr>
            <w:tcW w:w="5040" w:type="dxa"/>
            <w:vAlign w:val="bottom"/>
          </w:tcPr>
          <w:p>
            <w:pPr>
              <w:ind w:left="420"/>
              <w:spacing w:after="0"/>
              <w:rPr>
                <w:sz w:val="20"/>
                <w:szCs w:val="20"/>
                <w:color w:val="auto"/>
              </w:rPr>
            </w:pPr>
            <w:r>
              <w:rPr>
                <w:rFonts w:ascii="Arial" w:cs="Arial" w:eastAsia="Arial" w:hAnsi="Arial"/>
                <w:sz w:val="18"/>
                <w:szCs w:val="18"/>
                <w:color w:val="auto"/>
              </w:rPr>
              <w:t>Long-term intercompany financing</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30,531</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(30,531)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(3,265)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rPr>
              <w:t>3,265</w:t>
            </w: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5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147,825</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(31,209)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(3,265)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3,265</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116,616</w:t>
            </w:r>
          </w:p>
        </w:tc>
      </w:tr>
      <w:tr>
        <w:trPr>
          <w:trHeight w:val="223"/>
        </w:trPr>
        <w:tc>
          <w:tcPr>
            <w:tcW w:w="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13,871</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(7,425)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(1,094)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5,352</w:t>
            </w:r>
          </w:p>
        </w:tc>
      </w:tr>
      <w:tr>
        <w:trPr>
          <w:trHeight w:val="223"/>
        </w:trPr>
        <w:tc>
          <w:tcPr>
            <w:tcW w:w="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24,347</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7,600</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8,543</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40,490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38,218</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7,449</w:t>
            </w:r>
          </w:p>
        </w:tc>
        <w:tc>
          <w:tcPr>
            <w:tcW w:w="5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45,842</w:t>
            </w: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 of Cash Flows for the Nine Months Ended December 31, 2010</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1"/>
              </w:rPr>
              <w:t>Issuing</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Consolidation and</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Parent</w:t>
            </w:r>
          </w:p>
        </w:tc>
        <w:tc>
          <w:tcPr>
            <w:tcW w:w="240" w:type="dxa"/>
            <w:vAlign w:val="bottom"/>
          </w:tcPr>
          <w:p>
            <w:pPr>
              <w:spacing w:after="0"/>
              <w:rPr>
                <w:sz w:val="12"/>
                <w:szCs w:val="12"/>
                <w:color w:val="auto"/>
              </w:rPr>
            </w:pPr>
          </w:p>
        </w:tc>
        <w:tc>
          <w:tcPr>
            <w:tcW w:w="960" w:type="dxa"/>
            <w:vAlign w:val="bottom"/>
            <w:gridSpan w:val="3"/>
          </w:tcPr>
          <w:p>
            <w:pPr>
              <w:jc w:val="right"/>
              <w:ind w:right="300"/>
              <w:spacing w:after="0" w:line="149" w:lineRule="exact"/>
              <w:rPr>
                <w:sz w:val="20"/>
                <w:szCs w:val="20"/>
                <w:color w:val="auto"/>
              </w:rPr>
            </w:pPr>
            <w:r>
              <w:rPr>
                <w:rFonts w:ascii="Arial" w:cs="Arial" w:eastAsia="Arial" w:hAnsi="Arial"/>
                <w:sz w:val="14"/>
                <w:szCs w:val="14"/>
                <w:b w:val="1"/>
                <w:bCs w:val="1"/>
                <w:color w:val="auto"/>
                <w:w w:val="94"/>
              </w:rPr>
              <w:t>Guarantor</w:t>
            </w:r>
          </w:p>
        </w:tc>
        <w:tc>
          <w:tcPr>
            <w:tcW w:w="260" w:type="dxa"/>
            <w:vAlign w:val="bottom"/>
          </w:tcPr>
          <w:p>
            <w:pPr>
              <w:spacing w:after="0"/>
              <w:rPr>
                <w:sz w:val="12"/>
                <w:szCs w:val="12"/>
                <w:color w:val="auto"/>
              </w:rPr>
            </w:pPr>
          </w:p>
        </w:tc>
        <w:tc>
          <w:tcPr>
            <w:tcW w:w="14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Non-Guarantor</w:t>
            </w:r>
          </w:p>
        </w:tc>
        <w:tc>
          <w:tcPr>
            <w:tcW w:w="120" w:type="dxa"/>
            <w:vAlign w:val="bottom"/>
          </w:tcPr>
          <w:p>
            <w:pPr>
              <w:spacing w:after="0"/>
              <w:rPr>
                <w:sz w:val="12"/>
                <w:szCs w:val="12"/>
                <w:color w:val="auto"/>
              </w:rPr>
            </w:pPr>
          </w:p>
        </w:tc>
        <w:tc>
          <w:tcPr>
            <w:tcW w:w="14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Elimination</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0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7"/>
              </w:rPr>
              <w:t>Company</w:t>
            </w:r>
          </w:p>
        </w:tc>
        <w:tc>
          <w:tcPr>
            <w:tcW w:w="24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84"/>
              </w:rPr>
              <w:t>Subsidiaries</w:t>
            </w:r>
          </w:p>
        </w:tc>
        <w:tc>
          <w:tcPr>
            <w:tcW w:w="120" w:type="dxa"/>
            <w:vAlign w:val="bottom"/>
          </w:tcPr>
          <w:p>
            <w:pPr>
              <w:spacing w:after="0"/>
              <w:rPr>
                <w:sz w:val="14"/>
                <w:szCs w:val="14"/>
                <w:color w:val="auto"/>
              </w:rPr>
            </w:pPr>
          </w:p>
        </w:tc>
        <w:tc>
          <w:tcPr>
            <w:tcW w:w="1480" w:type="dxa"/>
            <w:vAlign w:val="bottom"/>
            <w:gridSpan w:val="2"/>
          </w:tcPr>
          <w:p>
            <w:pPr>
              <w:ind w:left="60"/>
              <w:spacing w:after="0"/>
              <w:rPr>
                <w:sz w:val="20"/>
                <w:szCs w:val="20"/>
                <w:color w:val="auto"/>
              </w:rPr>
            </w:pPr>
            <w:r>
              <w:rPr>
                <w:rFonts w:ascii="Arial" w:cs="Arial" w:eastAsia="Arial" w:hAnsi="Arial"/>
                <w:sz w:val="14"/>
                <w:szCs w:val="14"/>
                <w:b w:val="1"/>
                <w:bCs w:val="1"/>
                <w:color w:val="auto"/>
              </w:rPr>
              <w:t>Adjustments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gridSpan w:val="4"/>
          </w:tcPr>
          <w:p>
            <w:pPr>
              <w:jc w:val="right"/>
              <w:ind w:right="20"/>
              <w:spacing w:after="0" w:line="142" w:lineRule="exact"/>
              <w:rPr>
                <w:sz w:val="20"/>
                <w:szCs w:val="20"/>
                <w:color w:val="auto"/>
              </w:rPr>
            </w:pPr>
            <w:r>
              <w:rPr>
                <w:rFonts w:ascii="Arial" w:cs="Arial" w:eastAsia="Arial" w:hAnsi="Arial"/>
                <w:sz w:val="14"/>
                <w:szCs w:val="14"/>
                <w:b w:val="1"/>
                <w:bCs w:val="1"/>
                <w:color w:val="auto"/>
                <w:w w:val="96"/>
              </w:rPr>
              <w:t>(Unaudited, in thousands)</w:t>
            </w:r>
          </w:p>
        </w:tc>
        <w:tc>
          <w:tcPr>
            <w:tcW w:w="1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ind w:left="860"/>
              <w:spacing w:after="0"/>
              <w:rPr>
                <w:sz w:val="20"/>
                <w:szCs w:val="20"/>
                <w:color w:val="auto"/>
              </w:rPr>
            </w:pPr>
            <w:r>
              <w:rPr>
                <w:rFonts w:ascii="Arial" w:cs="Arial" w:eastAsia="Arial" w:hAnsi="Arial"/>
                <w:sz w:val="18"/>
                <w:szCs w:val="18"/>
                <w:color w:val="auto"/>
              </w:rPr>
              <w:t>Net cash provided by (used in) operating activities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42,141</w:t>
            </w:r>
          </w:p>
        </w:tc>
        <w:tc>
          <w:tcPr>
            <w:tcW w:w="280" w:type="dxa"/>
            <w:vAlign w:val="bottom"/>
          </w:tcPr>
          <w:p>
            <w:pPr>
              <w:spacing w:after="0"/>
              <w:rPr>
                <w:sz w:val="19"/>
                <w:szCs w:val="19"/>
                <w:color w:val="auto"/>
              </w:rPr>
            </w:pP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81,364</w:t>
            </w:r>
          </w:p>
        </w:tc>
        <w:tc>
          <w:tcPr>
            <w:tcW w:w="240" w:type="dxa"/>
            <w:vAlign w:val="bottom"/>
          </w:tcPr>
          <w:p>
            <w:pPr>
              <w:spacing w:after="0"/>
              <w:rPr>
                <w:sz w:val="19"/>
                <w:szCs w:val="19"/>
                <w:color w:val="auto"/>
              </w:rPr>
            </w:pP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460"/>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123,312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Purchase of property, equipment and satellites, net</w:t>
            </w: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(112,270)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(38,001)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(1,712)</w:t>
            </w:r>
          </w:p>
        </w:tc>
        <w:tc>
          <w:tcPr>
            <w:tcW w:w="120" w:type="dxa"/>
            <w:vAlign w:val="bottom"/>
          </w:tcPr>
          <w:p>
            <w:pPr>
              <w:spacing w:after="0"/>
              <w:rPr>
                <w:sz w:val="18"/>
                <w:szCs w:val="18"/>
                <w:color w:val="auto"/>
              </w:rPr>
            </w:pPr>
          </w:p>
        </w:tc>
        <w:tc>
          <w:tcPr>
            <w:tcW w:w="1480" w:type="dxa"/>
            <w:vAlign w:val="bottom"/>
            <w:gridSpan w:val="2"/>
          </w:tcPr>
          <w:p>
            <w:pPr>
              <w:ind w:left="700"/>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(151,730)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paid for patents, licenses and other assets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(11,470)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(11,524)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Payment related to acquisition of business, net of cash</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ind w:left="640"/>
              <w:spacing w:after="0"/>
              <w:rPr>
                <w:sz w:val="20"/>
                <w:szCs w:val="20"/>
                <w:color w:val="auto"/>
              </w:rPr>
            </w:pPr>
            <w:r>
              <w:rPr>
                <w:rFonts w:ascii="Arial" w:cs="Arial" w:eastAsia="Arial" w:hAnsi="Arial"/>
                <w:sz w:val="18"/>
                <w:szCs w:val="18"/>
                <w:color w:val="auto"/>
              </w:rPr>
              <w:t>acquired</w:t>
            </w:r>
          </w:p>
        </w:tc>
        <w:tc>
          <w:tcPr>
            <w:tcW w:w="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(14,203)</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747</w:t>
            </w:r>
          </w:p>
        </w:tc>
        <w:tc>
          <w:tcPr>
            <w:tcW w:w="120" w:type="dxa"/>
            <w:vAlign w:val="bottom"/>
          </w:tcPr>
          <w:p>
            <w:pPr>
              <w:spacing w:after="0"/>
              <w:rPr>
                <w:sz w:val="19"/>
                <w:szCs w:val="19"/>
                <w:color w:val="auto"/>
              </w:rPr>
            </w:pPr>
          </w:p>
        </w:tc>
        <w:tc>
          <w:tcPr>
            <w:tcW w:w="14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(13,456)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Long-term intercompany notes and investments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(2,619)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(195)</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2,714</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vMerge w:val="restart"/>
          </w:tcPr>
          <w:p>
            <w:pPr>
              <w:ind w:left="860"/>
              <w:spacing w:after="0"/>
              <w:rPr>
                <w:sz w:val="20"/>
                <w:szCs w:val="20"/>
                <w:color w:val="auto"/>
              </w:rPr>
            </w:pPr>
            <w:r>
              <w:rPr>
                <w:rFonts w:ascii="Arial" w:cs="Arial" w:eastAsia="Arial" w:hAnsi="Arial"/>
                <w:sz w:val="18"/>
                <w:szCs w:val="18"/>
                <w:color w:val="auto"/>
              </w:rPr>
              <w:t>Net cash provided by (used in) investing activities</w:t>
            </w: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0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(140,562)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(37,901)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(1,214)</w:t>
            </w:r>
          </w:p>
        </w:tc>
        <w:tc>
          <w:tcPr>
            <w:tcW w:w="120" w:type="dxa"/>
            <w:vAlign w:val="bottom"/>
          </w:tcPr>
          <w:p>
            <w:pPr>
              <w:spacing w:after="0"/>
              <w:rPr>
                <w:sz w:val="19"/>
                <w:szCs w:val="19"/>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rPr>
              <w:t>2,967</w:t>
            </w:r>
          </w:p>
        </w:tc>
        <w:tc>
          <w:tcPr>
            <w:tcW w:w="12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(176,710)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Proceeds from line of credit borrowings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30,000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on line of credit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(40,000)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Proceeds from issuance of common stock under equity</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ind w:left="640"/>
              <w:spacing w:after="0"/>
              <w:rPr>
                <w:sz w:val="20"/>
                <w:szCs w:val="20"/>
                <w:color w:val="auto"/>
              </w:rPr>
            </w:pPr>
            <w:r>
              <w:rPr>
                <w:rFonts w:ascii="Arial" w:cs="Arial" w:eastAsia="Arial" w:hAnsi="Arial"/>
                <w:sz w:val="18"/>
                <w:szCs w:val="18"/>
                <w:color w:val="auto"/>
              </w:rPr>
              <w:t>plans</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24,391</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24,391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common stock in treasury</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(5,505)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Long-term intercompany financing</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50,996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(50,901)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2,619</w:t>
            </w:r>
          </w:p>
        </w:tc>
        <w:tc>
          <w:tcPr>
            <w:tcW w:w="120" w:type="dxa"/>
            <w:vAlign w:val="bottom"/>
          </w:tcPr>
          <w:p>
            <w:pPr>
              <w:spacing w:after="0"/>
              <w:rPr>
                <w:sz w:val="18"/>
                <w:szCs w:val="18"/>
                <w:color w:val="auto"/>
              </w:rPr>
            </w:pPr>
          </w:p>
        </w:tc>
        <w:tc>
          <w:tcPr>
            <w:tcW w:w="1480" w:type="dxa"/>
            <w:vAlign w:val="bottom"/>
            <w:gridSpan w:val="2"/>
          </w:tcPr>
          <w:p>
            <w:pPr>
              <w:jc w:val="right"/>
              <w:ind w:right="460"/>
              <w:spacing w:after="0"/>
              <w:rPr>
                <w:sz w:val="20"/>
                <w:szCs w:val="20"/>
                <w:color w:val="auto"/>
              </w:rPr>
            </w:pPr>
            <w:r>
              <w:rPr>
                <w:rFonts w:ascii="Arial" w:cs="Arial" w:eastAsia="Arial" w:hAnsi="Arial"/>
                <w:sz w:val="18"/>
                <w:szCs w:val="18"/>
                <w:color w:val="auto"/>
              </w:rPr>
              <w:t>(2,714)</w:t>
            </w: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provided by (used in) financing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59,882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(50,901)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2,619</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(2,714)</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18"/>
                <w:szCs w:val="18"/>
                <w:color w:val="auto"/>
              </w:rPr>
            </w:pPr>
          </w:p>
        </w:tc>
        <w:tc>
          <w:tcPr>
            <w:tcW w:w="14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(38,539)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(7,438)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1,710</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66,258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16,216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7,157</w:t>
            </w:r>
          </w:p>
        </w:tc>
        <w:tc>
          <w:tcPr>
            <w:tcW w:w="120" w:type="dxa"/>
            <w:vAlign w:val="bottom"/>
          </w:tcPr>
          <w:p>
            <w:pPr>
              <w:spacing w:after="0"/>
              <w:rPr>
                <w:sz w:val="18"/>
                <w:szCs w:val="18"/>
                <w:color w:val="auto"/>
              </w:rPr>
            </w:pPr>
          </w:p>
        </w:tc>
        <w:tc>
          <w:tcPr>
            <w:tcW w:w="14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89,631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27,719</w:t>
            </w: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8,778</w:t>
            </w: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8,867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180"/>
        <w:spacing w:after="0" w:line="34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2"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This Quarterly Report on Form 10-Q, including “Management’s Discussion and Analysis of Financial Condition and Results of Operations,” contains forward-looking statements regarding future events and our future results that are subject to the safe harbors created under the Securities Act of 1933 and the Securities Exchange Act of 1934. These statements are based on current expectations, estimates, forecasts and projections about the industries in which we operate and the beliefs and assumptions of our management. We use words such as “anticipate,” “believe,” “continue,” “could,” “estimate,” “expect,” “goal,” “intend,” “may,” “plan,” “project,” “seek,” “should,” “target,” “will,” “would,” variations of such words and similar expressions to identify forward-looking statements. In addition, statements that refer to projections of earnings, revenue, costs or other financial items; anticipated growth and trends in our business or key markets; future growth and revenues from our products; future economic conditions and performance; anticipated performance of products or services; plans, objectives and strategies for future operations; and other characterizations of future events or circumstances, are forward-looking statements. Readers are cautioned that these forward-looking statements are only predictions and are subject to risks, uncertainties and assumptions that are difficult to predict, including those identified under the heading “Risk Factors” in Part I, Item 1A of our Annual Report on Form 10-K for the fiscal year ended April 1, 2011, elsewhere in this report and our other filings with the Securities and Exchange Commission (SEC). Therefore, actual results may differ materially and adversely from those expressed in any forward-looking statements. We undertake no obligation to revise or update any forward-looking statements for any reason.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are a leading provider of advanced satellite and wireless communications and secure networking systems, products and services. We have leveraged our success developing complex satellite communication systems and equipment for the U.S. government and select commercial customers to develop end-to-end satellite network solutions for a wide array of applications and customers. Our product and systems offerings are often linked through common underlying technologies, customer applications and market relationships. We believe that our portfolio of products, combined with our ability to effectively cross-deploy technologies between government and commercial segments and across different geographic markets, provides us with a strong foundation to sustain and enhance our leadership in advanced communications and networking technologies. Our customers, including the U.S. government, leading aerospace and defense prime contractors, network integrators and communications service providers, rely on our solutions to meet their complex communications and networking requirements. In addition, we are a leading wholesale and retail provider of satellite broadband internet services in the United States. ViaSat, Inc. was incorporated in California in 1986, and reincorporated as a Delaware corporation in 1996.</w:t>
      </w:r>
    </w:p>
    <w:p>
      <w:pPr>
        <w:spacing w:after="0" w:line="12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On October 19, 2011, our new high-capacity Ka-band spot-beam satellite, ViaSat-1, was successfully launched into orbit by International Launch Services (ILS) from the launch facility at the Baikonur Cosmodrome in Kazakhstan. The satellite manufacturer transferred title to and operation of the satellite to us in December 2011, following the successful completion of the manufacturer’s in-orbit testing. In January 2012, subsequent to the quarter end, we commenced ViaSat-1 commercial services and introduced our new high-speed internet service, Exede</w:t>
      </w:r>
      <w:r>
        <w:rPr>
          <w:rFonts w:ascii="Arial" w:cs="Arial" w:eastAsia="Arial" w:hAnsi="Arial"/>
          <w:sz w:val="11"/>
          <w:szCs w:val="11"/>
          <w:color w:val="auto"/>
        </w:rPr>
        <w:t>SM</w:t>
      </w:r>
      <w:r>
        <w:rPr>
          <w:rFonts w:ascii="Arial" w:cs="Arial" w:eastAsia="Arial" w:hAnsi="Arial"/>
          <w:sz w:val="18"/>
          <w:szCs w:val="18"/>
          <w:color w:val="auto"/>
        </w:rPr>
        <w: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ViaSat operates in three segments: government systems, commercial networks and satellite services.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Systems</w:t>
      </w:r>
    </w:p>
    <w:p>
      <w:pPr>
        <w:spacing w:after="0" w:line="96"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Our government systems segment develops and produces network-centric internet protocol (IP)-based secure government communications systems, products and solutions, which are designed to enable the collection and dissemination of secure real-time digital information between command centers, communications nodes and air defense systems. Customers of our government systems segment include armed forces, public safety first-responders and remote government employees.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primary products and services of our government systems segment include:</w:t>
      </w:r>
    </w:p>
    <w:p>
      <w:pPr>
        <w:spacing w:after="0" w:line="90" w:lineRule="exact"/>
        <w:rPr>
          <w:sz w:val="20"/>
          <w:szCs w:val="20"/>
          <w:color w:val="auto"/>
        </w:rPr>
      </w:pPr>
    </w:p>
    <w:p>
      <w:pPr>
        <w:ind w:left="440" w:right="460" w:hanging="324"/>
        <w:spacing w:after="0" w:line="255" w:lineRule="auto"/>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Government satellite communication systems, including an array of portable, mobile and fixed broadband modems, terminals, network access control systems and antenna systems using a range of satellite frequency bands for line-of-sight and beyond-line-of-sight Intelligence, Surveillance, and Reconnaissance (ISR) and Command and Control (C2) missions, satellite networking services, as well as products designed for manpacks, aircraft, unmanned aerial vehicles (UAVs), seagoing vessels, ground mobile vehicles and fixed applications, and government mobile broadband networking services.</w:t>
      </w:r>
    </w:p>
    <w:p>
      <w:pPr>
        <w:spacing w:after="0" w:line="61" w:lineRule="exact"/>
        <w:rPr>
          <w:rFonts w:ascii="Arial" w:cs="Arial" w:eastAsia="Arial" w:hAnsi="Arial"/>
          <w:sz w:val="18"/>
          <w:szCs w:val="18"/>
          <w:color w:val="auto"/>
        </w:rPr>
      </w:pPr>
    </w:p>
    <w:p>
      <w:pPr>
        <w:ind w:left="440" w:right="20" w:hanging="324"/>
        <w:spacing w:after="0" w:line="268" w:lineRule="auto"/>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Information security and assurance products that enable military and government users to communicate information securely over networks, and that secure data stored on computers and storage devices.</w:t>
      </w:r>
    </w:p>
    <w:p>
      <w:pPr>
        <w:spacing w:after="0" w:line="50" w:lineRule="exact"/>
        <w:rPr>
          <w:rFonts w:ascii="Arial" w:cs="Arial" w:eastAsia="Arial" w:hAnsi="Arial"/>
          <w:sz w:val="18"/>
          <w:szCs w:val="18"/>
          <w:color w:val="auto"/>
        </w:rPr>
      </w:pPr>
    </w:p>
    <w:p>
      <w:pPr>
        <w:ind w:left="440" w:right="200" w:hanging="324"/>
        <w:spacing w:after="0" w:line="332" w:lineRule="auto"/>
        <w:tabs>
          <w:tab w:leader="none" w:pos="4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Tactical data links, including Multifunctional Information Distribution System (MIDS) terminals for military fighter jets, and their successor, MIDS Joint Tactical Radio System (MIDS JTRS) terminals, “disposable” weapon data links, and portable small tactical terminals.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Networks</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Our commercial networks segment develops and produces a variety of advanced end-to-end satellite communication systems and ground networking equipment and products that address five key market segments: consumer, enterprise, in-flight, maritime and ground mobile applications. These communication systems, networking equipment and products are generally developed through a combination of customer and discretionary internal research and development funding.</w:t>
      </w:r>
    </w:p>
    <w:p>
      <w:pPr>
        <w:spacing w:after="0" w:line="143"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Our satellite communication systems, ground networking equipment and products cater to a wide range of domestic and international commercial customers and include:</w:t>
      </w:r>
    </w:p>
    <w:p>
      <w:pPr>
        <w:spacing w:after="0" w:line="51" w:lineRule="exact"/>
        <w:rPr>
          <w:sz w:val="20"/>
          <w:szCs w:val="20"/>
          <w:color w:val="auto"/>
        </w:rPr>
      </w:pPr>
    </w:p>
    <w:p>
      <w:pPr>
        <w:ind w:left="440" w:hanging="324"/>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Consumer broadband, including next-generation satellite network infrastructure and ground terminals to access high-capacity satellites.</w:t>
      </w:r>
    </w:p>
    <w:p>
      <w:pPr>
        <w:spacing w:after="0" w:line="90" w:lineRule="exact"/>
        <w:rPr>
          <w:rFonts w:ascii="Arial" w:cs="Arial" w:eastAsia="Arial" w:hAnsi="Arial"/>
          <w:sz w:val="18"/>
          <w:szCs w:val="18"/>
          <w:color w:val="auto"/>
        </w:rPr>
      </w:pPr>
    </w:p>
    <w:p>
      <w:pPr>
        <w:ind w:left="440" w:right="100" w:hanging="324"/>
        <w:spacing w:after="0" w:line="268" w:lineRule="auto"/>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Antenna systems for terrestrial and satellite applications, specializing in geospatial imagery, mobile satellite communication, Ka-band gateways, and other multi-band antennas.</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Mobile broadband satellite communication systems, designed for use in aircraft, seagoing vessels and high-speed trains.</w:t>
      </w:r>
    </w:p>
    <w:p>
      <w:pPr>
        <w:spacing w:after="0" w:line="90" w:lineRule="exact"/>
        <w:rPr>
          <w:rFonts w:ascii="Arial" w:cs="Arial" w:eastAsia="Arial" w:hAnsi="Arial"/>
          <w:sz w:val="18"/>
          <w:szCs w:val="18"/>
          <w:color w:val="auto"/>
        </w:rPr>
      </w:pPr>
    </w:p>
    <w:p>
      <w:pPr>
        <w:ind w:left="440" w:right="160" w:hanging="324"/>
        <w:spacing w:after="0" w:line="268" w:lineRule="auto"/>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Enterprise Very Small Aperture Terminal (VSAT) networks and products, designed to provide enterprises with broadband access to the internet or private networks.</w:t>
      </w:r>
    </w:p>
    <w:p>
      <w:pPr>
        <w:spacing w:after="0" w:line="50" w:lineRule="exact"/>
        <w:rPr>
          <w:rFonts w:ascii="Arial" w:cs="Arial" w:eastAsia="Arial" w:hAnsi="Arial"/>
          <w:sz w:val="18"/>
          <w:szCs w:val="18"/>
          <w:color w:val="auto"/>
        </w:rPr>
      </w:pPr>
    </w:p>
    <w:p>
      <w:pPr>
        <w:ind w:left="440" w:right="180" w:hanging="324"/>
        <w:spacing w:after="0" w:line="268" w:lineRule="auto"/>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Satellite networking development programs, including specialized design and technology services covering all aspects of satellite communication system architecture and technology.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Satellite Services</w:t>
      </w:r>
    </w:p>
    <w:p>
      <w:pPr>
        <w:spacing w:after="0" w:line="96"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Our satellite services segment complements primarily our commercial networks segment by providing retail and wholesale satellite-based broadband internet services via our distribution and capacity agreements, as well as managed network services for the satellite communication systems of our consumer, enterprise and mobile broadband customers.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primary services offered by our satellite services segment comprise:</w:t>
      </w:r>
    </w:p>
    <w:p>
      <w:pPr>
        <w:spacing w:after="0" w:line="90" w:lineRule="exact"/>
        <w:rPr>
          <w:sz w:val="20"/>
          <w:szCs w:val="20"/>
          <w:color w:val="auto"/>
        </w:rPr>
      </w:pPr>
    </w:p>
    <w:p>
      <w:pPr>
        <w:ind w:left="440" w:right="640" w:hanging="324"/>
        <w:spacing w:after="0" w:line="268" w:lineRule="auto"/>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Wholesale and retail broadband satellite services, comprised of our Exede and WildBlue</w:t>
      </w:r>
      <w:r>
        <w:rPr>
          <w:rFonts w:ascii="Arial" w:cs="Arial" w:eastAsia="Arial" w:hAnsi="Arial"/>
          <w:sz w:val="11"/>
          <w:szCs w:val="11"/>
          <w:color w:val="auto"/>
        </w:rPr>
        <w:t>®</w:t>
      </w:r>
      <w:r>
        <w:rPr>
          <w:rFonts w:ascii="Arial" w:cs="Arial" w:eastAsia="Arial" w:hAnsi="Arial"/>
          <w:sz w:val="18"/>
          <w:szCs w:val="18"/>
          <w:color w:val="auto"/>
        </w:rPr>
        <w:t xml:space="preserve"> internet services, which provide two-way satellite-based broadband internet access to consumers and small businesses in the United States.</w:t>
      </w:r>
    </w:p>
    <w:p>
      <w:pPr>
        <w:spacing w:after="0" w:line="50" w:lineRule="exact"/>
        <w:rPr>
          <w:rFonts w:ascii="Arial" w:cs="Arial" w:eastAsia="Arial" w:hAnsi="Arial"/>
          <w:sz w:val="18"/>
          <w:szCs w:val="18"/>
          <w:color w:val="auto"/>
        </w:rPr>
      </w:pPr>
    </w:p>
    <w:p>
      <w:pPr>
        <w:ind w:left="440" w:right="400" w:hanging="324"/>
        <w:spacing w:after="0" w:line="268" w:lineRule="auto"/>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Yonder</w:t>
      </w:r>
      <w:r>
        <w:rPr>
          <w:rFonts w:ascii="Arial" w:cs="Arial" w:eastAsia="Arial" w:hAnsi="Arial"/>
          <w:sz w:val="11"/>
          <w:szCs w:val="11"/>
          <w:color w:val="auto"/>
        </w:rPr>
        <w:t>®</w:t>
      </w:r>
      <w:r>
        <w:rPr>
          <w:rFonts w:ascii="Arial" w:cs="Arial" w:eastAsia="Arial" w:hAnsi="Arial"/>
          <w:sz w:val="18"/>
          <w:szCs w:val="18"/>
          <w:color w:val="auto"/>
        </w:rPr>
        <w:t xml:space="preserve"> worldwide mobile broadband services is comprised of global network management services for customers who use our ArcLight</w:t>
      </w:r>
      <w:r>
        <w:rPr>
          <w:rFonts w:ascii="Arial" w:cs="Arial" w:eastAsia="Arial" w:hAnsi="Arial"/>
          <w:sz w:val="11"/>
          <w:szCs w:val="11"/>
          <w:color w:val="auto"/>
        </w:rPr>
        <w:t>®</w:t>
      </w:r>
      <w:r>
        <w:rPr>
          <w:rFonts w:ascii="Arial" w:cs="Arial" w:eastAsia="Arial" w:hAnsi="Arial"/>
          <w:sz w:val="18"/>
          <w:szCs w:val="18"/>
          <w:color w:val="auto"/>
        </w:rPr>
        <w:t>-based mobile satellite systems supporting airborne, maritime and various ground-mobile customers.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w:t>
      </w:r>
    </w:p>
    <w:p>
      <w:pPr>
        <w:spacing w:after="0" w:line="96"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With respect to our government systems and commercial networks segments, our ability to grow and maintain our revenues has depended on our ability to identify and target markets where the customer places a high priority on the technology solution, and our ability to obtain additional sizable contract awards. Due to the nature of this process, it is difficult to predict the probability and timing of obtaining awards in these markets.</w:t>
      </w:r>
    </w:p>
    <w:p>
      <w:pPr>
        <w:spacing w:after="0" w:line="10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products and services in these segments are provided primarily through three types of contracts: fixed-price, time-and-materials and cost-reimbursement contracts. Fixed-price contracts (which require us to provide products and services under a contract at a specified price) comprised approximately 94% and 92% of our total revenues for these segments for the three months ended December 30, 2011 and December 31, 2010, respectively, and 93% and 92% of our total revenues for these segments for the nine months ended December 30, 2011 and December 31, 2010, respectively. The remainder of our revenue in these segments for such periods was derived from cost-reimbursement contracts (under which we are reimbursed for all actual costs incurred in performing the contract to the extent such costs are within the contract ceiling and allowable under the terms of the contract, plus a fee or profit) and from time-and-materials contracts (which reimburse us for the number of labor hours expended at an established hourly rate negotiated in the contract, plus the cost of materials utilized in providing such products or services).</w:t>
      </w:r>
    </w:p>
    <w:p>
      <w:pPr>
        <w:spacing w:after="0" w:line="118"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Historically, a significant portion of our revenues has been derived from customer contracts that include the research and development of products. The research and development efforts are conducted in direct response to the customer’s specific requirements and, accordingly, expenditures related to such efforts are included in cost of sales when incurred and the related funding (which includes a profit component) is included in revenues. Revenues for our funded research and development from our customer contracts were approximately $57.7 million or 28% and $47.9 million or 24% of our total revenues in the three months ended December 30, 2011 and December 31, 2010, respectively. Revenues for our funded research and development from our customer contracts were approximately $165.5 million or 27% and $141.5 million or 24% of our total revenues in the nine months ended December 30, 2011 and December 31, 2010, respectively.</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also incur independent research and development (IR&amp;D) expenses, which are not directly funded by a third party. IR&amp;D expenses consist primarily of salaries and other personnel-related expenses, supplies, prototype materials, testing and certification related to research and development programs. IR&amp;D expenses were approximately 3% of total revenues during each of the three months ended December 30, 2011 and December 31, 2010. IR&amp;D expenses were approximately 3% and 4% of total revenues during the nine months ended December 30, 2011 and December 31, 2010, respectively. As a government contractor, we are able to recover a portion of our IR&amp;D expenses pursuant to our government contracts.</w:t>
      </w:r>
    </w:p>
    <w:p>
      <w:pPr>
        <w:spacing w:after="0" w:line="116"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Our satellite services segment revenues are primarily derived from our wholesale and retail broadband satellite services business and our managed network services. In general, our retail broadband satellite service customers are required to pay for their satellite services in advance.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Management’s Discussion and Analysis of Financial Condition and Results of Operations discusses our condensed consolidated financial statements, which have been prepared in accordance with accounting principles generally accepted in the United States (GAAP). The preparation of these financial statements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We consider the policies discussed below to be critical to an understanding of our financial statements because their application places the most significant demands on management’s judgment, with financial reporting results relying on estimation about the effect of matters that are inherently uncertain. We describe the specific risks for these critical accounting policies in the following paragraphs. For all of these policies, we caution that future events rarely develop exactly as forecast, and even the best estimates routinely require adjustment.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 substantial portion of our revenues is derived from long-term contracts requiring development and delivery of complex equipment built to customer specifications. Sales related to these contracts are accounted for under the authoritative guidance for the percentage-of-completion method of accounting (Accounting Standards Codification (ASC) 605-35). Sales and earnings under these contracts are recorded either based on the ratio of actual costs incurred to date to total estimated costs expected to be incurred related to the contract, or as products are shipped under the units-of-delivery method.</w:t>
      </w:r>
    </w:p>
    <w:p>
      <w:pPr>
        <w:spacing w:after="0" w:line="113" w:lineRule="exact"/>
        <w:rPr>
          <w:sz w:val="20"/>
          <w:szCs w:val="20"/>
          <w:color w:val="auto"/>
        </w:rPr>
      </w:pPr>
    </w:p>
    <w:p>
      <w:pPr>
        <w:ind w:right="20" w:firstLine="456"/>
        <w:spacing w:after="0" w:line="306" w:lineRule="auto"/>
        <w:rPr>
          <w:sz w:val="20"/>
          <w:szCs w:val="20"/>
          <w:color w:val="auto"/>
        </w:rPr>
      </w:pPr>
      <w:r>
        <w:rPr>
          <w:rFonts w:ascii="Arial" w:cs="Arial" w:eastAsia="Arial" w:hAnsi="Arial"/>
          <w:sz w:val="15"/>
          <w:szCs w:val="15"/>
          <w:color w:val="auto"/>
        </w:rPr>
        <w:t>The percentage-of-completion method of accounting requires management to estimate the profit margin for each individual contract and to apply that profit margin on a uniform basis as sales are recorded under the contract. The estimation of profit margins requires management to make projections of the total sales to be generated and the total costs that will be incurred under a contract. These projections require management to make numerous assumptions and estimates relating to items such as the complexity of design and related development costs, performance of subcontractors, availability and cost of materials, labor productivity and cost, overhead and capital costs and manufacturing efficiency. These contracts often include purchase options for additional quantities and customer change orders for additional or revised product functionality. Purchase options and change orders are accounted for either as an integral part of the original contract or separately depending upon the nature and value of the item. For contract claims or similar items, we apply judgment in estimating the amounts and assessing the potential for realization. These amounts are only included in contract value when they can be reliably estimated and realization is considered probable. Anticipated losses on contracts are recognized in full in the period in which losses become probable and estimable. During the three months ended December 30, 2011 and December 31, 2010, we recorded losses of approximately $0.5 million and $2.3 million, respectively, related to loss contracts. During the nine months ended December 30, 2011 and December 31, 2010, we recorded losses of approximately $1.2 million and $11.5 million (recorded in the first quarter of fiscal year 2011), respectively, related to loss contracts of which $8.5 million relates to a government satellite commercial program.</w:t>
      </w:r>
    </w:p>
    <w:p>
      <w:pPr>
        <w:spacing w:after="0" w:line="11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Assuming the initial estimates of sales and costs under a contract are accurate, the percentage-of-completion method results in the profit margin being recorded evenly as revenue is recognized under the contract. Changes in these underlying estimates due to revisions in sales and future cost estimates or the exercise of contract options may result in profit margins being recognized unevenly over a contract as such changes are accounted for on a cumulative basis in the period estimates are revised. We believe we have established appropriate systems and processes to enable us to reasonably estimate future cost on our programs through regular quarterly evaluations of contract costs, scheduling and technical matters by business unit personnel and management. Historically, in the aggregate, we have not experienced significant deviations in actual costs from estimated program costs, and when deviations that result in significant adjustments arise, we disclose the related impact in Management’s Discussion and Analysis of Financial Condition and Results of Operations. However, these estimates require significant management judgment and a significant change in future cost estimates on one or more programs could have a material effect on our results of operations. A one percent variance in our future cost estimates on open fixed-price contracts as of December 30, 2011 would change our income before income taxes by approximately $0.3 million.</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We also derive a substantial portion of our revenues from contracts and purchase orders where revenue is recorded on delivery of products or performance of services in accordance with the authoritative guidance for revenue recognition (ASC 605). Under this standard, we recognize revenue when an arrangement exists, prices are fixed and determinable, collectability is reasonably assured and the goods or services have been delivered.</w:t>
      </w:r>
    </w:p>
    <w:p>
      <w:pPr>
        <w:spacing w:after="0" w:line="107"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We also enter into certain leasing arrangements with customers and evaluate the contracts in accordance with the authoritative guidance for leases (ASC 840). Our accounting for equipment leases involves specific determinations under the authoritative guidance, which often involve complex provisions and significant judgments. In accordance with the authoritative guidance for leases, we classify the transactions as sales type or operating leases based on (1) review for transfers of ownership of the property to the lessee by the end of the lease term, (2) review of the lease terms to determine if it contains an option to purchase the leased property for a price which is sufficiently lower than the expected fair value of the property at the date of the option, (3) review of the lease term to determine if it is equal to or greater than 75% of the economic life of the equipment, and (4) review of the present value of the minimum lease payments to determine if they are equal to or greater than 90% of the fair market value of the equipment at the inception of the lease. Additionally, we consider the cancelability of the contract and any related uncertainty of collections or risk in recoverability of the lease investment at lease inception. Revenue from sales type leases is recognized at the inception of the lease or when the equipment has been delivered and installed at the customer site, if installation is required. Revenues from equipment rentals under operating leases are recognized as earned over the lease term, which is generally on a straight-line basis.</w:t>
      </w:r>
    </w:p>
    <w:p>
      <w:pPr>
        <w:spacing w:after="0" w:line="12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Beginning in the first quarter of fiscal year 2012, we adopted Accounting Standards Update (ASU) 2009-13, Revenue Recognition (ASC 605) Multiple-Deliverable Revenue Arrangements, which updates ASC 605-25, Revenue Recognition-Multiple element arrangements, of the Financial Accounting Standards Board (FASB) codification. ASU 2009-13 amended accounting guidance for revenue recognition to eliminate the use of the residual method and requires entities to allocate revenue using the relative selling price method. For substantially all of the arrangements with multiple deliverables, we allocate revenue to each element based on a selling price hierarchy at the arrangement inception. The selling price for each element is based upon the following selling price hierarchy: vendor specific objective evidence (VSOE) if available, third party evidence (TPE) if VSOE is not available, or estimated selling price (ESP) if neither VSOE nor TPE are available (a description as to how we determine VSOE, TPE and ESP is provided below). If a tangible hardware systems product includes software, we determine whether the tangible hardware systems product and the software work together to deliver the product’s essential functionality and, if so, the entire product is treated as a nonsoftware deliverable. The total arrangement consideration is allocated to each separate unit of accounting for each of the nonsoftware deliverables using the relative selling prices of each unit based on the aforementioned selling price hierarchy. Revenue for each separate unit of accounting is recognized when the applicable revenue recognition criteria for each element have been met.</w:t>
      </w:r>
    </w:p>
    <w:p>
      <w:pPr>
        <w:spacing w:after="0" w:line="127" w:lineRule="exact"/>
        <w:rPr>
          <w:sz w:val="20"/>
          <w:szCs w:val="20"/>
          <w:color w:val="auto"/>
        </w:rPr>
      </w:pPr>
    </w:p>
    <w:p>
      <w:pPr>
        <w:ind w:firstLine="456"/>
        <w:spacing w:after="0" w:line="307" w:lineRule="auto"/>
        <w:rPr>
          <w:sz w:val="20"/>
          <w:szCs w:val="20"/>
          <w:color w:val="auto"/>
        </w:rPr>
      </w:pPr>
      <w:r>
        <w:rPr>
          <w:rFonts w:ascii="Arial" w:cs="Arial" w:eastAsia="Arial" w:hAnsi="Arial"/>
          <w:sz w:val="15"/>
          <w:szCs w:val="15"/>
          <w:color w:val="auto"/>
        </w:rPr>
        <w:t>To determine the selling price in multiple-element arrangements, we establish VSOE of the selling price using the price charged for a deliverable when sold separately and for software license updates and product support and hardware systems support, based on the renewal rates offered to customers. For nonsoftware multiple-element arrangements, TPE is established by evaluating similar and/or interchangeable competitor products or services in standalone arrangements with similarly situated customers and/or agreements. If we are unable to determine the selling price because VSOE or TPE doesn’t exist, we determine ESP for the purposes of allocating the arrangement by reviewing historical transactions, including transactions whereby the deliverable was sold on a standalone basis and considering several other external and internal factors including, but not limited to, pricing practices including discounting, margin objectives, competition, the geographies in which we offer our products and services, the type of customer (i.e. distributor, value added reseller, government agency or direct end user, among others) and the stage of the product lifecycle. The determination of ESP considers our pricing model and go-to-market strategy. As our, or our competitors’, pricing and go-to-market strategies evolve, we may modify our pricing practices in the future, which could result in changes to our determination of VSOE, TPE and ESP. As a result, our future revenue recognition for multiple-element arrangements could differ materially from those in the current period. We adopted this authoritative guidance in the first quarter of fiscal year 2012 without a material impact on our consolidated financial statements and disclosures.</w:t>
      </w:r>
    </w:p>
    <w:p>
      <w:pPr>
        <w:spacing w:after="0" w:line="112"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Collections in excess of revenues and deferred revenues represent cash collected from customers in advance of revenue recognition and are recorded in accrued liabilities for obligations within the next twelve months. Deferred revenues extending beyond the twelve months are recorded within other liabilities in the condensed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make estimates of the collectability of our accounts receivable based on historical bad debts, customer creditworthiness and current economic trends when evaluating the adequacy of the allowance for doubtful accounts. Historically, our bad debt allowances have been minimal primarily because a significant portion of our sales has been to the U.S. government or is related to our retail broadband satellite service commercial business, which we bill and collect in advance. Our accounts receivable balance was $184.3 million, net of allowance for doubtful accounts of $1.0 million, as of December 30, 2011, and our accounts receivable balance was $191.9 million, net of allowance for doubtful accounts of $0.5 million, as of April 1, 2011.</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Warranty reserves</w:t>
      </w:r>
    </w:p>
    <w:p>
      <w:pPr>
        <w:spacing w:after="0" w:line="9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We provide limited warranties on our products for periods of up to five years. We record a liability for our warranty obligations when we ship the products or they are included in long-term construction contracts based upon an estimate of expected warranty costs. Amounts expected to be incurred within twelve months are classified as a current liability. For mature products, we estimate the warranty costs based on historical experience with the particular product. For newer products that do not have a history of warranty costs, we base our estimates on our experience with the technology involved and the types of failures that may occur. It is possible that our underlying assumptions will not reflect the actual experience, and in that case, we will make future adjustments to the recorded warranty obligation.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account for our goodwill under the authoritative guidance for goodwill and other intangible assets (ASC 350). The authoritative guidance for the goodwill impairment model is a two-step process. First, it requires a comparison of the book value of net assets to the fair value of the reporting units that have goodwill assigned to them. Reporting units within our government systems, commercial networks and satellite services segments have goodwill assigned to them. If the fair value is determined to be less than book value, a second step is performed to compute the amount of the impairment. In this process, a fair value for goodwill is estimated, based in part on the fair value of the reporting unit used in the first step, and is compared to its carrying value. The shortfall of the fair value below carrying value, if any, represents the amount of goodwill impairment. We test goodwill for impairment during the fourth quarter every fiscal year and when an event occurs or circumstances change such that it is reasonably possible that an impairment may exist.</w:t>
      </w:r>
    </w:p>
    <w:p>
      <w:pPr>
        <w:spacing w:after="0" w:line="11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estimate the fair values of the reporting units using discounted cash flows and other indicators of fair value such as market comparable transactions. We base the forecast of future cash flows on our best estimate of the future revenues and operating costs, which we derive primarily from existing firm orders, expected future orders, contracts with suppliers, labor agreements and general market conditions. Changes in these forecasts could cause a particular reporting unit to either pass or fail the first step in the authoritative guidance related to the goodwill impairment model, which could significantly influence whether a goodwill impairment needs to be recorded. We adjust the cash flow forecasts by an appropriate discount rate derived from our market capitalization plus a suitable control premium at the date of evaluation.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equipment and satellites</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Equipment, computers and software, furniture and fixtures, our ViaSat-1 satellite, and related gateway and networking equipment under construction are recorded at cost, net of accumulated depreciation. Satellite costs, including launch services and insurance, are generally procured under long-term contracts that provide for payments over the contract periods and are capitalized as incurred. Also, we are constructing gateway facilities, network operations systems and other assets to support our ViaSat-1 satellite and these construction costs are capitalized as incurred. Interest expense is capitalized on the carrying value of property, equipment and satellites under construction until they are placed in service. Satellite construction and launch services costs are capitalized to reflect progress toward completion, which typically coincides with contract milestone payment schedules. Insurance premiums related to the satellite launch and subsequent in-orbit testing are capitalized and amortized over the estimated useful lives of the satellite. Performance incentives payable in future periods are dependent on the continued satisfactory performance of the satellite in service.</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On October 19, 2011, our ViaSat-1 satellite was successfully launched into orbit. The satellite manufacturer transferred title to and operation of the satellite to us in December 2011, following the successful completion of the manufacturer’s in-orbit testing. In January 2012, subsequent to the quarter end, we launched ViaSat-1 commercial services and introduced our new high-speed internet service, Exede.</w:t>
      </w:r>
    </w:p>
    <w:p>
      <w:pPr>
        <w:spacing w:after="0" w:line="140" w:lineRule="exact"/>
        <w:rPr>
          <w:sz w:val="20"/>
          <w:szCs w:val="20"/>
          <w:color w:val="auto"/>
        </w:rPr>
      </w:pPr>
    </w:p>
    <w:p>
      <w:pPr>
        <w:ind w:right="80" w:firstLine="456"/>
        <w:spacing w:after="0" w:line="314" w:lineRule="auto"/>
        <w:rPr>
          <w:sz w:val="20"/>
          <w:szCs w:val="20"/>
          <w:color w:val="auto"/>
        </w:rPr>
      </w:pPr>
      <w:r>
        <w:rPr>
          <w:rFonts w:ascii="Arial" w:cs="Arial" w:eastAsia="Arial" w:hAnsi="Arial"/>
          <w:sz w:val="15"/>
          <w:szCs w:val="15"/>
          <w:color w:val="auto"/>
        </w:rPr>
        <w:t>Our contract with the manufacturer of ViaSat-1 requires us to make monthly in-orbit performance incentive payments, including interest, over a fifteen-year period, commencing from the transfer of title of the satellite to us, subject to the continued satisfactory performance of the satellite. We recorded the net present value of these expected future payments as a liability and as a component of the cost of the satellite. As of December 30, 2011, we recorded an estimated liability of $22.3 million recorded relating to satellite performance incentives in the condensed consolidated balance sheets, of which $1.6 million and $20.7 million have been classified as current in accounts payable and non-current in other liabilities, respectively. If all performance incentives are earned as scheduled in the agreement, we could be required to pay a total of $39.4 million in in-orbit incentive payments including accrued interest over the fifteen-year period.</w:t>
      </w:r>
    </w:p>
    <w:p>
      <w:pPr>
        <w:spacing w:after="0" w:line="105"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As a result of the acquisition of WildBlue Holding, Inc. (WildBlue) in December 2009, we acquired the WildBlue-1 satellite (which had been placed into service in March 2007) and an exclusive prepaid lifetime capital lease of Ka-band capacity on Telesat Canada’s Anik F2 satellite (which had been placed into service in April 2005) and related gateway and networking equipment on both satellites. The acquired assets also included the indoor and outdoor customer premise equipment (CPE) units leased to subscribers under a retail leasing program.</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Occasionally, we may enter into capital lease arrangements for various machinery, equipment, computer-related equipment, software, furniture or fixtures. As of both December 30, 2011 and April 1, 2011, assets under capital lease totaled approximately $3.1 million. We record amortization of assets leased under capital lease arrangements within depreciation expense.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 (property, equipment and satellites, and other assets)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accordance with the authoritative guidance for impairment or disposal of long-lived assets (ASC 360), we assess potential impairments to our long-lived assets, including property, equipment, satellites and other assets, when there is evidence that events or changes in circumstances indicate that the carrying value may not be recoverable. We recognize an impairment loss when the undiscounted cash flows expected to be generated by an asset (or group of assets) are less than the asset’s carrying value. Any required impairment loss would be measured as the amount by which the asset’s carrying value exceeds its fair value, and would be recorded as a reduction in the carrying value of the related asset and charged to results of operations. No material impairments were recorded by us for the three and nine months ended December 30, 2011 and December 31, 2010.</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60"/>
          </w:cols>
          <w:pgMar w:left="240" w:top="459" w:right="2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 and valuation allowance on deferred tax assets</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Management evaluates the realizability of our deferred tax assets and assesses the need for a valuation allowance on a quarterly basis. In accordance with the authoritative guidance for income taxes (ASC 740), net deferred tax assets are reduced by a valuation allowance if, based on all the available evidence, it is more likely than not that some or all of the deferred tax assets will not be realized. Our valuation allowance against deferred tax assets increased from $12.7 million at April 1, 2011 to $13.5 million at December 30, 2011. The valuation allowance primarily relates to state net operating loss carryforwards and research credit carryforwards available to reduce state income taxes.</w:t>
      </w:r>
    </w:p>
    <w:p>
      <w:pPr>
        <w:spacing w:after="0" w:line="1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Accruals for uncertain tax positions are provided for in accordance with the authoritative guidance for accounting for uncertainty in income taxes (ASC 740). Under the authoritative guidance, we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authoritative guidance addresses the derecognition of income tax assets and liabilities, classification of current and deferred income tax assets and liabilities, accounting for interest and penalties associated with tax positions, and income tax disclosures.</w:t>
      </w:r>
    </w:p>
    <w:p>
      <w:pPr>
        <w:spacing w:after="0" w:line="12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are subject to income taxes in the United States and numerous foreign jurisdictions. In the ordinary course of business, there are calculations and transactions where the ultimate tax determination is uncertain. In addition, changes in tax laws and regulations as well as adverse judicial rulings could adversely affect the income tax provision. We believe we have adequately provided for income tax issues not yet resolved with federal, state and foreign tax authorities. However, if these provided amounts prove to be more than what is necessary, the reversal of the reserves would result in tax benefits being recognized in the period in which we determine that provision for the liabilities is no longer necessary. If an ultimate tax assessment exceeds our estimate of tax liabilities, an additional charge to expense would result.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as a percentage of total revenues, income statement data for the periods indicated.</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3080" w:type="dxa"/>
            <w:vAlign w:val="bottom"/>
            <w:gridSpan w:val="4"/>
          </w:tcPr>
          <w:p>
            <w:pPr>
              <w:jc w:val="right"/>
              <w:ind w:right="1300"/>
              <w:spacing w:after="0"/>
              <w:rPr>
                <w:sz w:val="20"/>
                <w:szCs w:val="20"/>
                <w:color w:val="auto"/>
              </w:rPr>
            </w:pPr>
            <w:r>
              <w:rPr>
                <w:rFonts w:ascii="Arial" w:cs="Arial" w:eastAsia="Arial" w:hAnsi="Arial"/>
                <w:sz w:val="14"/>
                <w:szCs w:val="14"/>
                <w:b w:val="1"/>
                <w:bCs w:val="1"/>
                <w:color w:val="auto"/>
              </w:rPr>
              <w:t>Three Months Ended</w:t>
            </w:r>
          </w:p>
        </w:tc>
        <w:tc>
          <w:tcPr>
            <w:tcW w:w="256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rPr>
              <w:t>Nine Months Ended</w:t>
            </w:r>
          </w:p>
        </w:tc>
      </w:tr>
      <w:tr>
        <w:trPr>
          <w:trHeight w:val="129"/>
        </w:trPr>
        <w:tc>
          <w:tcPr>
            <w:tcW w:w="4860" w:type="dxa"/>
            <w:vAlign w:val="bottom"/>
          </w:tcPr>
          <w:p>
            <w:pPr>
              <w:spacing w:after="0"/>
              <w:rPr>
                <w:sz w:val="11"/>
                <w:szCs w:val="11"/>
                <w:color w:val="auto"/>
              </w:rPr>
            </w:pPr>
          </w:p>
        </w:tc>
        <w:tc>
          <w:tcPr>
            <w:tcW w:w="1540" w:type="dxa"/>
            <w:vAlign w:val="bottom"/>
            <w:tcBorders>
              <w:top w:val="single" w:sz="8" w:color="auto"/>
            </w:tcBorders>
            <w:gridSpan w:val="2"/>
          </w:tcPr>
          <w:p>
            <w:pPr>
              <w:jc w:val="right"/>
              <w:ind w:right="760"/>
              <w:spacing w:after="0" w:line="129" w:lineRule="exact"/>
              <w:rPr>
                <w:sz w:val="20"/>
                <w:szCs w:val="20"/>
                <w:color w:val="auto"/>
              </w:rPr>
            </w:pPr>
            <w:r>
              <w:rPr>
                <w:rFonts w:ascii="Arial" w:cs="Arial" w:eastAsia="Arial" w:hAnsi="Arial"/>
                <w:sz w:val="14"/>
                <w:szCs w:val="14"/>
                <w:b w:val="1"/>
                <w:bCs w:val="1"/>
                <w:color w:val="auto"/>
                <w:w w:val="83"/>
              </w:rPr>
              <w:t>December 30,</w:t>
            </w:r>
          </w:p>
        </w:tc>
        <w:tc>
          <w:tcPr>
            <w:tcW w:w="8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3"/>
              </w:rPr>
              <w:t>December 31,</w:t>
            </w:r>
          </w:p>
        </w:tc>
        <w:tc>
          <w:tcPr>
            <w:tcW w:w="740" w:type="dxa"/>
            <w:vAlign w:val="bottom"/>
          </w:tcPr>
          <w:p>
            <w:pPr>
              <w:spacing w:after="0"/>
              <w:rPr>
                <w:sz w:val="11"/>
                <w:szCs w:val="11"/>
                <w:color w:val="auto"/>
              </w:rPr>
            </w:pPr>
          </w:p>
        </w:tc>
        <w:tc>
          <w:tcPr>
            <w:tcW w:w="1560" w:type="dxa"/>
            <w:vAlign w:val="bottom"/>
            <w:tcBorders>
              <w:top w:val="single" w:sz="8" w:color="auto"/>
            </w:tcBorders>
            <w:gridSpan w:val="2"/>
          </w:tcPr>
          <w:p>
            <w:pPr>
              <w:jc w:val="center"/>
              <w:ind w:right="740"/>
              <w:spacing w:after="0" w:line="129" w:lineRule="exact"/>
              <w:rPr>
                <w:sz w:val="20"/>
                <w:szCs w:val="20"/>
                <w:color w:val="auto"/>
              </w:rPr>
            </w:pPr>
            <w:r>
              <w:rPr>
                <w:rFonts w:ascii="Arial" w:cs="Arial" w:eastAsia="Arial" w:hAnsi="Arial"/>
                <w:sz w:val="14"/>
                <w:szCs w:val="14"/>
                <w:b w:val="1"/>
                <w:bCs w:val="1"/>
                <w:color w:val="auto"/>
                <w:w w:val="85"/>
              </w:rPr>
              <w:t>December 30,</w:t>
            </w:r>
          </w:p>
        </w:tc>
        <w:tc>
          <w:tcPr>
            <w:tcW w:w="8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5"/>
              </w:rPr>
              <w:t>December 31,</w:t>
            </w:r>
          </w:p>
        </w:tc>
        <w:tc>
          <w:tcPr>
            <w:tcW w:w="200" w:type="dxa"/>
            <w:vAlign w:val="bottom"/>
          </w:tcPr>
          <w:p>
            <w:pPr>
              <w:spacing w:after="0"/>
              <w:rPr>
                <w:sz w:val="11"/>
                <w:szCs w:val="11"/>
                <w:color w:val="auto"/>
              </w:rPr>
            </w:pPr>
          </w:p>
        </w:tc>
      </w:tr>
      <w:tr>
        <w:trPr>
          <w:trHeight w:val="161"/>
        </w:trPr>
        <w:tc>
          <w:tcPr>
            <w:tcW w:w="486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2011</w:t>
            </w:r>
          </w:p>
        </w:tc>
        <w:tc>
          <w:tcPr>
            <w:tcW w:w="7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2010</w:t>
            </w:r>
          </w:p>
        </w:tc>
        <w:tc>
          <w:tcPr>
            <w:tcW w:w="7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2011</w:t>
            </w:r>
          </w:p>
        </w:tc>
        <w:tc>
          <w:tcPr>
            <w:tcW w:w="76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CCEEFF"/>
            </w:tcBorders>
          </w:tcPr>
          <w:p>
            <w:pPr>
              <w:spacing w:after="0"/>
              <w:rPr>
                <w:sz w:val="14"/>
                <w:szCs w:val="14"/>
                <w:color w:val="auto"/>
              </w:rPr>
            </w:pPr>
          </w:p>
        </w:tc>
      </w:tr>
      <w:tr>
        <w:trPr>
          <w:trHeight w:val="210"/>
        </w:trPr>
        <w:tc>
          <w:tcPr>
            <w:tcW w:w="4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15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100.0%</w:t>
            </w:r>
          </w:p>
        </w:tc>
        <w:tc>
          <w:tcPr>
            <w:tcW w:w="15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100.0%</w:t>
            </w:r>
          </w:p>
        </w:tc>
        <w:tc>
          <w:tcPr>
            <w:tcW w:w="15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100.0%</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r>
      <w:tr>
        <w:trPr>
          <w:trHeight w:val="216"/>
        </w:trPr>
        <w:tc>
          <w:tcPr>
            <w:tcW w:w="4860" w:type="dxa"/>
            <w:vAlign w:val="bottom"/>
          </w:tcPr>
          <w:p>
            <w:pPr>
              <w:ind w:left="440"/>
              <w:spacing w:after="0"/>
              <w:rPr>
                <w:sz w:val="20"/>
                <w:szCs w:val="20"/>
                <w:color w:val="auto"/>
              </w:rPr>
            </w:pPr>
            <w:r>
              <w:rPr>
                <w:rFonts w:ascii="Arial" w:cs="Arial" w:eastAsia="Arial" w:hAnsi="Arial"/>
                <w:sz w:val="18"/>
                <w:szCs w:val="18"/>
                <w:color w:val="auto"/>
              </w:rPr>
              <w:t>Product revenues</w:t>
            </w:r>
          </w:p>
        </w:tc>
        <w:tc>
          <w:tcPr>
            <w:tcW w:w="800" w:type="dxa"/>
            <w:vAlign w:val="bottom"/>
          </w:tcPr>
          <w:p>
            <w:pPr>
              <w:jc w:val="right"/>
              <w:spacing w:after="0"/>
              <w:rPr>
                <w:sz w:val="20"/>
                <w:szCs w:val="20"/>
                <w:color w:val="auto"/>
              </w:rPr>
            </w:pPr>
            <w:r>
              <w:rPr>
                <w:rFonts w:ascii="Arial" w:cs="Arial" w:eastAsia="Arial" w:hAnsi="Arial"/>
                <w:sz w:val="18"/>
                <w:szCs w:val="18"/>
                <w:color w:val="auto"/>
              </w:rPr>
              <w:t>59.5</w:t>
            </w:r>
          </w:p>
        </w:tc>
        <w:tc>
          <w:tcPr>
            <w:tcW w:w="740" w:type="dxa"/>
            <w:vAlign w:val="bottom"/>
          </w:tcPr>
          <w:p>
            <w:pPr>
              <w:spacing w:after="0"/>
              <w:rPr>
                <w:sz w:val="18"/>
                <w:szCs w:val="18"/>
                <w:color w:val="auto"/>
              </w:rPr>
            </w:pPr>
          </w:p>
        </w:tc>
        <w:tc>
          <w:tcPr>
            <w:tcW w:w="1540" w:type="dxa"/>
            <w:vAlign w:val="bottom"/>
            <w:gridSpan w:val="2"/>
          </w:tcPr>
          <w:p>
            <w:pPr>
              <w:jc w:val="right"/>
              <w:ind w:right="740"/>
              <w:spacing w:after="0"/>
              <w:rPr>
                <w:sz w:val="20"/>
                <w:szCs w:val="20"/>
                <w:color w:val="auto"/>
              </w:rPr>
            </w:pPr>
            <w:r>
              <w:rPr>
                <w:rFonts w:ascii="Arial" w:cs="Arial" w:eastAsia="Arial" w:hAnsi="Arial"/>
                <w:sz w:val="18"/>
                <w:szCs w:val="18"/>
                <w:color w:val="auto"/>
              </w:rPr>
              <w:t>64.5</w:t>
            </w:r>
          </w:p>
        </w:tc>
        <w:tc>
          <w:tcPr>
            <w:tcW w:w="1560" w:type="dxa"/>
            <w:vAlign w:val="bottom"/>
            <w:gridSpan w:val="2"/>
          </w:tcPr>
          <w:p>
            <w:pPr>
              <w:jc w:val="right"/>
              <w:ind w:right="760"/>
              <w:spacing w:after="0"/>
              <w:rPr>
                <w:sz w:val="20"/>
                <w:szCs w:val="20"/>
                <w:color w:val="auto"/>
              </w:rPr>
            </w:pPr>
            <w:r>
              <w:rPr>
                <w:rFonts w:ascii="Arial" w:cs="Arial" w:eastAsia="Arial" w:hAnsi="Arial"/>
                <w:sz w:val="18"/>
                <w:szCs w:val="18"/>
                <w:color w:val="auto"/>
              </w:rPr>
              <w:t>62.8</w:t>
            </w:r>
          </w:p>
        </w:tc>
        <w:tc>
          <w:tcPr>
            <w:tcW w:w="800" w:type="dxa"/>
            <w:vAlign w:val="bottom"/>
          </w:tcPr>
          <w:p>
            <w:pPr>
              <w:jc w:val="right"/>
              <w:spacing w:after="0"/>
              <w:rPr>
                <w:sz w:val="20"/>
                <w:szCs w:val="20"/>
                <w:color w:val="auto"/>
              </w:rPr>
            </w:pPr>
            <w:r>
              <w:rPr>
                <w:rFonts w:ascii="Arial" w:cs="Arial" w:eastAsia="Arial" w:hAnsi="Arial"/>
                <w:sz w:val="18"/>
                <w:szCs w:val="18"/>
                <w:color w:val="auto"/>
              </w:rPr>
              <w:t>64.7</w:t>
            </w:r>
          </w:p>
        </w:tc>
        <w:tc>
          <w:tcPr>
            <w:tcW w:w="200" w:type="dxa"/>
            <w:vAlign w:val="bottom"/>
          </w:tcPr>
          <w:p>
            <w:pPr>
              <w:spacing w:after="0"/>
              <w:rPr>
                <w:sz w:val="18"/>
                <w:szCs w:val="18"/>
                <w:color w:val="auto"/>
              </w:rPr>
            </w:pPr>
          </w:p>
        </w:tc>
      </w:tr>
      <w:tr>
        <w:trPr>
          <w:trHeight w:val="216"/>
        </w:trPr>
        <w:tc>
          <w:tcPr>
            <w:tcW w:w="4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Service revenues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7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35.5</w:t>
            </w:r>
          </w:p>
        </w:tc>
        <w:tc>
          <w:tcPr>
            <w:tcW w:w="15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37.2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20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Operating expenses:</w:t>
            </w: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Cost of product revenues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7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48.5</w:t>
            </w:r>
          </w:p>
        </w:tc>
        <w:tc>
          <w:tcPr>
            <w:tcW w:w="15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46.5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200" w:type="dxa"/>
            <w:vAlign w:val="bottom"/>
            <w:shd w:val="clear" w:color="auto" w:fill="CCEEFF"/>
          </w:tcPr>
          <w:p>
            <w:pPr>
              <w:spacing w:after="0"/>
              <w:rPr>
                <w:sz w:val="18"/>
                <w:szCs w:val="18"/>
                <w:color w:val="auto"/>
              </w:rPr>
            </w:pPr>
          </w:p>
        </w:tc>
      </w:tr>
      <w:tr>
        <w:trPr>
          <w:trHeight w:val="216"/>
        </w:trPr>
        <w:tc>
          <w:tcPr>
            <w:tcW w:w="4860" w:type="dxa"/>
            <w:vAlign w:val="bottom"/>
          </w:tcPr>
          <w:p>
            <w:pPr>
              <w:ind w:left="440"/>
              <w:spacing w:after="0"/>
              <w:rPr>
                <w:sz w:val="20"/>
                <w:szCs w:val="20"/>
                <w:color w:val="auto"/>
              </w:rPr>
            </w:pPr>
            <w:r>
              <w:rPr>
                <w:rFonts w:ascii="Arial" w:cs="Arial" w:eastAsia="Arial" w:hAnsi="Arial"/>
                <w:sz w:val="18"/>
                <w:szCs w:val="18"/>
                <w:color w:val="auto"/>
              </w:rPr>
              <w:t>Cost of service revenues</w:t>
            </w:r>
          </w:p>
        </w:tc>
        <w:tc>
          <w:tcPr>
            <w:tcW w:w="800" w:type="dxa"/>
            <w:vAlign w:val="bottom"/>
          </w:tcPr>
          <w:p>
            <w:pPr>
              <w:jc w:val="right"/>
              <w:spacing w:after="0"/>
              <w:rPr>
                <w:sz w:val="20"/>
                <w:szCs w:val="20"/>
                <w:color w:val="auto"/>
              </w:rPr>
            </w:pPr>
            <w:r>
              <w:rPr>
                <w:rFonts w:ascii="Arial" w:cs="Arial" w:eastAsia="Arial" w:hAnsi="Arial"/>
                <w:sz w:val="18"/>
                <w:szCs w:val="18"/>
                <w:color w:val="auto"/>
              </w:rPr>
              <w:t>28.0</w:t>
            </w:r>
          </w:p>
        </w:tc>
        <w:tc>
          <w:tcPr>
            <w:tcW w:w="740" w:type="dxa"/>
            <w:vAlign w:val="bottom"/>
          </w:tcPr>
          <w:p>
            <w:pPr>
              <w:spacing w:after="0"/>
              <w:rPr>
                <w:sz w:val="18"/>
                <w:szCs w:val="18"/>
                <w:color w:val="auto"/>
              </w:rPr>
            </w:pPr>
          </w:p>
        </w:tc>
        <w:tc>
          <w:tcPr>
            <w:tcW w:w="1540" w:type="dxa"/>
            <w:vAlign w:val="bottom"/>
            <w:gridSpan w:val="2"/>
          </w:tcPr>
          <w:p>
            <w:pPr>
              <w:jc w:val="right"/>
              <w:ind w:right="740"/>
              <w:spacing w:after="0"/>
              <w:rPr>
                <w:sz w:val="20"/>
                <w:szCs w:val="20"/>
                <w:color w:val="auto"/>
              </w:rPr>
            </w:pPr>
            <w:r>
              <w:rPr>
                <w:rFonts w:ascii="Arial" w:cs="Arial" w:eastAsia="Arial" w:hAnsi="Arial"/>
                <w:sz w:val="18"/>
                <w:szCs w:val="18"/>
                <w:color w:val="auto"/>
              </w:rPr>
              <w:t>21.4</w:t>
            </w:r>
          </w:p>
        </w:tc>
        <w:tc>
          <w:tcPr>
            <w:tcW w:w="1560" w:type="dxa"/>
            <w:vAlign w:val="bottom"/>
            <w:gridSpan w:val="2"/>
          </w:tcPr>
          <w:p>
            <w:pPr>
              <w:jc w:val="right"/>
              <w:ind w:right="760"/>
              <w:spacing w:after="0"/>
              <w:rPr>
                <w:sz w:val="20"/>
                <w:szCs w:val="20"/>
                <w:color w:val="auto"/>
              </w:rPr>
            </w:pPr>
            <w:r>
              <w:rPr>
                <w:rFonts w:ascii="Arial" w:cs="Arial" w:eastAsia="Arial" w:hAnsi="Arial"/>
                <w:sz w:val="18"/>
                <w:szCs w:val="18"/>
                <w:color w:val="auto"/>
              </w:rPr>
              <w:t>25.8</w:t>
            </w:r>
          </w:p>
        </w:tc>
        <w:tc>
          <w:tcPr>
            <w:tcW w:w="800" w:type="dxa"/>
            <w:vAlign w:val="bottom"/>
          </w:tcPr>
          <w:p>
            <w:pPr>
              <w:jc w:val="right"/>
              <w:spacing w:after="0"/>
              <w:rPr>
                <w:sz w:val="20"/>
                <w:szCs w:val="20"/>
                <w:color w:val="auto"/>
              </w:rPr>
            </w:pPr>
            <w:r>
              <w:rPr>
                <w:rFonts w:ascii="Arial" w:cs="Arial" w:eastAsia="Arial" w:hAnsi="Arial"/>
                <w:sz w:val="18"/>
                <w:szCs w:val="18"/>
                <w:color w:val="auto"/>
              </w:rPr>
              <w:t>20.9</w:t>
            </w:r>
          </w:p>
        </w:tc>
        <w:tc>
          <w:tcPr>
            <w:tcW w:w="200" w:type="dxa"/>
            <w:vAlign w:val="bottom"/>
          </w:tcPr>
          <w:p>
            <w:pPr>
              <w:spacing w:after="0"/>
              <w:rPr>
                <w:sz w:val="18"/>
                <w:szCs w:val="18"/>
                <w:color w:val="auto"/>
              </w:rPr>
            </w:pPr>
          </w:p>
        </w:tc>
      </w:tr>
      <w:tr>
        <w:trPr>
          <w:trHeight w:val="216"/>
        </w:trPr>
        <w:tc>
          <w:tcPr>
            <w:tcW w:w="4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Selling, general and administrative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7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20.6</w:t>
            </w:r>
          </w:p>
        </w:tc>
        <w:tc>
          <w:tcPr>
            <w:tcW w:w="15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21.1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200" w:type="dxa"/>
            <w:vAlign w:val="bottom"/>
            <w:shd w:val="clear" w:color="auto" w:fill="CCEEFF"/>
          </w:tcPr>
          <w:p>
            <w:pPr>
              <w:spacing w:after="0"/>
              <w:rPr>
                <w:sz w:val="18"/>
                <w:szCs w:val="18"/>
                <w:color w:val="auto"/>
              </w:rPr>
            </w:pPr>
          </w:p>
        </w:tc>
      </w:tr>
      <w:tr>
        <w:trPr>
          <w:trHeight w:val="216"/>
        </w:trPr>
        <w:tc>
          <w:tcPr>
            <w:tcW w:w="4860" w:type="dxa"/>
            <w:vAlign w:val="bottom"/>
          </w:tcPr>
          <w:p>
            <w:pPr>
              <w:ind w:left="440"/>
              <w:spacing w:after="0"/>
              <w:rPr>
                <w:sz w:val="20"/>
                <w:szCs w:val="20"/>
                <w:color w:val="auto"/>
              </w:rPr>
            </w:pPr>
            <w:r>
              <w:rPr>
                <w:rFonts w:ascii="Arial" w:cs="Arial" w:eastAsia="Arial" w:hAnsi="Arial"/>
                <w:sz w:val="18"/>
                <w:szCs w:val="18"/>
                <w:color w:val="auto"/>
              </w:rPr>
              <w:t>Independent research and development</w:t>
            </w:r>
          </w:p>
        </w:tc>
        <w:tc>
          <w:tcPr>
            <w:tcW w:w="800" w:type="dxa"/>
            <w:vAlign w:val="bottom"/>
          </w:tcPr>
          <w:p>
            <w:pPr>
              <w:jc w:val="right"/>
              <w:spacing w:after="0"/>
              <w:rPr>
                <w:sz w:val="20"/>
                <w:szCs w:val="20"/>
                <w:color w:val="auto"/>
              </w:rPr>
            </w:pPr>
            <w:r>
              <w:rPr>
                <w:rFonts w:ascii="Arial" w:cs="Arial" w:eastAsia="Arial" w:hAnsi="Arial"/>
                <w:sz w:val="18"/>
                <w:szCs w:val="18"/>
                <w:color w:val="auto"/>
              </w:rPr>
              <w:t>2.9</w:t>
            </w:r>
          </w:p>
        </w:tc>
        <w:tc>
          <w:tcPr>
            <w:tcW w:w="740" w:type="dxa"/>
            <w:vAlign w:val="bottom"/>
          </w:tcPr>
          <w:p>
            <w:pPr>
              <w:spacing w:after="0"/>
              <w:rPr>
                <w:sz w:val="18"/>
                <w:szCs w:val="18"/>
                <w:color w:val="auto"/>
              </w:rPr>
            </w:pPr>
          </w:p>
        </w:tc>
        <w:tc>
          <w:tcPr>
            <w:tcW w:w="1540" w:type="dxa"/>
            <w:vAlign w:val="bottom"/>
            <w:gridSpan w:val="2"/>
          </w:tcPr>
          <w:p>
            <w:pPr>
              <w:jc w:val="right"/>
              <w:ind w:right="740"/>
              <w:spacing w:after="0"/>
              <w:rPr>
                <w:sz w:val="20"/>
                <w:szCs w:val="20"/>
                <w:color w:val="auto"/>
              </w:rPr>
            </w:pPr>
            <w:r>
              <w:rPr>
                <w:rFonts w:ascii="Arial" w:cs="Arial" w:eastAsia="Arial" w:hAnsi="Arial"/>
                <w:sz w:val="18"/>
                <w:szCs w:val="18"/>
                <w:color w:val="auto"/>
              </w:rPr>
              <w:t>3.4</w:t>
            </w:r>
          </w:p>
        </w:tc>
        <w:tc>
          <w:tcPr>
            <w:tcW w:w="1560" w:type="dxa"/>
            <w:vAlign w:val="bottom"/>
            <w:gridSpan w:val="2"/>
          </w:tcPr>
          <w:p>
            <w:pPr>
              <w:jc w:val="right"/>
              <w:ind w:right="760"/>
              <w:spacing w:after="0"/>
              <w:rPr>
                <w:sz w:val="20"/>
                <w:szCs w:val="20"/>
                <w:color w:val="auto"/>
              </w:rPr>
            </w:pPr>
            <w:r>
              <w:rPr>
                <w:rFonts w:ascii="Arial" w:cs="Arial" w:eastAsia="Arial" w:hAnsi="Arial"/>
                <w:sz w:val="18"/>
                <w:szCs w:val="18"/>
                <w:color w:val="auto"/>
              </w:rPr>
              <w:t>3.0</w:t>
            </w:r>
          </w:p>
        </w:tc>
        <w:tc>
          <w:tcPr>
            <w:tcW w:w="800" w:type="dxa"/>
            <w:vAlign w:val="bottom"/>
          </w:tcPr>
          <w:p>
            <w:pPr>
              <w:jc w:val="right"/>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18"/>
                <w:szCs w:val="18"/>
                <w:color w:val="auto"/>
              </w:rPr>
            </w:pPr>
          </w:p>
        </w:tc>
      </w:tr>
      <w:tr>
        <w:trPr>
          <w:trHeight w:val="216"/>
        </w:trPr>
        <w:tc>
          <w:tcPr>
            <w:tcW w:w="4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 of acquired intangible assets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7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2.5</w:t>
            </w:r>
          </w:p>
        </w:tc>
        <w:tc>
          <w:tcPr>
            <w:tcW w:w="15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Income from operations</w:t>
            </w:r>
          </w:p>
        </w:tc>
        <w:tc>
          <w:tcPr>
            <w:tcW w:w="800" w:type="dxa"/>
            <w:vAlign w:val="bottom"/>
          </w:tcPr>
          <w:p>
            <w:pPr>
              <w:jc w:val="right"/>
              <w:spacing w:after="0"/>
              <w:rPr>
                <w:sz w:val="20"/>
                <w:szCs w:val="20"/>
                <w:color w:val="auto"/>
              </w:rPr>
            </w:pPr>
            <w:r>
              <w:rPr>
                <w:rFonts w:ascii="Arial" w:cs="Arial" w:eastAsia="Arial" w:hAnsi="Arial"/>
                <w:sz w:val="18"/>
                <w:szCs w:val="18"/>
                <w:color w:val="auto"/>
              </w:rPr>
              <w:t>0.9</w:t>
            </w:r>
          </w:p>
        </w:tc>
        <w:tc>
          <w:tcPr>
            <w:tcW w:w="740" w:type="dxa"/>
            <w:vAlign w:val="bottom"/>
          </w:tcPr>
          <w:p>
            <w:pPr>
              <w:spacing w:after="0"/>
              <w:rPr>
                <w:sz w:val="18"/>
                <w:szCs w:val="18"/>
                <w:color w:val="auto"/>
              </w:rPr>
            </w:pPr>
          </w:p>
        </w:tc>
        <w:tc>
          <w:tcPr>
            <w:tcW w:w="1540" w:type="dxa"/>
            <w:vAlign w:val="bottom"/>
            <w:gridSpan w:val="2"/>
          </w:tcPr>
          <w:p>
            <w:pPr>
              <w:jc w:val="right"/>
              <w:ind w:right="740"/>
              <w:spacing w:after="0"/>
              <w:rPr>
                <w:sz w:val="20"/>
                <w:szCs w:val="20"/>
                <w:color w:val="auto"/>
              </w:rPr>
            </w:pPr>
            <w:r>
              <w:rPr>
                <w:rFonts w:ascii="Arial" w:cs="Arial" w:eastAsia="Arial" w:hAnsi="Arial"/>
                <w:sz w:val="18"/>
                <w:szCs w:val="18"/>
                <w:color w:val="auto"/>
              </w:rPr>
              <w:t>3.6</w:t>
            </w:r>
          </w:p>
        </w:tc>
        <w:tc>
          <w:tcPr>
            <w:tcW w:w="1560" w:type="dxa"/>
            <w:vAlign w:val="bottom"/>
            <w:gridSpan w:val="2"/>
          </w:tcPr>
          <w:p>
            <w:pPr>
              <w:jc w:val="right"/>
              <w:ind w:right="760"/>
              <w:spacing w:after="0"/>
              <w:rPr>
                <w:sz w:val="20"/>
                <w:szCs w:val="20"/>
                <w:color w:val="auto"/>
              </w:rPr>
            </w:pPr>
            <w:r>
              <w:rPr>
                <w:rFonts w:ascii="Arial" w:cs="Arial" w:eastAsia="Arial" w:hAnsi="Arial"/>
                <w:sz w:val="18"/>
                <w:szCs w:val="18"/>
                <w:color w:val="auto"/>
              </w:rPr>
              <w:t>1.3</w:t>
            </w:r>
          </w:p>
        </w:tc>
        <w:tc>
          <w:tcPr>
            <w:tcW w:w="800" w:type="dxa"/>
            <w:vAlign w:val="bottom"/>
          </w:tcPr>
          <w:p>
            <w:pPr>
              <w:jc w:val="right"/>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7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3.6</w:t>
            </w:r>
          </w:p>
        </w:tc>
        <w:tc>
          <w:tcPr>
            <w:tcW w:w="15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Net income</w:t>
            </w:r>
          </w:p>
        </w:tc>
        <w:tc>
          <w:tcPr>
            <w:tcW w:w="800" w:type="dxa"/>
            <w:vAlign w:val="bottom"/>
          </w:tcPr>
          <w:p>
            <w:pPr>
              <w:jc w:val="right"/>
              <w:spacing w:after="0"/>
              <w:rPr>
                <w:sz w:val="20"/>
                <w:szCs w:val="20"/>
                <w:color w:val="auto"/>
              </w:rPr>
            </w:pPr>
            <w:r>
              <w:rPr>
                <w:rFonts w:ascii="Arial" w:cs="Arial" w:eastAsia="Arial" w:hAnsi="Arial"/>
                <w:sz w:val="18"/>
                <w:szCs w:val="18"/>
                <w:color w:val="auto"/>
              </w:rPr>
              <w:t>2.5</w:t>
            </w:r>
          </w:p>
        </w:tc>
        <w:tc>
          <w:tcPr>
            <w:tcW w:w="740" w:type="dxa"/>
            <w:vAlign w:val="bottom"/>
          </w:tcPr>
          <w:p>
            <w:pPr>
              <w:spacing w:after="0"/>
              <w:rPr>
                <w:sz w:val="18"/>
                <w:szCs w:val="18"/>
                <w:color w:val="auto"/>
              </w:rPr>
            </w:pPr>
          </w:p>
        </w:tc>
        <w:tc>
          <w:tcPr>
            <w:tcW w:w="1540" w:type="dxa"/>
            <w:vAlign w:val="bottom"/>
            <w:gridSpan w:val="2"/>
          </w:tcPr>
          <w:p>
            <w:pPr>
              <w:jc w:val="right"/>
              <w:ind w:right="740"/>
              <w:spacing w:after="0"/>
              <w:rPr>
                <w:sz w:val="20"/>
                <w:szCs w:val="20"/>
                <w:color w:val="auto"/>
              </w:rPr>
            </w:pPr>
            <w:r>
              <w:rPr>
                <w:rFonts w:ascii="Arial" w:cs="Arial" w:eastAsia="Arial" w:hAnsi="Arial"/>
                <w:sz w:val="18"/>
                <w:szCs w:val="18"/>
                <w:color w:val="auto"/>
              </w:rPr>
              <w:t>6.6</w:t>
            </w:r>
          </w:p>
        </w:tc>
        <w:tc>
          <w:tcPr>
            <w:tcW w:w="1560" w:type="dxa"/>
            <w:vAlign w:val="bottom"/>
            <w:gridSpan w:val="2"/>
          </w:tcPr>
          <w:p>
            <w:pPr>
              <w:jc w:val="right"/>
              <w:ind w:right="760"/>
              <w:spacing w:after="0"/>
              <w:rPr>
                <w:sz w:val="20"/>
                <w:szCs w:val="20"/>
                <w:color w:val="auto"/>
              </w:rPr>
            </w:pPr>
            <w:r>
              <w:rPr>
                <w:rFonts w:ascii="Arial" w:cs="Arial" w:eastAsia="Arial" w:hAnsi="Arial"/>
                <w:sz w:val="18"/>
                <w:szCs w:val="18"/>
                <w:color w:val="auto"/>
              </w:rPr>
              <w:t>2.4</w:t>
            </w:r>
          </w:p>
        </w:tc>
        <w:tc>
          <w:tcPr>
            <w:tcW w:w="800" w:type="dxa"/>
            <w:vAlign w:val="bottom"/>
          </w:tcPr>
          <w:p>
            <w:pPr>
              <w:jc w:val="right"/>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ViaSat, Inc.</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7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6.6</w:t>
            </w:r>
          </w:p>
        </w:tc>
        <w:tc>
          <w:tcPr>
            <w:tcW w:w="15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ind w:right="4920"/>
        <w:spacing w:after="0" w:line="369" w:lineRule="auto"/>
        <w:rPr>
          <w:sz w:val="20"/>
          <w:szCs w:val="20"/>
          <w:color w:val="auto"/>
        </w:rPr>
      </w:pPr>
      <w:r>
        <w:rPr>
          <w:rFonts w:ascii="Arial" w:cs="Arial" w:eastAsia="Arial" w:hAnsi="Arial"/>
          <w:sz w:val="18"/>
          <w:szCs w:val="18"/>
          <w:b w:val="1"/>
          <w:bCs w:val="1"/>
          <w:color w:val="auto"/>
        </w:rPr>
        <w:t xml:space="preserve">Three Months Ended December 30, 2011 vs. Three Months Ended December 31, 2010 </w:t>
      </w:r>
      <w:r>
        <w:rPr>
          <w:rFonts w:ascii="Arial" w:cs="Arial" w:eastAsia="Arial" w:hAnsi="Arial"/>
          <w:sz w:val="18"/>
          <w:szCs w:val="18"/>
          <w:i w:val="1"/>
          <w:iCs w:val="1"/>
          <w:color w:val="auto"/>
        </w:rPr>
        <w:t>Revenues</w:t>
      </w:r>
    </w:p>
    <w:p>
      <w:pPr>
        <w:spacing w:after="0" w:line="81" w:lineRule="exact"/>
        <w:rPr>
          <w:sz w:val="20"/>
          <w:szCs w:val="20"/>
          <w:color w:val="auto"/>
        </w:rPr>
      </w:pPr>
    </w:p>
    <w:tbl>
      <w:tblPr>
        <w:tblLayout w:type="fixed"/>
        <w:tblInd w:w="46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6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vMerge w:val="restart"/>
          </w:tcPr>
          <w:p>
            <w:pPr>
              <w:jc w:val="right"/>
              <w:ind w:right="760"/>
              <w:spacing w:after="0"/>
              <w:rPr>
                <w:sz w:val="20"/>
                <w:szCs w:val="20"/>
                <w:color w:val="auto"/>
              </w:rPr>
            </w:pPr>
            <w:r>
              <w:rPr>
                <w:rFonts w:ascii="Arial" w:cs="Arial" w:eastAsia="Arial" w:hAnsi="Arial"/>
                <w:sz w:val="14"/>
                <w:szCs w:val="14"/>
                <w:b w:val="1"/>
                <w:bCs w:val="1"/>
                <w:color w:val="auto"/>
                <w:w w:val="90"/>
              </w:rPr>
              <w:t>Dollar</w:t>
            </w:r>
          </w:p>
        </w:tc>
        <w:tc>
          <w:tcPr>
            <w:tcW w:w="9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980" w:type="dxa"/>
            <w:vAlign w:val="bottom"/>
          </w:tcPr>
          <w:p>
            <w:pPr>
              <w:spacing w:after="0"/>
              <w:rPr>
                <w:sz w:val="4"/>
                <w:szCs w:val="4"/>
                <w:color w:val="auto"/>
              </w:rPr>
            </w:pPr>
          </w:p>
        </w:tc>
        <w:tc>
          <w:tcPr>
            <w:tcW w:w="3500" w:type="dxa"/>
            <w:vAlign w:val="bottom"/>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9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500" w:type="dxa"/>
            <w:vAlign w:val="bottom"/>
          </w:tcPr>
          <w:p>
            <w:pPr>
              <w:spacing w:after="0"/>
              <w:rPr>
                <w:sz w:val="12"/>
                <w:szCs w:val="12"/>
                <w:color w:val="auto"/>
              </w:rPr>
            </w:pP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December 30,</w:t>
            </w:r>
          </w:p>
        </w:tc>
        <w:tc>
          <w:tcPr>
            <w:tcW w:w="62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320" w:type="dxa"/>
            <w:vAlign w:val="bottom"/>
          </w:tcPr>
          <w:p>
            <w:pPr>
              <w:spacing w:after="0"/>
              <w:rPr>
                <w:sz w:val="12"/>
                <w:szCs w:val="12"/>
                <w:color w:val="auto"/>
              </w:rPr>
            </w:pPr>
          </w:p>
        </w:tc>
        <w:tc>
          <w:tcPr>
            <w:tcW w:w="124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Increase</w:t>
            </w: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3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180"/>
              <w:spacing w:after="0" w:line="148" w:lineRule="exact"/>
              <w:rPr>
                <w:sz w:val="20"/>
                <w:szCs w:val="20"/>
                <w:color w:val="auto"/>
              </w:rPr>
            </w:pPr>
            <w:r>
              <w:rPr>
                <w:rFonts w:ascii="Arial" w:cs="Arial" w:eastAsia="Arial" w:hAnsi="Arial"/>
                <w:sz w:val="14"/>
                <w:szCs w:val="14"/>
                <w:b w:val="1"/>
                <w:bCs w:val="1"/>
                <w:color w:val="auto"/>
              </w:rPr>
              <w:t>2011</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177"/>
              <w:spacing w:after="0" w:line="148" w:lineRule="exact"/>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(Decrease)</w:t>
            </w:r>
          </w:p>
        </w:tc>
        <w:tc>
          <w:tcPr>
            <w:tcW w:w="900" w:type="dxa"/>
            <w:vAlign w:val="bottom"/>
            <w:gridSpan w:val="2"/>
          </w:tcPr>
          <w:p>
            <w:pPr>
              <w:jc w:val="right"/>
              <w:ind w:right="28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Product revenues</w:t>
            </w:r>
          </w:p>
        </w:tc>
        <w:tc>
          <w:tcPr>
            <w:tcW w:w="350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350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121.9</w:t>
            </w:r>
          </w:p>
        </w:tc>
        <w:tc>
          <w:tcPr>
            <w:tcW w:w="62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126.4</w:t>
            </w:r>
          </w:p>
        </w:tc>
        <w:tc>
          <w:tcPr>
            <w:tcW w:w="320" w:type="dxa"/>
            <w:vAlign w:val="bottom"/>
            <w:vMerge w:val="continue"/>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(4.6)</w:t>
            </w:r>
          </w:p>
        </w:tc>
        <w:tc>
          <w:tcPr>
            <w:tcW w:w="64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Service revenues</w:t>
            </w:r>
          </w:p>
        </w:tc>
        <w:tc>
          <w:tcPr>
            <w:tcW w:w="3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83.1</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69.5</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13.6</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195.9</w:t>
            </w:r>
          </w:p>
        </w:tc>
        <w:tc>
          <w:tcPr>
            <w:tcW w:w="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Product revenues decreased from $126.4 million to $121.9 million during the third quarter of fiscal year 2012 compared to the same period last year. The decrease in product revenues was primarily due to lower product sales of $12.4 million in information assurance products, $4.4 million in tactical data link products, $2.3 million in enterprise VSAT networks and products, and $1.2 million in WildBlue products due to a lower number of wholesale subscriber additions. These decreases were offset by higher product sales of $7.3 million in antenna systems products, $4.0 million in satellite payload technology development programs, $3.4 million in consumer broadband products and $2.1 million in mobile broadband satellite communication systems.</w:t>
      </w:r>
    </w:p>
    <w:p>
      <w:pPr>
        <w:spacing w:after="0" w:line="1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20"/>
          </w:cols>
          <w:pgMar w:left="240" w:top="459" w:right="3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During the third quarter of fiscal year 2012 compared to the third quarter of fiscal year 2011, our service revenues increased from $69.5 million to $83.1 million primarily driven by growth in our government satellite communication systems services of $11.0 million, information assurance services of $2.5 million, mobile broadband services of $1.4 million, tactical data link services of $0.9 million and satellite networking development program services of $0.8 million, offset by a decrease in WildBlue services of $3.1 million. The decrease in WildBlue service revenues was mainly due to the lower number of wholesale subscribers as our sales channels provisioned fewer customers with existing service plans in anticipation of the commencement of our new ViaSat-1 satellite service offerings in January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6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vMerge w:val="restart"/>
          </w:tcPr>
          <w:p>
            <w:pPr>
              <w:jc w:val="right"/>
              <w:ind w:right="760"/>
              <w:spacing w:after="0"/>
              <w:rPr>
                <w:sz w:val="20"/>
                <w:szCs w:val="20"/>
                <w:color w:val="auto"/>
              </w:rPr>
            </w:pPr>
            <w:r>
              <w:rPr>
                <w:rFonts w:ascii="Arial" w:cs="Arial" w:eastAsia="Arial" w:hAnsi="Arial"/>
                <w:sz w:val="14"/>
                <w:szCs w:val="14"/>
                <w:b w:val="1"/>
                <w:bCs w:val="1"/>
                <w:color w:val="auto"/>
                <w:w w:val="90"/>
              </w:rPr>
              <w:t>Dollar</w:t>
            </w:r>
          </w:p>
        </w:tc>
        <w:tc>
          <w:tcPr>
            <w:tcW w:w="9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980" w:type="dxa"/>
            <w:vAlign w:val="bottom"/>
          </w:tcPr>
          <w:p>
            <w:pPr>
              <w:spacing w:after="0"/>
              <w:rPr>
                <w:sz w:val="4"/>
                <w:szCs w:val="4"/>
                <w:color w:val="auto"/>
              </w:rPr>
            </w:pPr>
          </w:p>
        </w:tc>
        <w:tc>
          <w:tcPr>
            <w:tcW w:w="3500" w:type="dxa"/>
            <w:vAlign w:val="bottom"/>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9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500" w:type="dxa"/>
            <w:vAlign w:val="bottom"/>
          </w:tcPr>
          <w:p>
            <w:pPr>
              <w:spacing w:after="0"/>
              <w:rPr>
                <w:sz w:val="12"/>
                <w:szCs w:val="12"/>
                <w:color w:val="auto"/>
              </w:rPr>
            </w:pP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December 30,</w:t>
            </w:r>
          </w:p>
        </w:tc>
        <w:tc>
          <w:tcPr>
            <w:tcW w:w="62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320" w:type="dxa"/>
            <w:vAlign w:val="bottom"/>
          </w:tcPr>
          <w:p>
            <w:pPr>
              <w:spacing w:after="0"/>
              <w:rPr>
                <w:sz w:val="12"/>
                <w:szCs w:val="12"/>
                <w:color w:val="auto"/>
              </w:rPr>
            </w:pPr>
          </w:p>
        </w:tc>
        <w:tc>
          <w:tcPr>
            <w:tcW w:w="124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Increase</w:t>
            </w: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3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180"/>
              <w:spacing w:after="0" w:line="148" w:lineRule="exact"/>
              <w:rPr>
                <w:sz w:val="20"/>
                <w:szCs w:val="20"/>
                <w:color w:val="auto"/>
              </w:rPr>
            </w:pPr>
            <w:r>
              <w:rPr>
                <w:rFonts w:ascii="Arial" w:cs="Arial" w:eastAsia="Arial" w:hAnsi="Arial"/>
                <w:sz w:val="14"/>
                <w:szCs w:val="14"/>
                <w:b w:val="1"/>
                <w:bCs w:val="1"/>
                <w:color w:val="auto"/>
              </w:rPr>
              <w:t>2011</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177"/>
              <w:spacing w:after="0" w:line="148" w:lineRule="exact"/>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(Decrease)</w:t>
            </w:r>
          </w:p>
        </w:tc>
        <w:tc>
          <w:tcPr>
            <w:tcW w:w="900" w:type="dxa"/>
            <w:vAlign w:val="bottom"/>
            <w:gridSpan w:val="2"/>
          </w:tcPr>
          <w:p>
            <w:pPr>
              <w:jc w:val="right"/>
              <w:ind w:right="28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7"/>
              </w:rPr>
              <w:t>Cost of product revenues</w:t>
            </w:r>
          </w:p>
        </w:tc>
        <w:tc>
          <w:tcPr>
            <w:tcW w:w="350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350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89.5</w:t>
            </w:r>
          </w:p>
        </w:tc>
        <w:tc>
          <w:tcPr>
            <w:tcW w:w="62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95.0</w:t>
            </w:r>
          </w:p>
        </w:tc>
        <w:tc>
          <w:tcPr>
            <w:tcW w:w="320" w:type="dxa"/>
            <w:vAlign w:val="bottom"/>
            <w:vMerge w:val="continue"/>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(5.5)</w:t>
            </w:r>
          </w:p>
        </w:tc>
        <w:tc>
          <w:tcPr>
            <w:tcW w:w="64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8"/>
              </w:rPr>
              <w:t>Cost of service revenues</w:t>
            </w:r>
          </w:p>
        </w:tc>
        <w:tc>
          <w:tcPr>
            <w:tcW w:w="3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57.3</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41.9</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15.4</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cost of revenues</w:t>
            </w:r>
          </w:p>
        </w:tc>
        <w:tc>
          <w:tcPr>
            <w:tcW w:w="3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w:t>
            </w:r>
          </w:p>
        </w:tc>
        <w:tc>
          <w:tcPr>
            <w:tcW w:w="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9.8</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Cost of product revenues decreased approximately $5.5 million from $95.0 million to $89.5 million during the third quarter of fiscal year 2012 when compared to the third quarter of fiscal year 2011. On a constant margin basis, the decreased product revenues caused a $3.4 million decrease in cost of product revenues. Additionally, cost of product revenues as a percentage of product revenues decreased slightly during the third quarter of fiscal year 2012 compared to the prior year period due to improved margins in our government satellite communication systems products and consumer broadband products. Cost of product revenues may fluctuate in future periods depending on the mix of products sold, competition, new product introduction costs and other factors.</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Cost of service revenues increased from $41.9 million to $57.3 million during the third quarter of fiscal year 2012 when compared to the third quarter of fiscal year 2011 primarily from increased service revenues, which caused an increase of approximately $8.2 million in cost of service revenues (on a constant margin basis). In addition, cost of service revenues increased due to increases in WildBlue service costs associated with our new data center and billing system and in connectivity costs for the ViaSat-1 gateways as we prepared for the commencement of our new ViaSat-1 satellite service offerings in January 2012. Cost of service revenues may fluctuate in future periods depending on the mix of services provided, competition, new service introduction costs and other factors.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75"/>
        </w:trPr>
        <w:tc>
          <w:tcPr>
            <w:tcW w:w="20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right"/>
              <w:ind w:right="442"/>
              <w:spacing w:after="0"/>
              <w:rPr>
                <w:sz w:val="20"/>
                <w:szCs w:val="20"/>
                <w:color w:val="auto"/>
              </w:rPr>
            </w:pPr>
            <w:r>
              <w:rPr>
                <w:rFonts w:ascii="Arial" w:cs="Arial" w:eastAsia="Arial" w:hAnsi="Arial"/>
                <w:sz w:val="14"/>
                <w:szCs w:val="14"/>
                <w:b w:val="1"/>
                <w:bCs w:val="1"/>
                <w:color w:val="auto"/>
              </w:rPr>
              <w:t>Three Months Ended</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restart"/>
          </w:tcPr>
          <w:p>
            <w:pPr>
              <w:jc w:val="center"/>
              <w:ind w:right="780"/>
              <w:spacing w:after="0"/>
              <w:rPr>
                <w:sz w:val="20"/>
                <w:szCs w:val="20"/>
                <w:color w:val="auto"/>
              </w:rPr>
            </w:pPr>
            <w:r>
              <w:rPr>
                <w:rFonts w:ascii="Arial" w:cs="Arial" w:eastAsia="Arial" w:hAnsi="Arial"/>
                <w:sz w:val="14"/>
                <w:szCs w:val="14"/>
                <w:b w:val="1"/>
                <w:bCs w:val="1"/>
                <w:color w:val="auto"/>
                <w:w w:val="90"/>
              </w:rPr>
              <w:t>Dollar</w:t>
            </w: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48"/>
        </w:trPr>
        <w:tc>
          <w:tcPr>
            <w:tcW w:w="2000" w:type="dxa"/>
            <w:vAlign w:val="bottom"/>
          </w:tcPr>
          <w:p>
            <w:pPr>
              <w:spacing w:after="0"/>
              <w:rPr>
                <w:sz w:val="4"/>
                <w:szCs w:val="4"/>
                <w:color w:val="auto"/>
              </w:rPr>
            </w:pPr>
          </w:p>
        </w:tc>
        <w:tc>
          <w:tcPr>
            <w:tcW w:w="19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4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1920" w:type="dxa"/>
            <w:vAlign w:val="bottom"/>
            <w:vMerge w:val="restart"/>
          </w:tcPr>
          <w:p>
            <w:pPr>
              <w:spacing w:after="0"/>
              <w:rPr>
                <w:sz w:val="12"/>
                <w:szCs w:val="12"/>
                <w:color w:val="auto"/>
              </w:rPr>
            </w:pPr>
          </w:p>
        </w:tc>
        <w:tc>
          <w:tcPr>
            <w:tcW w:w="1460" w:type="dxa"/>
            <w:vAlign w:val="bottom"/>
          </w:tcPr>
          <w:p>
            <w:pPr>
              <w:spacing w:after="0"/>
              <w:rPr>
                <w:sz w:val="12"/>
                <w:szCs w:val="12"/>
                <w:color w:val="auto"/>
              </w:rPr>
            </w:pPr>
          </w:p>
        </w:tc>
        <w:tc>
          <w:tcPr>
            <w:tcW w:w="14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30,</w:t>
            </w:r>
          </w:p>
        </w:tc>
        <w:tc>
          <w:tcPr>
            <w:tcW w:w="8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3"/>
              </w:rPr>
              <w:t>December 31,</w:t>
            </w:r>
          </w:p>
        </w:tc>
        <w:tc>
          <w:tcPr>
            <w:tcW w:w="700" w:type="dxa"/>
            <w:vAlign w:val="bottom"/>
          </w:tcPr>
          <w:p>
            <w:pPr>
              <w:spacing w:after="0"/>
              <w:rPr>
                <w:sz w:val="12"/>
                <w:szCs w:val="12"/>
                <w:color w:val="auto"/>
              </w:rPr>
            </w:pPr>
          </w:p>
        </w:tc>
        <w:tc>
          <w:tcPr>
            <w:tcW w:w="128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4"/>
              </w:rPr>
              <w:t>Increase</w:t>
            </w: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1920" w:type="dxa"/>
            <w:vAlign w:val="bottom"/>
            <w:vMerge w:val="continue"/>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186"/>
              <w:spacing w:after="0" w:line="148" w:lineRule="exact"/>
              <w:rPr>
                <w:sz w:val="20"/>
                <w:szCs w:val="20"/>
                <w:color w:val="auto"/>
              </w:rPr>
            </w:pPr>
            <w:r>
              <w:rPr>
                <w:rFonts w:ascii="Arial" w:cs="Arial" w:eastAsia="Arial" w:hAnsi="Arial"/>
                <w:sz w:val="14"/>
                <w:szCs w:val="14"/>
                <w:b w:val="1"/>
                <w:bCs w:val="1"/>
                <w:color w:val="auto"/>
              </w:rPr>
              <w:t>2011</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182"/>
              <w:spacing w:after="0" w:line="148" w:lineRule="exact"/>
              <w:rPr>
                <w:sz w:val="20"/>
                <w:szCs w:val="20"/>
                <w:color w:val="auto"/>
              </w:rPr>
            </w:pPr>
            <w:r>
              <w:rPr>
                <w:rFonts w:ascii="Arial" w:cs="Arial" w:eastAsia="Arial" w:hAnsi="Arial"/>
                <w:sz w:val="14"/>
                <w:szCs w:val="14"/>
                <w:b w:val="1"/>
                <w:bCs w:val="1"/>
                <w:color w:val="auto"/>
              </w:rPr>
              <w:t>2010</w:t>
            </w:r>
          </w:p>
        </w:tc>
        <w:tc>
          <w:tcPr>
            <w:tcW w:w="700" w:type="dxa"/>
            <w:vAlign w:val="bottom"/>
          </w:tcPr>
          <w:p>
            <w:pPr>
              <w:spacing w:after="0"/>
              <w:rPr>
                <w:sz w:val="12"/>
                <w:szCs w:val="12"/>
                <w:color w:val="auto"/>
              </w:rPr>
            </w:pPr>
          </w:p>
        </w:tc>
        <w:tc>
          <w:tcPr>
            <w:tcW w:w="1280" w:type="dxa"/>
            <w:vAlign w:val="bottom"/>
            <w:gridSpan w:val="3"/>
          </w:tcPr>
          <w:p>
            <w:pPr>
              <w:jc w:val="center"/>
              <w:ind w:right="680"/>
              <w:spacing w:after="0" w:line="148" w:lineRule="exact"/>
              <w:rPr>
                <w:sz w:val="20"/>
                <w:szCs w:val="20"/>
                <w:color w:val="auto"/>
              </w:rPr>
            </w:pPr>
            <w:r>
              <w:rPr>
                <w:rFonts w:ascii="Arial" w:cs="Arial" w:eastAsia="Arial" w:hAnsi="Arial"/>
                <w:sz w:val="14"/>
                <w:szCs w:val="14"/>
                <w:b w:val="1"/>
                <w:bCs w:val="1"/>
                <w:color w:val="auto"/>
                <w:w w:val="83"/>
              </w:rPr>
              <w:t>(Decrease)</w:t>
            </w:r>
          </w:p>
        </w:tc>
        <w:tc>
          <w:tcPr>
            <w:tcW w:w="86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0"/>
        </w:trPr>
        <w:tc>
          <w:tcPr>
            <w:tcW w:w="39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46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8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20" w:type="dxa"/>
            <w:vAlign w:val="bottom"/>
            <w:gridSpan w:val="2"/>
            <w:vMerge w:val="continue"/>
            <w:shd w:val="clear" w:color="auto" w:fill="CCEEFF"/>
          </w:tcPr>
          <w:p>
            <w:pPr>
              <w:spacing w:after="0"/>
              <w:rPr>
                <w:sz w:val="17"/>
                <w:szCs w:val="17"/>
                <w:color w:val="auto"/>
              </w:rPr>
            </w:pPr>
          </w:p>
        </w:tc>
        <w:tc>
          <w:tcPr>
            <w:tcW w:w="146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45.6</w:t>
            </w:r>
          </w:p>
        </w:tc>
        <w:tc>
          <w:tcPr>
            <w:tcW w:w="68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40.4</w:t>
            </w: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5.2</w:t>
            </w:r>
          </w:p>
        </w:tc>
        <w:tc>
          <w:tcPr>
            <w:tcW w:w="68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increase in selling, general and administrative (SG&amp;A) expenses of $5.2 million in the third quarter of fiscal year 2012 compared to the third quarter of fiscal year 2011 was primarily attributable to higher support costs of $2.7 million and higher selling costs of $2.1 million. Of the higher support costs, $1.4 million related to our government systems segment and $1.2 million related to our commercial networks segment. Of the higher selling costs, $1.0 million related to our commercial networks segment and $0.9 million related to our government systems segment. SG&amp;A expenses consisted primarily of personnel costs, business development expenses, marketing and sales, bids and proposals, facilities, finance, contract administration and general management. Some SG&amp;A expenses are difficult to predict and vary based on specific government, commercial and satellite service sales opportunities.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Independent research and development</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75"/>
        </w:trPr>
        <w:tc>
          <w:tcPr>
            <w:tcW w:w="200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jc w:val="right"/>
              <w:ind w:right="202"/>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Borders>
              <w:bottom w:val="single" w:sz="8" w:color="auto"/>
            </w:tcBorders>
          </w:tcPr>
          <w:p>
            <w:pPr>
              <w:spacing w:after="0"/>
              <w:rPr>
                <w:sz w:val="15"/>
                <w:szCs w:val="15"/>
                <w:color w:val="auto"/>
              </w:rPr>
            </w:pPr>
          </w:p>
        </w:tc>
        <w:tc>
          <w:tcPr>
            <w:tcW w:w="680" w:type="dxa"/>
            <w:vAlign w:val="bottom"/>
          </w:tcPr>
          <w:p>
            <w:pPr>
              <w:spacing w:after="0"/>
              <w:rPr>
                <w:sz w:val="15"/>
                <w:szCs w:val="15"/>
                <w:color w:val="auto"/>
              </w:rPr>
            </w:pPr>
          </w:p>
        </w:tc>
        <w:tc>
          <w:tcPr>
            <w:tcW w:w="1280" w:type="dxa"/>
            <w:vAlign w:val="bottom"/>
            <w:gridSpan w:val="2"/>
            <w:vMerge w:val="restart"/>
          </w:tcPr>
          <w:p>
            <w:pPr>
              <w:jc w:val="center"/>
              <w:ind w:right="680"/>
              <w:spacing w:after="0"/>
              <w:rPr>
                <w:sz w:val="20"/>
                <w:szCs w:val="20"/>
                <w:color w:val="auto"/>
              </w:rPr>
            </w:pPr>
            <w:r>
              <w:rPr>
                <w:rFonts w:ascii="Arial" w:cs="Arial" w:eastAsia="Arial" w:hAnsi="Arial"/>
                <w:sz w:val="14"/>
                <w:szCs w:val="14"/>
                <w:b w:val="1"/>
                <w:bCs w:val="1"/>
                <w:color w:val="auto"/>
                <w:w w:val="90"/>
              </w:rPr>
              <w:t>Dollar</w:t>
            </w: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48"/>
        </w:trPr>
        <w:tc>
          <w:tcPr>
            <w:tcW w:w="2000" w:type="dxa"/>
            <w:vAlign w:val="bottom"/>
          </w:tcPr>
          <w:p>
            <w:pPr>
              <w:spacing w:after="0"/>
              <w:rPr>
                <w:sz w:val="4"/>
                <w:szCs w:val="4"/>
                <w:color w:val="auto"/>
              </w:rPr>
            </w:pPr>
          </w:p>
        </w:tc>
        <w:tc>
          <w:tcPr>
            <w:tcW w:w="33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4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360" w:type="dxa"/>
            <w:vAlign w:val="bottom"/>
            <w:vMerge w:val="restart"/>
          </w:tcPr>
          <w:p>
            <w:pPr>
              <w:spacing w:after="0"/>
              <w:rPr>
                <w:sz w:val="12"/>
                <w:szCs w:val="12"/>
                <w:color w:val="auto"/>
              </w:rPr>
            </w:pPr>
          </w:p>
        </w:tc>
        <w:tc>
          <w:tcPr>
            <w:tcW w:w="8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3"/>
              </w:rPr>
              <w:t>December 30,</w:t>
            </w:r>
          </w:p>
        </w:tc>
        <w:tc>
          <w:tcPr>
            <w:tcW w:w="680" w:type="dxa"/>
            <w:vAlign w:val="bottom"/>
          </w:tcPr>
          <w:p>
            <w:pPr>
              <w:spacing w:after="0"/>
              <w:rPr>
                <w:sz w:val="12"/>
                <w:szCs w:val="12"/>
                <w:color w:val="auto"/>
              </w:rPr>
            </w:pP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680" w:type="dxa"/>
            <w:vAlign w:val="bottom"/>
          </w:tcPr>
          <w:p>
            <w:pPr>
              <w:spacing w:after="0"/>
              <w:rPr>
                <w:sz w:val="12"/>
                <w:szCs w:val="12"/>
                <w:color w:val="auto"/>
              </w:rPr>
            </w:pPr>
          </w:p>
        </w:tc>
        <w:tc>
          <w:tcPr>
            <w:tcW w:w="12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4"/>
              </w:rPr>
              <w:t>Increase</w:t>
            </w: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33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186"/>
              <w:spacing w:after="0" w:line="148" w:lineRule="exact"/>
              <w:rPr>
                <w:sz w:val="20"/>
                <w:szCs w:val="20"/>
                <w:color w:val="auto"/>
              </w:rPr>
            </w:pPr>
            <w:r>
              <w:rPr>
                <w:rFonts w:ascii="Arial" w:cs="Arial" w:eastAsia="Arial" w:hAnsi="Arial"/>
                <w:sz w:val="14"/>
                <w:szCs w:val="14"/>
                <w:b w:val="1"/>
                <w:bCs w:val="1"/>
                <w:color w:val="auto"/>
              </w:rPr>
              <w:t>2011</w:t>
            </w:r>
          </w:p>
        </w:tc>
        <w:tc>
          <w:tcPr>
            <w:tcW w:w="124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rPr>
              <w:t>2010</w:t>
            </w: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80" w:type="dxa"/>
            <w:vAlign w:val="bottom"/>
            <w:gridSpan w:val="2"/>
          </w:tcPr>
          <w:p>
            <w:pPr>
              <w:jc w:val="center"/>
              <w:ind w:right="680"/>
              <w:spacing w:after="0" w:line="148" w:lineRule="exact"/>
              <w:rPr>
                <w:sz w:val="20"/>
                <w:szCs w:val="20"/>
                <w:color w:val="auto"/>
              </w:rPr>
            </w:pPr>
            <w:r>
              <w:rPr>
                <w:rFonts w:ascii="Arial" w:cs="Arial" w:eastAsia="Arial" w:hAnsi="Arial"/>
                <w:sz w:val="14"/>
                <w:szCs w:val="14"/>
                <w:b w:val="1"/>
                <w:bCs w:val="1"/>
                <w:color w:val="auto"/>
                <w:w w:val="83"/>
              </w:rPr>
              <w:t>(Decrease)</w:t>
            </w:r>
          </w:p>
        </w:tc>
        <w:tc>
          <w:tcPr>
            <w:tcW w:w="90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0"/>
        </w:trPr>
        <w:tc>
          <w:tcPr>
            <w:tcW w:w="53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Independent research and development</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8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6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6.0</w:t>
            </w:r>
          </w:p>
        </w:tc>
        <w:tc>
          <w:tcPr>
            <w:tcW w:w="680" w:type="dxa"/>
            <w:vAlign w:val="bottom"/>
            <w:vMerge w:val="continue"/>
            <w:shd w:val="clear" w:color="auto" w:fill="CCEEFF"/>
          </w:tcPr>
          <w:p>
            <w:pPr>
              <w:spacing w:after="0"/>
              <w:rPr>
                <w:sz w:val="17"/>
                <w:szCs w:val="17"/>
                <w:color w:val="auto"/>
              </w:rPr>
            </w:pPr>
          </w:p>
        </w:tc>
        <w:tc>
          <w:tcPr>
            <w:tcW w:w="5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6.7</w:t>
            </w:r>
          </w:p>
        </w:tc>
        <w:tc>
          <w:tcPr>
            <w:tcW w:w="680" w:type="dxa"/>
            <w:vAlign w:val="bottom"/>
            <w:vMerge w:val="continue"/>
            <w:shd w:val="clear" w:color="auto" w:fill="CCEEFF"/>
          </w:tcPr>
          <w:p>
            <w:pPr>
              <w:spacing w:after="0"/>
              <w:rPr>
                <w:sz w:val="17"/>
                <w:szCs w:val="17"/>
                <w:color w:val="auto"/>
              </w:rPr>
            </w:pPr>
          </w:p>
        </w:tc>
        <w:tc>
          <w:tcPr>
            <w:tcW w:w="6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6"/>
              </w:rPr>
              <w:t>$   (0.7)</w:t>
            </w:r>
          </w:p>
        </w:tc>
        <w:tc>
          <w:tcPr>
            <w:tcW w:w="68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decrease in IR&amp;D expenses of approximately $0.7 million in the third quarter of fiscal year 2012 compared to the third quarter of fiscal year 2011 was driven primarily by approximately $0.5 million in decreased IR&amp;D efforts in our government systems segment.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acquired intangible assets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amortize our acquired intangible assets from prior acquisitions over their estimated useful lives ranging from eight months to ten years. The decrease in amortization of approximately $0.2 million in the third quarter of fiscal year 2012 compared to the same period last fiscal year is a result of certain acquired technology intangibles in our commercial networks and government systems segments becoming fully amortized over the preceding twelve months. Current and expected amortization expense for acquired intangible assets for each of the following periods is as follows:</w:t>
      </w:r>
    </w:p>
    <w:p>
      <w:pPr>
        <w:spacing w:after="0" w:line="149"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r>
      <w:tr>
        <w:trPr>
          <w:trHeight w:val="142"/>
        </w:trPr>
        <w:tc>
          <w:tcPr>
            <w:tcW w:w="6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2"/>
              </w:rPr>
              <w:t>(In thousands)</w:t>
            </w:r>
          </w:p>
        </w:tc>
        <w:tc>
          <w:tcPr>
            <w:tcW w:w="100" w:type="dxa"/>
            <w:vAlign w:val="bottom"/>
          </w:tcPr>
          <w:p>
            <w:pPr>
              <w:spacing w:after="0"/>
              <w:rPr>
                <w:sz w:val="12"/>
                <w:szCs w:val="12"/>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For the nine months ended December 30, 2011</w:t>
            </w:r>
          </w:p>
        </w:tc>
        <w:tc>
          <w:tcPr>
            <w:tcW w:w="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14,291</w:t>
            </w:r>
          </w:p>
        </w:tc>
        <w:tc>
          <w:tcPr>
            <w:tcW w:w="100" w:type="dxa"/>
            <w:vAlign w:val="bottom"/>
            <w:shd w:val="clear" w:color="auto" w:fill="CCEEFF"/>
          </w:tcPr>
          <w:p>
            <w:pPr>
              <w:spacing w:after="0"/>
              <w:rPr>
                <w:sz w:val="18"/>
                <w:szCs w:val="18"/>
                <w:color w:val="auto"/>
              </w:rPr>
            </w:pPr>
          </w:p>
        </w:tc>
      </w:tr>
      <w:tr>
        <w:trPr>
          <w:trHeight w:val="322"/>
        </w:trPr>
        <w:tc>
          <w:tcPr>
            <w:tcW w:w="6820" w:type="dxa"/>
            <w:vAlign w:val="bottom"/>
          </w:tcPr>
          <w:p>
            <w:pPr>
              <w:spacing w:after="0"/>
              <w:rPr>
                <w:sz w:val="20"/>
                <w:szCs w:val="20"/>
                <w:color w:val="auto"/>
              </w:rPr>
            </w:pPr>
            <w:r>
              <w:rPr>
                <w:rFonts w:ascii="Arial" w:cs="Arial" w:eastAsia="Arial" w:hAnsi="Arial"/>
                <w:sz w:val="18"/>
                <w:szCs w:val="18"/>
                <w:color w:val="auto"/>
              </w:rPr>
              <w:t>Expected for the remainder of fiscal year 2012</w:t>
            </w:r>
          </w:p>
        </w:tc>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4,427</w:t>
            </w:r>
          </w:p>
        </w:tc>
        <w:tc>
          <w:tcPr>
            <w:tcW w:w="100" w:type="dxa"/>
            <w:vAlign w:val="bottom"/>
          </w:tcPr>
          <w:p>
            <w:pPr>
              <w:spacing w:after="0"/>
              <w:rPr>
                <w:sz w:val="24"/>
                <w:szCs w:val="24"/>
                <w:color w:val="auto"/>
              </w:rPr>
            </w:pPr>
          </w:p>
        </w:tc>
      </w:tr>
      <w:tr>
        <w:trPr>
          <w:trHeight w:val="218"/>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15,527</w:t>
            </w: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Expected for fiscal year 2014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13,784</w:t>
            </w: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13,708</w:t>
            </w: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Expected for fiscal year 2016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10,173</w:t>
            </w: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9,607</w:t>
            </w:r>
          </w:p>
        </w:tc>
        <w:tc>
          <w:tcPr>
            <w:tcW w:w="100" w:type="dxa"/>
            <w:vAlign w:val="bottom"/>
            <w:shd w:val="clear" w:color="auto" w:fill="CCEEFF"/>
          </w:tcPr>
          <w:p>
            <w:pPr>
              <w:spacing w:after="0"/>
              <w:rPr>
                <w:sz w:val="18"/>
                <w:szCs w:val="18"/>
                <w:color w:val="auto"/>
              </w:rPr>
            </w:pPr>
          </w:p>
        </w:tc>
      </w:tr>
      <w:tr>
        <w:trPr>
          <w:trHeight w:val="222"/>
        </w:trPr>
        <w:tc>
          <w:tcPr>
            <w:tcW w:w="6820" w:type="dxa"/>
            <w:vAlign w:val="bottom"/>
          </w:tcPr>
          <w:p>
            <w:pPr>
              <w:spacing w:after="0"/>
              <w:rPr>
                <w:sz w:val="19"/>
                <w:szCs w:val="19"/>
                <w:color w:val="auto"/>
              </w:rPr>
            </w:pPr>
          </w:p>
        </w:tc>
        <w:tc>
          <w:tcPr>
            <w:tcW w:w="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67,226</w:t>
            </w:r>
          </w:p>
        </w:tc>
        <w:tc>
          <w:tcPr>
            <w:tcW w:w="100" w:type="dxa"/>
            <w:vAlign w:val="bottom"/>
          </w:tcPr>
          <w:p>
            <w:pPr>
              <w:spacing w:after="0"/>
              <w:rPr>
                <w:sz w:val="19"/>
                <w:szCs w:val="19"/>
                <w:color w:val="auto"/>
              </w:rPr>
            </w:pPr>
          </w:p>
        </w:tc>
      </w:tr>
      <w:tr>
        <w:trPr>
          <w:trHeight w:val="20"/>
        </w:trPr>
        <w:tc>
          <w:tcPr>
            <w:tcW w:w="6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9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Interest income in the three months ended December 30, 2011 compared to the three months ended December 31, 2010 decreased slightly as we experienced similar average interest rates on our investments but lower average invested cash balances during the third quarter of fiscal year 2012 compared to the same period last fiscal year.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380" w:firstLine="456"/>
        <w:spacing w:after="0" w:line="298" w:lineRule="auto"/>
        <w:rPr>
          <w:sz w:val="20"/>
          <w:szCs w:val="20"/>
          <w:color w:val="auto"/>
        </w:rPr>
      </w:pPr>
      <w:r>
        <w:rPr>
          <w:rFonts w:ascii="Arial" w:cs="Arial" w:eastAsia="Arial" w:hAnsi="Arial"/>
          <w:sz w:val="16"/>
          <w:szCs w:val="16"/>
          <w:color w:val="auto"/>
        </w:rPr>
        <w:t>The increase in interest expense from the third quarter of fiscal year 2011 to the third quarter of fiscal year 2012 of $0.3 million was primarily due to a slightly higher average outstanding balance under our revolving credit facility (the Credit Facility). For the three months ended December 30, 2011 and December 31, 2010, we capitalized interest expense of approximately $8.1 million and $7.8 million, respectively. Interest expense incurred during the three months ended December 30, 2011 and December 31, 2010 related to our 8.875% Senior Notes due 2016 (the Notes) and the Credit Facility.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Benefit from income taxes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For the three months ended December 30, 2011, we recorded an income tax benefit of $3.6 million. Ordinarily, the effective tax rate at the end of an interim period is calculated using an estimate of the annual effective tax rate expected to be applicable for the full fiscal year. However, when a reliable estimate cannot be made, we compute our provision for income taxes using the actual effective tax rate for the year-to-date. For the nine months ended December 30, 2011, we used the actual effective year-to-date tax rate in calculating the income tax benefit for that period since a reliable estimate of the annual effective tax rate could not be made. The income tax benefit for the six months ended September 30, 2011 had previously been calculated using as estimate of the annual effective rate for the full fiscal year.</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for the Three Months Ended December 30, 2011 vs. Three Months Ended December 31, 2010</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systems segment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5"/>
          </w:tcPr>
          <w:p>
            <w:pPr>
              <w:jc w:val="right"/>
              <w:ind w:right="397"/>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w w:val="90"/>
              </w:rPr>
              <w:t>Dollar</w:t>
            </w:r>
          </w:p>
        </w:tc>
        <w:tc>
          <w:tcPr>
            <w:tcW w:w="12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980" w:type="dxa"/>
            <w:vAlign w:val="bottom"/>
          </w:tcPr>
          <w:p>
            <w:pPr>
              <w:spacing w:after="0"/>
              <w:rPr>
                <w:sz w:val="4"/>
                <w:szCs w:val="4"/>
                <w:color w:val="auto"/>
              </w:rPr>
            </w:pPr>
          </w:p>
        </w:tc>
        <w:tc>
          <w:tcPr>
            <w:tcW w:w="3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22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280" w:type="dxa"/>
            <w:vAlign w:val="bottom"/>
          </w:tcPr>
          <w:p>
            <w:pPr>
              <w:spacing w:after="0"/>
              <w:rPr>
                <w:sz w:val="12"/>
                <w:szCs w:val="12"/>
                <w:color w:val="auto"/>
              </w:rPr>
            </w:pPr>
          </w:p>
        </w:tc>
        <w:tc>
          <w:tcPr>
            <w:tcW w:w="1100" w:type="dxa"/>
            <w:vAlign w:val="bottom"/>
            <w:gridSpan w:val="3"/>
          </w:tcPr>
          <w:p>
            <w:pPr>
              <w:jc w:val="right"/>
              <w:ind w:right="300"/>
              <w:spacing w:after="0" w:line="149" w:lineRule="exact"/>
              <w:rPr>
                <w:sz w:val="20"/>
                <w:szCs w:val="20"/>
                <w:color w:val="auto"/>
              </w:rPr>
            </w:pPr>
            <w:r>
              <w:rPr>
                <w:rFonts w:ascii="Arial" w:cs="Arial" w:eastAsia="Arial" w:hAnsi="Arial"/>
                <w:sz w:val="14"/>
                <w:szCs w:val="14"/>
                <w:b w:val="1"/>
                <w:bCs w:val="1"/>
                <w:color w:val="auto"/>
                <w:w w:val="85"/>
              </w:rPr>
              <w:t>December 30,</w:t>
            </w:r>
          </w:p>
        </w:tc>
        <w:tc>
          <w:tcPr>
            <w:tcW w:w="300" w:type="dxa"/>
            <w:vAlign w:val="bottom"/>
          </w:tcPr>
          <w:p>
            <w:pPr>
              <w:spacing w:after="0"/>
              <w:rPr>
                <w:sz w:val="12"/>
                <w:szCs w:val="12"/>
                <w:color w:val="auto"/>
              </w:rPr>
            </w:pP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580" w:type="dxa"/>
            <w:vAlign w:val="bottom"/>
          </w:tcPr>
          <w:p>
            <w:pPr>
              <w:spacing w:after="0"/>
              <w:rPr>
                <w:sz w:val="12"/>
                <w:szCs w:val="12"/>
                <w:color w:val="auto"/>
              </w:rPr>
            </w:pPr>
          </w:p>
        </w:tc>
        <w:tc>
          <w:tcPr>
            <w:tcW w:w="12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Increase</w:t>
            </w: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3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180"/>
              <w:spacing w:after="0" w:line="148" w:lineRule="exact"/>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177"/>
              <w:spacing w:after="0" w:line="148" w:lineRule="exact"/>
              <w:rPr>
                <w:sz w:val="20"/>
                <w:szCs w:val="20"/>
                <w:color w:val="auto"/>
              </w:rPr>
            </w:pPr>
            <w:r>
              <w:rPr>
                <w:rFonts w:ascii="Arial" w:cs="Arial" w:eastAsia="Arial" w:hAnsi="Arial"/>
                <w:sz w:val="14"/>
                <w:szCs w:val="14"/>
                <w:b w:val="1"/>
                <w:bCs w:val="1"/>
                <w:color w:val="auto"/>
              </w:rPr>
              <w:t>2010</w:t>
            </w:r>
          </w:p>
        </w:tc>
        <w:tc>
          <w:tcPr>
            <w:tcW w:w="580" w:type="dxa"/>
            <w:vAlign w:val="bottom"/>
          </w:tcPr>
          <w:p>
            <w:pPr>
              <w:spacing w:after="0"/>
              <w:rPr>
                <w:sz w:val="12"/>
                <w:szCs w:val="12"/>
                <w:color w:val="auto"/>
              </w:rPr>
            </w:pPr>
          </w:p>
        </w:tc>
        <w:tc>
          <w:tcPr>
            <w:tcW w:w="122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(Decrease)</w:t>
            </w:r>
          </w:p>
        </w:tc>
        <w:tc>
          <w:tcPr>
            <w:tcW w:w="1220" w:type="dxa"/>
            <w:vAlign w:val="bottom"/>
            <w:gridSpan w:val="2"/>
          </w:tcPr>
          <w:p>
            <w:pPr>
              <w:jc w:val="right"/>
              <w:ind w:right="580"/>
              <w:spacing w:after="0" w:line="148" w:lineRule="exact"/>
              <w:rPr>
                <w:sz w:val="20"/>
                <w:szCs w:val="20"/>
                <w:color w:val="auto"/>
              </w:rPr>
            </w:pPr>
            <w:r>
              <w:rPr>
                <w:rFonts w:ascii="Arial" w:cs="Arial" w:eastAsia="Arial" w:hAnsi="Arial"/>
                <w:sz w:val="14"/>
                <w:szCs w:val="14"/>
                <w:b w:val="1"/>
                <w:bCs w:val="1"/>
                <w:color w:val="auto"/>
                <w:w w:val="86"/>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Product revenues</w:t>
            </w:r>
          </w:p>
        </w:tc>
        <w:tc>
          <w:tcPr>
            <w:tcW w:w="328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328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72.0</w:t>
            </w:r>
          </w:p>
        </w:tc>
        <w:tc>
          <w:tcPr>
            <w:tcW w:w="300" w:type="dxa"/>
            <w:vAlign w:val="bottom"/>
            <w:vMerge w:val="continue"/>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89.6</w:t>
            </w:r>
          </w:p>
        </w:tc>
        <w:tc>
          <w:tcPr>
            <w:tcW w:w="5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(17.6)</w:t>
            </w:r>
          </w:p>
        </w:tc>
        <w:tc>
          <w:tcPr>
            <w:tcW w:w="600" w:type="dxa"/>
            <w:vAlign w:val="bottom"/>
            <w:vMerge w:val="continue"/>
            <w:shd w:val="clear" w:color="auto" w:fill="CCEEFF"/>
          </w:tcPr>
          <w:p>
            <w:pPr>
              <w:spacing w:after="0"/>
              <w:rPr>
                <w:sz w:val="17"/>
                <w:szCs w:val="17"/>
                <w:color w:val="auto"/>
              </w:rPr>
            </w:pPr>
          </w:p>
        </w:tc>
        <w:tc>
          <w:tcPr>
            <w:tcW w:w="1220" w:type="dxa"/>
            <w:vAlign w:val="bottom"/>
            <w:gridSpan w:val="2"/>
            <w:shd w:val="clear" w:color="auto" w:fill="CCEEFF"/>
          </w:tcPr>
          <w:p>
            <w:pPr>
              <w:jc w:val="right"/>
              <w:ind w:right="360"/>
              <w:spacing w:after="0" w:line="203" w:lineRule="exact"/>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Service revenues</w:t>
            </w:r>
          </w:p>
        </w:tc>
        <w:tc>
          <w:tcPr>
            <w:tcW w:w="3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22.8</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7.9</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14.9</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188.2%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2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94.9</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7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(2.7)</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revenue in our government systems segment decreased approximately $2.7 million in the third quarter of fiscal year 2012 compared to the same period last fiscal year, primarily due to a decrease in product revenues of $17.6 million, offset by an increase in service revenues of $14.9 million. The product revenue decrease in our government systems segment was primarily from decreases of $12.4 million in information assurance products and $4.4 million in tactical data link products. The service revenue increase in our government systems segment was primarily due to service revenue increases of $11.0 million in government satellite communication systems services, $2.5 million in information assurance services and $0.9 million in tactical data link services.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profit</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75"/>
        </w:trPr>
        <w:tc>
          <w:tcPr>
            <w:tcW w:w="20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w w:val="88"/>
              </w:rPr>
              <w:t>Three Months Ended</w:t>
            </w:r>
          </w:p>
        </w:tc>
        <w:tc>
          <w:tcPr>
            <w:tcW w:w="520" w:type="dxa"/>
            <w:vAlign w:val="bottom"/>
            <w:tcBorders>
              <w:bottom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vMerge w:val="restart"/>
          </w:tcPr>
          <w:p>
            <w:pPr>
              <w:jc w:val="center"/>
              <w:ind w:right="720"/>
              <w:spacing w:after="0"/>
              <w:rPr>
                <w:sz w:val="20"/>
                <w:szCs w:val="20"/>
                <w:color w:val="auto"/>
              </w:rPr>
            </w:pPr>
            <w:r>
              <w:rPr>
                <w:rFonts w:ascii="Arial" w:cs="Arial" w:eastAsia="Arial" w:hAnsi="Arial"/>
                <w:sz w:val="14"/>
                <w:szCs w:val="14"/>
                <w:b w:val="1"/>
                <w:bCs w:val="1"/>
                <w:color w:val="auto"/>
                <w:w w:val="95"/>
              </w:rPr>
              <w:t>Dollar</w:t>
            </w:r>
          </w:p>
        </w:tc>
        <w:tc>
          <w:tcPr>
            <w:tcW w:w="1220" w:type="dxa"/>
            <w:vAlign w:val="bottom"/>
            <w:gridSpan w:val="2"/>
          </w:tcPr>
          <w:p>
            <w:pPr>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48"/>
        </w:trPr>
        <w:tc>
          <w:tcPr>
            <w:tcW w:w="200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5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4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1640" w:type="dxa"/>
            <w:vAlign w:val="bottom"/>
            <w:vMerge w:val="restart"/>
          </w:tcPr>
          <w:p>
            <w:pPr>
              <w:spacing w:after="0"/>
              <w:rPr>
                <w:sz w:val="12"/>
                <w:szCs w:val="12"/>
                <w:color w:val="auto"/>
              </w:rPr>
            </w:pPr>
          </w:p>
        </w:tc>
        <w:tc>
          <w:tcPr>
            <w:tcW w:w="1380" w:type="dxa"/>
            <w:vAlign w:val="bottom"/>
          </w:tcPr>
          <w:p>
            <w:pPr>
              <w:spacing w:after="0"/>
              <w:rPr>
                <w:sz w:val="12"/>
                <w:szCs w:val="12"/>
                <w:color w:val="auto"/>
              </w:rPr>
            </w:pPr>
          </w:p>
        </w:tc>
        <w:tc>
          <w:tcPr>
            <w:tcW w:w="15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30,</w:t>
            </w: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2"/>
                <w:szCs w:val="12"/>
                <w:color w:val="auto"/>
              </w:rPr>
            </w:pPr>
          </w:p>
        </w:tc>
        <w:tc>
          <w:tcPr>
            <w:tcW w:w="124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84"/>
              </w:rPr>
              <w:t>Increase</w:t>
            </w: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1640" w:type="dxa"/>
            <w:vAlign w:val="bottom"/>
            <w:vMerge w:val="continue"/>
          </w:tcPr>
          <w:p>
            <w:pPr>
              <w:spacing w:after="0"/>
              <w:rPr>
                <w:sz w:val="12"/>
                <w:szCs w:val="12"/>
                <w:color w:val="auto"/>
              </w:rPr>
            </w:pPr>
          </w:p>
        </w:tc>
        <w:tc>
          <w:tcPr>
            <w:tcW w:w="1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202"/>
              <w:spacing w:after="0" w:line="148" w:lineRule="exact"/>
              <w:rPr>
                <w:sz w:val="20"/>
                <w:szCs w:val="20"/>
                <w:color w:val="auto"/>
              </w:rPr>
            </w:pPr>
            <w:r>
              <w:rPr>
                <w:rFonts w:ascii="Arial" w:cs="Arial" w:eastAsia="Arial" w:hAnsi="Arial"/>
                <w:sz w:val="14"/>
                <w:szCs w:val="14"/>
                <w:b w:val="1"/>
                <w:bCs w:val="1"/>
                <w:color w:val="auto"/>
              </w:rPr>
              <w:t>2011</w:t>
            </w: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jc w:val="right"/>
              <w:ind w:right="179"/>
              <w:spacing w:after="0" w:line="148" w:lineRule="exact"/>
              <w:rPr>
                <w:sz w:val="20"/>
                <w:szCs w:val="20"/>
                <w:color w:val="auto"/>
              </w:rPr>
            </w:pPr>
            <w:r>
              <w:rPr>
                <w:rFonts w:ascii="Arial" w:cs="Arial" w:eastAsia="Arial" w:hAnsi="Arial"/>
                <w:sz w:val="14"/>
                <w:szCs w:val="14"/>
                <w:b w:val="1"/>
                <w:bCs w:val="1"/>
                <w:color w:val="auto"/>
                <w:w w:val="76"/>
              </w:rPr>
              <w:t>2010</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3"/>
          </w:tcPr>
          <w:p>
            <w:pPr>
              <w:jc w:val="center"/>
              <w:ind w:right="640"/>
              <w:spacing w:after="0" w:line="148" w:lineRule="exact"/>
              <w:rPr>
                <w:sz w:val="20"/>
                <w:szCs w:val="20"/>
                <w:color w:val="auto"/>
              </w:rPr>
            </w:pPr>
            <w:r>
              <w:rPr>
                <w:rFonts w:ascii="Arial" w:cs="Arial" w:eastAsia="Arial" w:hAnsi="Arial"/>
                <w:sz w:val="14"/>
                <w:szCs w:val="14"/>
                <w:b w:val="1"/>
                <w:bCs w:val="1"/>
                <w:color w:val="auto"/>
                <w:w w:val="83"/>
              </w:rPr>
              <w:t>(Decrease)</w:t>
            </w:r>
          </w:p>
        </w:tc>
        <w:tc>
          <w:tcPr>
            <w:tcW w:w="122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0"/>
        </w:trPr>
        <w:tc>
          <w:tcPr>
            <w:tcW w:w="36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138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2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40" w:type="dxa"/>
            <w:vAlign w:val="bottom"/>
            <w:gridSpan w:val="2"/>
            <w:vMerge w:val="continue"/>
            <w:shd w:val="clear" w:color="auto" w:fill="CCEEFF"/>
          </w:tcPr>
          <w:p>
            <w:pPr>
              <w:spacing w:after="0"/>
              <w:rPr>
                <w:sz w:val="17"/>
                <w:szCs w:val="17"/>
                <w:color w:val="auto"/>
              </w:rPr>
            </w:pPr>
          </w:p>
        </w:tc>
        <w:tc>
          <w:tcPr>
            <w:tcW w:w="138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00"/>
              <w:spacing w:after="0" w:line="203" w:lineRule="exact"/>
              <w:rPr>
                <w:sz w:val="20"/>
                <w:szCs w:val="20"/>
                <w:color w:val="auto"/>
              </w:rPr>
            </w:pPr>
            <w:r>
              <w:rPr>
                <w:rFonts w:ascii="Arial" w:cs="Arial" w:eastAsia="Arial" w:hAnsi="Arial"/>
                <w:sz w:val="18"/>
                <w:szCs w:val="18"/>
                <w:color w:val="auto"/>
                <w:w w:val="85"/>
              </w:rPr>
              <w:t>13.1</w:t>
            </w:r>
          </w:p>
        </w:tc>
        <w:tc>
          <w:tcPr>
            <w:tcW w:w="720" w:type="dxa"/>
            <w:vAlign w:val="bottom"/>
            <w:vMerge w:val="continue"/>
            <w:shd w:val="clear" w:color="auto" w:fill="CCEEFF"/>
          </w:tcPr>
          <w:p>
            <w:pPr>
              <w:spacing w:after="0"/>
              <w:rPr>
                <w:sz w:val="17"/>
                <w:szCs w:val="17"/>
                <w:color w:val="auto"/>
              </w:rPr>
            </w:pPr>
          </w:p>
        </w:tc>
        <w:tc>
          <w:tcPr>
            <w:tcW w:w="2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ind w:left="300"/>
              <w:spacing w:after="0" w:line="203" w:lineRule="exact"/>
              <w:rPr>
                <w:sz w:val="20"/>
                <w:szCs w:val="20"/>
                <w:color w:val="auto"/>
              </w:rPr>
            </w:pPr>
            <w:r>
              <w:rPr>
                <w:rFonts w:ascii="Arial" w:cs="Arial" w:eastAsia="Arial" w:hAnsi="Arial"/>
                <w:sz w:val="18"/>
                <w:szCs w:val="18"/>
                <w:color w:val="auto"/>
                <w:w w:val="79"/>
              </w:rPr>
              <w:t>8.2</w:t>
            </w:r>
          </w:p>
        </w:tc>
        <w:tc>
          <w:tcPr>
            <w:tcW w:w="440" w:type="dxa"/>
            <w:vAlign w:val="bottom"/>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4.9</w:t>
            </w:r>
          </w:p>
        </w:tc>
        <w:tc>
          <w:tcPr>
            <w:tcW w:w="620" w:type="dxa"/>
            <w:vAlign w:val="bottom"/>
            <w:vMerge w:val="continue"/>
            <w:shd w:val="clear" w:color="auto" w:fill="CCEEFF"/>
          </w:tcPr>
          <w:p>
            <w:pPr>
              <w:spacing w:after="0"/>
              <w:rPr>
                <w:sz w:val="17"/>
                <w:szCs w:val="17"/>
                <w:color w:val="auto"/>
              </w:rPr>
            </w:pPr>
          </w:p>
        </w:tc>
        <w:tc>
          <w:tcPr>
            <w:tcW w:w="1220" w:type="dxa"/>
            <w:vAlign w:val="bottom"/>
            <w:gridSpan w:val="2"/>
            <w:shd w:val="clear" w:color="auto" w:fill="CCEEFF"/>
          </w:tcPr>
          <w:p>
            <w:pPr>
              <w:jc w:val="right"/>
              <w:ind w:right="440"/>
              <w:spacing w:after="0" w:line="203" w:lineRule="exact"/>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22"/>
        </w:trPr>
        <w:tc>
          <w:tcPr>
            <w:tcW w:w="364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ind w:left="300"/>
              <w:spacing w:after="0"/>
              <w:rPr>
                <w:sz w:val="20"/>
                <w:szCs w:val="20"/>
                <w:color w:val="auto"/>
              </w:rPr>
            </w:pPr>
            <w:r>
              <w:rPr>
                <w:rFonts w:ascii="Arial" w:cs="Arial" w:eastAsia="Arial" w:hAnsi="Arial"/>
                <w:sz w:val="18"/>
                <w:szCs w:val="18"/>
                <w:color w:val="auto"/>
              </w:rPr>
              <w:t>13.8%</w:t>
            </w:r>
          </w:p>
        </w:tc>
        <w:tc>
          <w:tcPr>
            <w:tcW w:w="260" w:type="dxa"/>
            <w:vAlign w:val="bottom"/>
          </w:tcPr>
          <w:p>
            <w:pPr>
              <w:spacing w:after="0"/>
              <w:rPr>
                <w:sz w:val="19"/>
                <w:szCs w:val="19"/>
                <w:color w:val="auto"/>
              </w:rPr>
            </w:pPr>
          </w:p>
        </w:tc>
        <w:tc>
          <w:tcPr>
            <w:tcW w:w="960" w:type="dxa"/>
            <w:vAlign w:val="bottom"/>
            <w:gridSpan w:val="2"/>
          </w:tcPr>
          <w:p>
            <w:pPr>
              <w:ind w:left="300"/>
              <w:spacing w:after="0"/>
              <w:rPr>
                <w:sz w:val="20"/>
                <w:szCs w:val="20"/>
                <w:color w:val="auto"/>
              </w:rPr>
            </w:pPr>
            <w:r>
              <w:rPr>
                <w:rFonts w:ascii="Arial" w:cs="Arial" w:eastAsia="Arial" w:hAnsi="Arial"/>
                <w:sz w:val="18"/>
                <w:szCs w:val="18"/>
                <w:color w:val="auto"/>
              </w:rPr>
              <w:t>8.4%</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increase in our government systems segment operating profit of $4.9 million during the third quarter of fiscal year 2012 compared to the third quarter of fiscal year 2011 was primarily due to higher earnings contributions of approximately $6.4 million mainly in our government satellite communication systems, offset by higher selling, support and new business proposal costs of approximately $2.0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networks segment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4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5"/>
                <w:szCs w:val="15"/>
                <w:color w:val="auto"/>
              </w:rPr>
            </w:pPr>
          </w:p>
        </w:tc>
        <w:tc>
          <w:tcPr>
            <w:tcW w:w="500" w:type="dxa"/>
            <w:vAlign w:val="bottom"/>
            <w:vMerge w:val="restart"/>
          </w:tcPr>
          <w:p>
            <w:pPr>
              <w:jc w:val="right"/>
              <w:ind w:right="37"/>
              <w:spacing w:after="0"/>
              <w:rPr>
                <w:sz w:val="20"/>
                <w:szCs w:val="20"/>
                <w:color w:val="auto"/>
              </w:rPr>
            </w:pPr>
            <w:r>
              <w:rPr>
                <w:rFonts w:ascii="Arial" w:cs="Arial" w:eastAsia="Arial" w:hAnsi="Arial"/>
                <w:sz w:val="14"/>
                <w:szCs w:val="14"/>
                <w:b w:val="1"/>
                <w:bCs w:val="1"/>
                <w:color w:val="auto"/>
                <w:w w:val="90"/>
              </w:rPr>
              <w:t>Dollar</w:t>
            </w:r>
          </w:p>
        </w:tc>
        <w:tc>
          <w:tcPr>
            <w:tcW w:w="660" w:type="dxa"/>
            <w:vAlign w:val="bottom"/>
          </w:tcPr>
          <w:p>
            <w:pPr>
              <w:spacing w:after="0"/>
              <w:rPr>
                <w:sz w:val="15"/>
                <w:szCs w:val="15"/>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980" w:type="dxa"/>
            <w:vAlign w:val="bottom"/>
          </w:tcPr>
          <w:p>
            <w:pPr>
              <w:spacing w:after="0"/>
              <w:rPr>
                <w:sz w:val="4"/>
                <w:szCs w:val="4"/>
                <w:color w:val="auto"/>
              </w:rPr>
            </w:pPr>
          </w:p>
        </w:tc>
        <w:tc>
          <w:tcPr>
            <w:tcW w:w="3060" w:type="dxa"/>
            <w:vAlign w:val="bottom"/>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126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060" w:type="dxa"/>
            <w:vAlign w:val="bottom"/>
          </w:tcPr>
          <w:p>
            <w:pPr>
              <w:spacing w:after="0"/>
              <w:rPr>
                <w:sz w:val="12"/>
                <w:szCs w:val="12"/>
                <w:color w:val="auto"/>
              </w:rPr>
            </w:pPr>
          </w:p>
        </w:tc>
        <w:tc>
          <w:tcPr>
            <w:tcW w:w="14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30,</w:t>
            </w:r>
          </w:p>
        </w:tc>
        <w:tc>
          <w:tcPr>
            <w:tcW w:w="14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1"/>
              </w:rPr>
              <w:t>Increase</w:t>
            </w:r>
          </w:p>
        </w:tc>
        <w:tc>
          <w:tcPr>
            <w:tcW w:w="6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3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200"/>
              <w:spacing w:after="0" w:line="148" w:lineRule="exact"/>
              <w:rPr>
                <w:sz w:val="20"/>
                <w:szCs w:val="20"/>
                <w:color w:val="auto"/>
              </w:rPr>
            </w:pPr>
            <w:r>
              <w:rPr>
                <w:rFonts w:ascii="Arial" w:cs="Arial" w:eastAsia="Arial" w:hAnsi="Arial"/>
                <w:sz w:val="14"/>
                <w:szCs w:val="14"/>
                <w:b w:val="1"/>
                <w:bCs w:val="1"/>
                <w:color w:val="auto"/>
              </w:rPr>
              <w:t>2011</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177"/>
              <w:spacing w:after="0" w:line="148" w:lineRule="exact"/>
              <w:rPr>
                <w:sz w:val="20"/>
                <w:szCs w:val="20"/>
                <w:color w:val="auto"/>
              </w:rPr>
            </w:pPr>
            <w:r>
              <w:rPr>
                <w:rFonts w:ascii="Arial" w:cs="Arial" w:eastAsia="Arial" w:hAnsi="Arial"/>
                <w:sz w:val="14"/>
                <w:szCs w:val="14"/>
                <w:b w:val="1"/>
                <w:bCs w:val="1"/>
                <w:color w:val="auto"/>
              </w:rPr>
              <w:t>2010</w:t>
            </w:r>
          </w:p>
        </w:tc>
        <w:tc>
          <w:tcPr>
            <w:tcW w:w="660" w:type="dxa"/>
            <w:vAlign w:val="bottom"/>
          </w:tcPr>
          <w:p>
            <w:pPr>
              <w:spacing w:after="0"/>
              <w:rPr>
                <w:sz w:val="12"/>
                <w:szCs w:val="12"/>
                <w:color w:val="auto"/>
              </w:rPr>
            </w:pPr>
          </w:p>
        </w:tc>
        <w:tc>
          <w:tcPr>
            <w:tcW w:w="60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80"/>
              </w:rPr>
              <w:t>(Decrease)</w:t>
            </w:r>
          </w:p>
        </w:tc>
        <w:tc>
          <w:tcPr>
            <w:tcW w:w="660" w:type="dxa"/>
            <w:vAlign w:val="bottom"/>
          </w:tcPr>
          <w:p>
            <w:pPr>
              <w:spacing w:after="0"/>
              <w:rPr>
                <w:sz w:val="12"/>
                <w:szCs w:val="12"/>
                <w:color w:val="auto"/>
              </w:rPr>
            </w:pPr>
          </w:p>
        </w:tc>
        <w:tc>
          <w:tcPr>
            <w:tcW w:w="1260" w:type="dxa"/>
            <w:vAlign w:val="bottom"/>
            <w:gridSpan w:val="2"/>
          </w:tcPr>
          <w:p>
            <w:pPr>
              <w:jc w:val="right"/>
              <w:ind w:right="620"/>
              <w:spacing w:after="0" w:line="148" w:lineRule="exact"/>
              <w:rPr>
                <w:sz w:val="20"/>
                <w:szCs w:val="20"/>
                <w:color w:val="auto"/>
              </w:rPr>
            </w:pPr>
            <w:r>
              <w:rPr>
                <w:rFonts w:ascii="Arial" w:cs="Arial" w:eastAsia="Arial" w:hAnsi="Arial"/>
                <w:sz w:val="14"/>
                <w:szCs w:val="14"/>
                <w:b w:val="1"/>
                <w:bCs w:val="1"/>
                <w:color w:val="auto"/>
                <w:w w:val="86"/>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Product revenues</w:t>
            </w:r>
          </w:p>
        </w:tc>
        <w:tc>
          <w:tcPr>
            <w:tcW w:w="306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306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49.1</w:t>
            </w:r>
          </w:p>
        </w:tc>
        <w:tc>
          <w:tcPr>
            <w:tcW w:w="66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34.8</w:t>
            </w: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14.2</w:t>
            </w:r>
          </w:p>
        </w:tc>
        <w:tc>
          <w:tcPr>
            <w:tcW w:w="660" w:type="dxa"/>
            <w:vAlign w:val="bottom"/>
            <w:vMerge w:val="continue"/>
            <w:shd w:val="clear" w:color="auto" w:fill="CCEEFF"/>
          </w:tcPr>
          <w:p>
            <w:pPr>
              <w:spacing w:after="0"/>
              <w:rPr>
                <w:sz w:val="17"/>
                <w:szCs w:val="17"/>
                <w:color w:val="auto"/>
              </w:rPr>
            </w:pPr>
          </w:p>
        </w:tc>
        <w:tc>
          <w:tcPr>
            <w:tcW w:w="1260" w:type="dxa"/>
            <w:vAlign w:val="bottom"/>
            <w:gridSpan w:val="2"/>
            <w:shd w:val="clear" w:color="auto" w:fill="CCEEFF"/>
          </w:tcPr>
          <w:p>
            <w:pPr>
              <w:jc w:val="right"/>
              <w:ind w:right="460"/>
              <w:spacing w:after="0" w:line="203" w:lineRule="exact"/>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Service revenues</w:t>
            </w:r>
          </w:p>
        </w:tc>
        <w:tc>
          <w:tcPr>
            <w:tcW w:w="30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920" w:type="dxa"/>
            <w:vAlign w:val="bottom"/>
            <w:gridSpan w:val="3"/>
          </w:tcPr>
          <w:p>
            <w:pPr>
              <w:jc w:val="right"/>
              <w:ind w:right="46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240" w:type="dxa"/>
            <w:vAlign w:val="bottom"/>
            <w:gridSpan w:val="2"/>
            <w:shd w:val="clear" w:color="auto" w:fill="CCEEFF"/>
          </w:tcPr>
          <w:p>
            <w:pPr>
              <w:ind w:left="30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54.4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39.0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9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the third quarter of fiscal year 2012 compared to the same period last fiscal year, commercial networks segment revenues increased approximately $15.4 million, primarily due to an increase in product revenues of $14.2 million and an increase in service revenues of approximately $1.2 million. The increase in our commercial networks segment product revenues was primarily derived from increases of $7.3 million in antenna systems products, $4.0 million in satellite payload technology development programs, $3.4 million in consumer broadband products and $2.1 million in mobile broadband satellite communication systems, offset by a decrease of $2.3 million in enterprise VSAT networks and products.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loss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75"/>
        </w:trPr>
        <w:tc>
          <w:tcPr>
            <w:tcW w:w="20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w w:val="89"/>
              </w:rPr>
              <w:t>Three Months Ended</w:t>
            </w:r>
          </w:p>
        </w:tc>
        <w:tc>
          <w:tcPr>
            <w:tcW w:w="560" w:type="dxa"/>
            <w:vAlign w:val="bottom"/>
            <w:tcBorders>
              <w:bottom w:val="single" w:sz="8" w:color="auto"/>
            </w:tcBorders>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gridSpan w:val="2"/>
            <w:vMerge w:val="restart"/>
          </w:tcPr>
          <w:p>
            <w:pPr>
              <w:jc w:val="center"/>
              <w:ind w:right="680"/>
              <w:spacing w:after="0"/>
              <w:rPr>
                <w:sz w:val="20"/>
                <w:szCs w:val="20"/>
                <w:color w:val="auto"/>
              </w:rPr>
            </w:pPr>
            <w:r>
              <w:rPr>
                <w:rFonts w:ascii="Arial" w:cs="Arial" w:eastAsia="Arial" w:hAnsi="Arial"/>
                <w:sz w:val="14"/>
                <w:szCs w:val="14"/>
                <w:b w:val="1"/>
                <w:bCs w:val="1"/>
                <w:color w:val="auto"/>
                <w:w w:val="90"/>
              </w:rPr>
              <w:t>Dollar</w:t>
            </w:r>
          </w:p>
        </w:tc>
        <w:tc>
          <w:tcPr>
            <w:tcW w:w="9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48"/>
        </w:trPr>
        <w:tc>
          <w:tcPr>
            <w:tcW w:w="200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9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4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1720" w:type="dxa"/>
            <w:vAlign w:val="bottom"/>
            <w:vMerge w:val="restart"/>
          </w:tcPr>
          <w:p>
            <w:pPr>
              <w:spacing w:after="0"/>
              <w:rPr>
                <w:sz w:val="12"/>
                <w:szCs w:val="12"/>
                <w:color w:val="auto"/>
              </w:rPr>
            </w:pPr>
          </w:p>
        </w:tc>
        <w:tc>
          <w:tcPr>
            <w:tcW w:w="1440" w:type="dxa"/>
            <w:vAlign w:val="bottom"/>
          </w:tcPr>
          <w:p>
            <w:pPr>
              <w:spacing w:after="0"/>
              <w:rPr>
                <w:sz w:val="12"/>
                <w:szCs w:val="12"/>
                <w:color w:val="auto"/>
              </w:rPr>
            </w:pPr>
          </w:p>
        </w:tc>
        <w:tc>
          <w:tcPr>
            <w:tcW w:w="13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December 30,</w:t>
            </w:r>
          </w:p>
        </w:tc>
        <w:tc>
          <w:tcPr>
            <w:tcW w:w="300" w:type="dxa"/>
            <w:vAlign w:val="bottom"/>
          </w:tcPr>
          <w:p>
            <w:pPr>
              <w:spacing w:after="0"/>
              <w:rPr>
                <w:sz w:val="12"/>
                <w:szCs w:val="12"/>
                <w:color w:val="auto"/>
              </w:rPr>
            </w:pPr>
          </w:p>
        </w:tc>
        <w:tc>
          <w:tcPr>
            <w:tcW w:w="13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2"/>
                <w:szCs w:val="12"/>
                <w:color w:val="auto"/>
              </w:rPr>
            </w:pPr>
          </w:p>
        </w:tc>
        <w:tc>
          <w:tcPr>
            <w:tcW w:w="12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7"/>
              </w:rPr>
              <w:t>(Increase)</w:t>
            </w: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1720" w:type="dxa"/>
            <w:vAlign w:val="bottom"/>
            <w:vMerge w:val="continue"/>
          </w:tcPr>
          <w:p>
            <w:pPr>
              <w:spacing w:after="0"/>
              <w:rPr>
                <w:sz w:val="12"/>
                <w:szCs w:val="12"/>
                <w:color w:val="auto"/>
              </w:rPr>
            </w:pPr>
          </w:p>
        </w:tc>
        <w:tc>
          <w:tcPr>
            <w:tcW w:w="1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182"/>
              <w:spacing w:after="0" w:line="148" w:lineRule="exact"/>
              <w:rPr>
                <w:sz w:val="20"/>
                <w:szCs w:val="20"/>
                <w:color w:val="auto"/>
              </w:rPr>
            </w:pPr>
            <w:r>
              <w:rPr>
                <w:rFonts w:ascii="Arial" w:cs="Arial" w:eastAsia="Arial" w:hAnsi="Arial"/>
                <w:sz w:val="14"/>
                <w:szCs w:val="14"/>
                <w:b w:val="1"/>
                <w:bCs w:val="1"/>
                <w:color w:val="auto"/>
              </w:rPr>
              <w:t>2011</w:t>
            </w: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jc w:val="right"/>
              <w:ind w:right="179"/>
              <w:spacing w:after="0" w:line="148" w:lineRule="exact"/>
              <w:rPr>
                <w:sz w:val="20"/>
                <w:szCs w:val="20"/>
                <w:color w:val="auto"/>
              </w:rPr>
            </w:pPr>
            <w:r>
              <w:rPr>
                <w:rFonts w:ascii="Arial" w:cs="Arial" w:eastAsia="Arial" w:hAnsi="Arial"/>
                <w:sz w:val="14"/>
                <w:szCs w:val="14"/>
                <w:b w:val="1"/>
                <w:bCs w:val="1"/>
                <w:color w:val="auto"/>
                <w:w w:val="89"/>
              </w:rPr>
              <w:t>2010</w:t>
            </w: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2"/>
          </w:tcPr>
          <w:p>
            <w:pPr>
              <w:jc w:val="center"/>
              <w:ind w:right="680"/>
              <w:spacing w:after="0" w:line="148" w:lineRule="exact"/>
              <w:rPr>
                <w:sz w:val="20"/>
                <w:szCs w:val="20"/>
                <w:color w:val="auto"/>
              </w:rPr>
            </w:pPr>
            <w:r>
              <w:rPr>
                <w:rFonts w:ascii="Arial" w:cs="Arial" w:eastAsia="Arial" w:hAnsi="Arial"/>
                <w:sz w:val="14"/>
                <w:szCs w:val="14"/>
                <w:b w:val="1"/>
                <w:bCs w:val="1"/>
                <w:color w:val="auto"/>
                <w:w w:val="83"/>
              </w:rPr>
              <w:t>Decrease</w:t>
            </w:r>
          </w:p>
        </w:tc>
        <w:tc>
          <w:tcPr>
            <w:tcW w:w="900" w:type="dxa"/>
            <w:vAlign w:val="bottom"/>
            <w:gridSpan w:val="2"/>
          </w:tcPr>
          <w:p>
            <w:pPr>
              <w:jc w:val="right"/>
              <w:ind w:right="320"/>
              <w:spacing w:after="0" w:line="148"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0"/>
        </w:trPr>
        <w:tc>
          <w:tcPr>
            <w:tcW w:w="37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44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20" w:type="dxa"/>
            <w:vAlign w:val="bottom"/>
            <w:gridSpan w:val="2"/>
            <w:vMerge w:val="continue"/>
            <w:shd w:val="clear" w:color="auto" w:fill="CCEEFF"/>
          </w:tcPr>
          <w:p>
            <w:pPr>
              <w:spacing w:after="0"/>
              <w:rPr>
                <w:sz w:val="17"/>
                <w:szCs w:val="17"/>
                <w:color w:val="auto"/>
              </w:rPr>
            </w:pPr>
          </w:p>
        </w:tc>
        <w:tc>
          <w:tcPr>
            <w:tcW w:w="144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340"/>
              <w:spacing w:after="0" w:line="203" w:lineRule="exact"/>
              <w:rPr>
                <w:sz w:val="20"/>
                <w:szCs w:val="20"/>
                <w:color w:val="auto"/>
              </w:rPr>
            </w:pPr>
            <w:r>
              <w:rPr>
                <w:rFonts w:ascii="Arial" w:cs="Arial" w:eastAsia="Arial" w:hAnsi="Arial"/>
                <w:sz w:val="18"/>
                <w:szCs w:val="18"/>
                <w:color w:val="auto"/>
              </w:rPr>
              <w:t>(5.2)</w:t>
            </w:r>
          </w:p>
        </w:tc>
        <w:tc>
          <w:tcPr>
            <w:tcW w:w="30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40"/>
              <w:spacing w:after="0" w:line="203" w:lineRule="exact"/>
              <w:rPr>
                <w:sz w:val="20"/>
                <w:szCs w:val="20"/>
                <w:color w:val="auto"/>
              </w:rPr>
            </w:pPr>
            <w:r>
              <w:rPr>
                <w:rFonts w:ascii="Arial" w:cs="Arial" w:eastAsia="Arial" w:hAnsi="Arial"/>
                <w:sz w:val="18"/>
                <w:szCs w:val="18"/>
                <w:color w:val="auto"/>
              </w:rPr>
              <w:t>(4.2)</w:t>
            </w:r>
          </w:p>
        </w:tc>
        <w:tc>
          <w:tcPr>
            <w:tcW w:w="300" w:type="dxa"/>
            <w:vAlign w:val="bottom"/>
            <w:vMerge w:val="continue"/>
            <w:shd w:val="clear" w:color="auto" w:fill="CCEEFF"/>
          </w:tcPr>
          <w:p>
            <w:pPr>
              <w:spacing w:after="0"/>
              <w:rPr>
                <w:sz w:val="17"/>
                <w:szCs w:val="17"/>
                <w:color w:val="auto"/>
              </w:rPr>
            </w:pPr>
          </w:p>
        </w:tc>
        <w:tc>
          <w:tcPr>
            <w:tcW w:w="58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3"/>
              </w:rPr>
              <w:t>$   (1.0)</w:t>
            </w:r>
          </w:p>
        </w:tc>
        <w:tc>
          <w:tcPr>
            <w:tcW w:w="66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22"/>
        </w:trPr>
        <w:tc>
          <w:tcPr>
            <w:tcW w:w="372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ind w:left="340"/>
              <w:spacing w:after="0"/>
              <w:rPr>
                <w:sz w:val="20"/>
                <w:szCs w:val="20"/>
                <w:color w:val="auto"/>
              </w:rPr>
            </w:pPr>
            <w:r>
              <w:rPr>
                <w:rFonts w:ascii="Arial" w:cs="Arial" w:eastAsia="Arial" w:hAnsi="Arial"/>
                <w:sz w:val="18"/>
                <w:szCs w:val="18"/>
                <w:color w:val="auto"/>
              </w:rPr>
              <w:t>(9.5)%</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(10.7)%</w:t>
            </w: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The increase in the commercial networks segment operating loss in the third quarter of fiscal year 2012 compared to the same period last fiscal year was primarily due to an increase in selling, support and new business proposal costs of $2.8 million, offset by higher earnings contributions of approximately $1.6 million from increased revenues and improved margins in our consumer broadband products.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 services segment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4"/>
          </w:tcPr>
          <w:p>
            <w:pPr>
              <w:jc w:val="right"/>
              <w:ind w:right="417"/>
              <w:spacing w:after="0"/>
              <w:rPr>
                <w:sz w:val="20"/>
                <w:szCs w:val="20"/>
                <w:color w:val="auto"/>
              </w:rPr>
            </w:pPr>
            <w:r>
              <w:rPr>
                <w:rFonts w:ascii="Arial" w:cs="Arial" w:eastAsia="Arial" w:hAnsi="Arial"/>
                <w:sz w:val="14"/>
                <w:szCs w:val="14"/>
                <w:b w:val="1"/>
                <w:bCs w:val="1"/>
                <w:color w:val="auto"/>
              </w:rPr>
              <w:t>Three Months Ended</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vMerge w:val="restart"/>
          </w:tcPr>
          <w:p>
            <w:pPr>
              <w:jc w:val="center"/>
              <w:ind w:right="740"/>
              <w:spacing w:after="0"/>
              <w:rPr>
                <w:sz w:val="20"/>
                <w:szCs w:val="20"/>
                <w:color w:val="auto"/>
              </w:rPr>
            </w:pPr>
            <w:r>
              <w:rPr>
                <w:rFonts w:ascii="Arial" w:cs="Arial" w:eastAsia="Arial" w:hAnsi="Arial"/>
                <w:sz w:val="14"/>
                <w:szCs w:val="14"/>
                <w:b w:val="1"/>
                <w:bCs w:val="1"/>
                <w:color w:val="auto"/>
                <w:w w:val="90"/>
              </w:rPr>
              <w:t>Dollar</w:t>
            </w:r>
          </w:p>
        </w:tc>
        <w:tc>
          <w:tcPr>
            <w:tcW w:w="9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980" w:type="dxa"/>
            <w:vAlign w:val="bottom"/>
          </w:tcPr>
          <w:p>
            <w:pPr>
              <w:spacing w:after="0"/>
              <w:rPr>
                <w:sz w:val="4"/>
                <w:szCs w:val="4"/>
                <w:color w:val="auto"/>
              </w:rPr>
            </w:pPr>
          </w:p>
        </w:tc>
        <w:tc>
          <w:tcPr>
            <w:tcW w:w="35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9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520" w:type="dxa"/>
            <w:vAlign w:val="bottom"/>
          </w:tcPr>
          <w:p>
            <w:pPr>
              <w:spacing w:after="0"/>
              <w:rPr>
                <w:sz w:val="12"/>
                <w:szCs w:val="12"/>
                <w:color w:val="auto"/>
              </w:rPr>
            </w:pPr>
          </w:p>
        </w:tc>
        <w:tc>
          <w:tcPr>
            <w:tcW w:w="14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30,</w:t>
            </w: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620" w:type="dxa"/>
            <w:vAlign w:val="bottom"/>
          </w:tcPr>
          <w:p>
            <w:pPr>
              <w:spacing w:after="0"/>
              <w:rPr>
                <w:sz w:val="12"/>
                <w:szCs w:val="12"/>
                <w:color w:val="auto"/>
              </w:rPr>
            </w:pPr>
          </w:p>
        </w:tc>
        <w:tc>
          <w:tcPr>
            <w:tcW w:w="124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84"/>
              </w:rPr>
              <w:t>Increase</w:t>
            </w: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3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200"/>
              <w:spacing w:after="0" w:line="148" w:lineRule="exact"/>
              <w:rPr>
                <w:sz w:val="20"/>
                <w:szCs w:val="20"/>
                <w:color w:val="auto"/>
              </w:rPr>
            </w:pPr>
            <w:r>
              <w:rPr>
                <w:rFonts w:ascii="Arial" w:cs="Arial" w:eastAsia="Arial" w:hAnsi="Arial"/>
                <w:sz w:val="14"/>
                <w:szCs w:val="14"/>
                <w:b w:val="1"/>
                <w:bCs w:val="1"/>
                <w:color w:val="auto"/>
              </w:rPr>
              <w:t>2011</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197"/>
              <w:spacing w:after="0" w:line="148" w:lineRule="exact"/>
              <w:rPr>
                <w:sz w:val="20"/>
                <w:szCs w:val="20"/>
                <w:color w:val="auto"/>
              </w:rPr>
            </w:pPr>
            <w:r>
              <w:rPr>
                <w:rFonts w:ascii="Arial" w:cs="Arial" w:eastAsia="Arial" w:hAnsi="Arial"/>
                <w:sz w:val="14"/>
                <w:szCs w:val="14"/>
                <w:b w:val="1"/>
                <w:bCs w:val="1"/>
                <w:color w:val="auto"/>
              </w:rPr>
              <w:t>2010</w:t>
            </w:r>
          </w:p>
        </w:tc>
        <w:tc>
          <w:tcPr>
            <w:tcW w:w="620" w:type="dxa"/>
            <w:vAlign w:val="bottom"/>
          </w:tcPr>
          <w:p>
            <w:pPr>
              <w:spacing w:after="0"/>
              <w:rPr>
                <w:sz w:val="12"/>
                <w:szCs w:val="12"/>
                <w:color w:val="auto"/>
              </w:rPr>
            </w:pPr>
          </w:p>
        </w:tc>
        <w:tc>
          <w:tcPr>
            <w:tcW w:w="124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(Decrease)</w:t>
            </w:r>
          </w:p>
        </w:tc>
        <w:tc>
          <w:tcPr>
            <w:tcW w:w="900" w:type="dxa"/>
            <w:vAlign w:val="bottom"/>
            <w:gridSpan w:val="2"/>
          </w:tcPr>
          <w:p>
            <w:pPr>
              <w:jc w:val="right"/>
              <w:ind w:right="28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Product revenues</w:t>
            </w:r>
          </w:p>
        </w:tc>
        <w:tc>
          <w:tcPr>
            <w:tcW w:w="352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352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0.7</w:t>
            </w:r>
          </w:p>
        </w:tc>
        <w:tc>
          <w:tcPr>
            <w:tcW w:w="62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1.9</w:t>
            </w:r>
          </w:p>
        </w:tc>
        <w:tc>
          <w:tcPr>
            <w:tcW w:w="6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ind w:left="220"/>
              <w:spacing w:after="0" w:line="203" w:lineRule="exact"/>
              <w:rPr>
                <w:sz w:val="20"/>
                <w:szCs w:val="20"/>
                <w:color w:val="auto"/>
              </w:rPr>
            </w:pPr>
            <w:r>
              <w:rPr>
                <w:rFonts w:ascii="Arial" w:cs="Arial" w:eastAsia="Arial" w:hAnsi="Arial"/>
                <w:sz w:val="18"/>
                <w:szCs w:val="18"/>
                <w:color w:val="auto"/>
                <w:w w:val="70"/>
              </w:rPr>
              <w:t>(1.2)</w:t>
            </w:r>
          </w:p>
        </w:tc>
        <w:tc>
          <w:tcPr>
            <w:tcW w:w="64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Service revenues</w:t>
            </w:r>
          </w:p>
        </w:tc>
        <w:tc>
          <w:tcPr>
            <w:tcW w:w="3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54.9</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57.4</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ind w:left="220"/>
              <w:spacing w:after="0"/>
              <w:rPr>
                <w:sz w:val="20"/>
                <w:szCs w:val="20"/>
                <w:color w:val="auto"/>
              </w:rPr>
            </w:pPr>
            <w:r>
              <w:rPr>
                <w:rFonts w:ascii="Arial" w:cs="Arial" w:eastAsia="Arial" w:hAnsi="Arial"/>
                <w:sz w:val="18"/>
                <w:szCs w:val="18"/>
                <w:color w:val="auto"/>
              </w:rPr>
              <w:t>(2.5)</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700" w:type="dxa"/>
            <w:vAlign w:val="bottom"/>
            <w:gridSpan w:val="2"/>
            <w:shd w:val="clear" w:color="auto" w:fill="CCEEFF"/>
          </w:tcPr>
          <w:p>
            <w:pPr>
              <w:ind w:left="35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55.7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(3.7)</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decrease in satellite services segment revenue in the third quarter of fiscal year 2012 compared to the third quarter of fiscal year 2011 of approximately $3.7 million was predominately from decreased service revenues of approximately $2.5 million. This decrease was comprised of a $3.1 million decrease in WildBlue services, offset by an increase in mobile broadband services of $1.4 million. The decrease in WildBlue service revenues was mainly due to the lower number of wholesale subscribers as our sales channels provisioned fewer customers with existing service plans in anticipation of the commencement of our new ViaSat-1 satellite service offerings in January 2012.</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(loss) profit</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75"/>
        </w:trPr>
        <w:tc>
          <w:tcPr>
            <w:tcW w:w="20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w w:val="88"/>
              </w:rPr>
              <w:t>Three Months Ended</w:t>
            </w:r>
          </w:p>
        </w:tc>
        <w:tc>
          <w:tcPr>
            <w:tcW w:w="580" w:type="dxa"/>
            <w:vAlign w:val="bottom"/>
            <w:tcBorders>
              <w:bottom w:val="single" w:sz="8" w:color="auto"/>
            </w:tcBorders>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vMerge w:val="restart"/>
          </w:tcPr>
          <w:p>
            <w:pPr>
              <w:jc w:val="center"/>
              <w:ind w:right="780"/>
              <w:spacing w:after="0"/>
              <w:rPr>
                <w:sz w:val="20"/>
                <w:szCs w:val="20"/>
                <w:color w:val="auto"/>
              </w:rPr>
            </w:pPr>
            <w:r>
              <w:rPr>
                <w:rFonts w:ascii="Arial" w:cs="Arial" w:eastAsia="Arial" w:hAnsi="Arial"/>
                <w:sz w:val="14"/>
                <w:szCs w:val="14"/>
                <w:b w:val="1"/>
                <w:bCs w:val="1"/>
                <w:color w:val="auto"/>
                <w:w w:val="95"/>
              </w:rPr>
              <w:t>Dollar</w:t>
            </w: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48"/>
        </w:trPr>
        <w:tc>
          <w:tcPr>
            <w:tcW w:w="200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4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1720" w:type="dxa"/>
            <w:vAlign w:val="bottom"/>
            <w:vMerge w:val="restart"/>
          </w:tcPr>
          <w:p>
            <w:pPr>
              <w:spacing w:after="0"/>
              <w:rPr>
                <w:sz w:val="12"/>
                <w:szCs w:val="12"/>
                <w:color w:val="auto"/>
              </w:rPr>
            </w:pPr>
          </w:p>
        </w:tc>
        <w:tc>
          <w:tcPr>
            <w:tcW w:w="1440" w:type="dxa"/>
            <w:vAlign w:val="bottom"/>
          </w:tcPr>
          <w:p>
            <w:pPr>
              <w:spacing w:after="0"/>
              <w:rPr>
                <w:sz w:val="12"/>
                <w:szCs w:val="12"/>
                <w:color w:val="auto"/>
              </w:rPr>
            </w:pPr>
          </w:p>
        </w:tc>
        <w:tc>
          <w:tcPr>
            <w:tcW w:w="16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December 30,</w:t>
            </w:r>
          </w:p>
        </w:tc>
        <w:tc>
          <w:tcPr>
            <w:tcW w:w="15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28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87"/>
              </w:rPr>
              <w:t>Increase</w:t>
            </w: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1720" w:type="dxa"/>
            <w:vAlign w:val="bottom"/>
            <w:vMerge w:val="continue"/>
          </w:tcPr>
          <w:p>
            <w:pPr>
              <w:spacing w:after="0"/>
              <w:rPr>
                <w:sz w:val="12"/>
                <w:szCs w:val="12"/>
                <w:color w:val="auto"/>
              </w:rPr>
            </w:pPr>
          </w:p>
        </w:tc>
        <w:tc>
          <w:tcPr>
            <w:tcW w:w="1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182"/>
              <w:spacing w:after="0" w:line="148" w:lineRule="exact"/>
              <w:rPr>
                <w:sz w:val="20"/>
                <w:szCs w:val="20"/>
                <w:color w:val="auto"/>
              </w:rPr>
            </w:pPr>
            <w:r>
              <w:rPr>
                <w:rFonts w:ascii="Arial" w:cs="Arial" w:eastAsia="Arial" w:hAnsi="Arial"/>
                <w:sz w:val="14"/>
                <w:szCs w:val="14"/>
                <w:b w:val="1"/>
                <w:bCs w:val="1"/>
                <w:color w:val="auto"/>
              </w:rPr>
              <w:t>2011</w:t>
            </w: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ind w:right="199"/>
              <w:spacing w:after="0" w:line="148" w:lineRule="exact"/>
              <w:rPr>
                <w:sz w:val="20"/>
                <w:szCs w:val="20"/>
                <w:color w:val="auto"/>
              </w:rPr>
            </w:pPr>
            <w:r>
              <w:rPr>
                <w:rFonts w:ascii="Arial" w:cs="Arial" w:eastAsia="Arial" w:hAnsi="Arial"/>
                <w:sz w:val="14"/>
                <w:szCs w:val="14"/>
                <w:b w:val="1"/>
                <w:bCs w:val="1"/>
                <w:color w:val="auto"/>
                <w:w w:val="89"/>
              </w:rPr>
              <w:t>2010</w:t>
            </w:r>
          </w:p>
        </w:tc>
        <w:tc>
          <w:tcPr>
            <w:tcW w:w="740" w:type="dxa"/>
            <w:vAlign w:val="bottom"/>
          </w:tcPr>
          <w:p>
            <w:pPr>
              <w:spacing w:after="0"/>
              <w:rPr>
                <w:sz w:val="12"/>
                <w:szCs w:val="12"/>
                <w:color w:val="auto"/>
              </w:rPr>
            </w:pPr>
          </w:p>
        </w:tc>
        <w:tc>
          <w:tcPr>
            <w:tcW w:w="1280" w:type="dxa"/>
            <w:vAlign w:val="bottom"/>
            <w:gridSpan w:val="3"/>
          </w:tcPr>
          <w:p>
            <w:pPr>
              <w:jc w:val="center"/>
              <w:ind w:right="660"/>
              <w:spacing w:after="0" w:line="148" w:lineRule="exact"/>
              <w:rPr>
                <w:sz w:val="20"/>
                <w:szCs w:val="20"/>
                <w:color w:val="auto"/>
              </w:rPr>
            </w:pPr>
            <w:r>
              <w:rPr>
                <w:rFonts w:ascii="Arial" w:cs="Arial" w:eastAsia="Arial" w:hAnsi="Arial"/>
                <w:sz w:val="14"/>
                <w:szCs w:val="14"/>
                <w:b w:val="1"/>
                <w:bCs w:val="1"/>
                <w:color w:val="auto"/>
                <w:w w:val="86"/>
              </w:rPr>
              <w:t>(Decrease)</w:t>
            </w:r>
          </w:p>
        </w:tc>
        <w:tc>
          <w:tcPr>
            <w:tcW w:w="90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0"/>
        </w:trPr>
        <w:tc>
          <w:tcPr>
            <w:tcW w:w="37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Operating (loss) profit</w:t>
            </w:r>
          </w:p>
        </w:tc>
        <w:tc>
          <w:tcPr>
            <w:tcW w:w="144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4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20" w:type="dxa"/>
            <w:vAlign w:val="bottom"/>
            <w:gridSpan w:val="2"/>
            <w:vMerge w:val="continue"/>
            <w:shd w:val="clear" w:color="auto" w:fill="CCEEFF"/>
          </w:tcPr>
          <w:p>
            <w:pPr>
              <w:spacing w:after="0"/>
              <w:rPr>
                <w:sz w:val="17"/>
                <w:szCs w:val="17"/>
                <w:color w:val="auto"/>
              </w:rPr>
            </w:pPr>
          </w:p>
        </w:tc>
        <w:tc>
          <w:tcPr>
            <w:tcW w:w="144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ind w:left="340"/>
              <w:spacing w:after="0" w:line="203" w:lineRule="exact"/>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7.9</w:t>
            </w:r>
          </w:p>
        </w:tc>
        <w:tc>
          <w:tcPr>
            <w:tcW w:w="7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(9.3)</w:t>
            </w:r>
          </w:p>
        </w:tc>
        <w:tc>
          <w:tcPr>
            <w:tcW w:w="66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(117.1)%</w:t>
            </w:r>
          </w:p>
        </w:tc>
        <w:tc>
          <w:tcPr>
            <w:tcW w:w="0" w:type="dxa"/>
            <w:vAlign w:val="bottom"/>
          </w:tcPr>
          <w:p>
            <w:pPr>
              <w:spacing w:after="0"/>
              <w:rPr>
                <w:sz w:val="1"/>
                <w:szCs w:val="1"/>
                <w:color w:val="auto"/>
              </w:rPr>
            </w:pPr>
          </w:p>
        </w:tc>
      </w:tr>
      <w:tr>
        <w:trPr>
          <w:trHeight w:val="222"/>
        </w:trPr>
        <w:tc>
          <w:tcPr>
            <w:tcW w:w="372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ind w:left="340"/>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9"/>
                <w:szCs w:val="19"/>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Our satellite services segment generated an operating loss in the third quarter of fiscal year 2012 compared to an operating profit in the third quarter of fiscal year 2011. This change was primarily due to lower earnings contributions of approximately $8.8 million associated with our new data center, billing system and connectivity costs for our ViaSat-1 gateways as we prepared for the commencement of our newViaSat-1 satellite service offerings in January 2012.</w:t>
      </w:r>
    </w:p>
    <w:p>
      <w:pPr>
        <w:spacing w:after="0" w:line="182" w:lineRule="exact"/>
        <w:rPr>
          <w:sz w:val="20"/>
          <w:szCs w:val="20"/>
          <w:color w:val="auto"/>
        </w:rPr>
      </w:pPr>
    </w:p>
    <w:p>
      <w:pPr>
        <w:ind w:right="5200"/>
        <w:spacing w:after="0" w:line="369" w:lineRule="auto"/>
        <w:rPr>
          <w:sz w:val="20"/>
          <w:szCs w:val="20"/>
          <w:color w:val="auto"/>
        </w:rPr>
      </w:pPr>
      <w:r>
        <w:rPr>
          <w:rFonts w:ascii="Arial" w:cs="Arial" w:eastAsia="Arial" w:hAnsi="Arial"/>
          <w:sz w:val="18"/>
          <w:szCs w:val="18"/>
          <w:b w:val="1"/>
          <w:bCs w:val="1"/>
          <w:color w:val="auto"/>
        </w:rPr>
        <w:t xml:space="preserve">Nine Months Ended December 30, 2011 vs. Nine Months Ended December 31, 2010 </w:t>
      </w:r>
      <w:r>
        <w:rPr>
          <w:rFonts w:ascii="Arial" w:cs="Arial" w:eastAsia="Arial" w:hAnsi="Arial"/>
          <w:sz w:val="18"/>
          <w:szCs w:val="18"/>
          <w:i w:val="1"/>
          <w:iCs w:val="1"/>
          <w:color w:val="auto"/>
        </w:rPr>
        <w:t>Revenues</w:t>
      </w:r>
    </w:p>
    <w:p>
      <w:pPr>
        <w:spacing w:after="0" w:line="81" w:lineRule="exact"/>
        <w:rPr>
          <w:sz w:val="20"/>
          <w:szCs w:val="20"/>
          <w:color w:val="auto"/>
        </w:rPr>
      </w:pPr>
    </w:p>
    <w:tbl>
      <w:tblPr>
        <w:tblLayout w:type="fixed"/>
        <w:tblInd w:w="46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540" w:type="dxa"/>
            <w:vAlign w:val="bottom"/>
            <w:tcBorders>
              <w:bottom w:val="single" w:sz="8" w:color="auto"/>
            </w:tcBorders>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vMerge w:val="restart"/>
          </w:tcPr>
          <w:p>
            <w:pPr>
              <w:jc w:val="right"/>
              <w:ind w:right="37"/>
              <w:spacing w:after="0"/>
              <w:rPr>
                <w:sz w:val="20"/>
                <w:szCs w:val="20"/>
                <w:color w:val="auto"/>
              </w:rPr>
            </w:pPr>
            <w:r>
              <w:rPr>
                <w:rFonts w:ascii="Arial" w:cs="Arial" w:eastAsia="Arial" w:hAnsi="Arial"/>
                <w:sz w:val="14"/>
                <w:szCs w:val="14"/>
                <w:b w:val="1"/>
                <w:bCs w:val="1"/>
                <w:color w:val="auto"/>
                <w:w w:val="90"/>
              </w:rPr>
              <w:t>Dollar</w:t>
            </w:r>
          </w:p>
        </w:tc>
        <w:tc>
          <w:tcPr>
            <w:tcW w:w="64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980" w:type="dxa"/>
            <w:vAlign w:val="bottom"/>
          </w:tcPr>
          <w:p>
            <w:pPr>
              <w:spacing w:after="0"/>
              <w:rPr>
                <w:sz w:val="4"/>
                <w:szCs w:val="4"/>
                <w:color w:val="auto"/>
              </w:rPr>
            </w:pPr>
          </w:p>
        </w:tc>
        <w:tc>
          <w:tcPr>
            <w:tcW w:w="3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8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54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3"/>
              </w:rPr>
              <w:t>December 30,</w:t>
            </w:r>
          </w:p>
        </w:tc>
        <w:tc>
          <w:tcPr>
            <w:tcW w:w="64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5"/>
              </w:rPr>
              <w:t>December 31,</w:t>
            </w:r>
          </w:p>
        </w:tc>
        <w:tc>
          <w:tcPr>
            <w:tcW w:w="64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1"/>
              </w:rPr>
              <w:t>Increase</w:t>
            </w:r>
          </w:p>
        </w:tc>
        <w:tc>
          <w:tcPr>
            <w:tcW w:w="6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3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180"/>
              <w:spacing w:after="0" w:line="148" w:lineRule="exact"/>
              <w:rPr>
                <w:sz w:val="20"/>
                <w:szCs w:val="20"/>
                <w:color w:val="auto"/>
              </w:rPr>
            </w:pPr>
            <w:r>
              <w:rPr>
                <w:rFonts w:ascii="Arial" w:cs="Arial" w:eastAsia="Arial" w:hAnsi="Arial"/>
                <w:sz w:val="14"/>
                <w:szCs w:val="14"/>
                <w:b w:val="1"/>
                <w:bCs w:val="1"/>
                <w:color w:val="auto"/>
              </w:rPr>
              <w:t>2011</w:t>
            </w: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jc w:val="right"/>
              <w:ind w:right="177"/>
              <w:spacing w:after="0" w:line="148" w:lineRule="exact"/>
              <w:rPr>
                <w:sz w:val="20"/>
                <w:szCs w:val="20"/>
                <w:color w:val="auto"/>
              </w:rPr>
            </w:pPr>
            <w:r>
              <w:rPr>
                <w:rFonts w:ascii="Arial" w:cs="Arial" w:eastAsia="Arial" w:hAnsi="Arial"/>
                <w:sz w:val="14"/>
                <w:szCs w:val="14"/>
                <w:b w:val="1"/>
                <w:bCs w:val="1"/>
                <w:color w:val="auto"/>
                <w:w w:val="83"/>
              </w:rPr>
              <w:t>2010</w:t>
            </w:r>
          </w:p>
        </w:tc>
        <w:tc>
          <w:tcPr>
            <w:tcW w:w="640" w:type="dxa"/>
            <w:vAlign w:val="bottom"/>
          </w:tcPr>
          <w:p>
            <w:pPr>
              <w:spacing w:after="0"/>
              <w:rPr>
                <w:sz w:val="12"/>
                <w:szCs w:val="12"/>
                <w:color w:val="auto"/>
              </w:rPr>
            </w:pPr>
          </w:p>
        </w:tc>
        <w:tc>
          <w:tcPr>
            <w:tcW w:w="60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w w:val="80"/>
              </w:rPr>
              <w:t>(Decrease)</w:t>
            </w:r>
          </w:p>
        </w:tc>
        <w:tc>
          <w:tcPr>
            <w:tcW w:w="640" w:type="dxa"/>
            <w:vAlign w:val="bottom"/>
          </w:tcPr>
          <w:p>
            <w:pPr>
              <w:spacing w:after="0"/>
              <w:rPr>
                <w:sz w:val="12"/>
                <w:szCs w:val="12"/>
                <w:color w:val="auto"/>
              </w:rPr>
            </w:pPr>
          </w:p>
        </w:tc>
        <w:tc>
          <w:tcPr>
            <w:tcW w:w="860" w:type="dxa"/>
            <w:vAlign w:val="bottom"/>
            <w:gridSpan w:val="2"/>
          </w:tcPr>
          <w:p>
            <w:pPr>
              <w:jc w:val="right"/>
              <w:ind w:right="220"/>
              <w:spacing w:after="0" w:line="148" w:lineRule="exact"/>
              <w:rPr>
                <w:sz w:val="20"/>
                <w:szCs w:val="20"/>
                <w:color w:val="auto"/>
              </w:rPr>
            </w:pPr>
            <w:r>
              <w:rPr>
                <w:rFonts w:ascii="Arial" w:cs="Arial" w:eastAsia="Arial" w:hAnsi="Arial"/>
                <w:sz w:val="14"/>
                <w:szCs w:val="14"/>
                <w:b w:val="1"/>
                <w:bCs w:val="1"/>
                <w:color w:val="auto"/>
                <w:w w:val="86"/>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Product revenues</w:t>
            </w:r>
          </w:p>
        </w:tc>
        <w:tc>
          <w:tcPr>
            <w:tcW w:w="354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354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391.0</w:t>
            </w:r>
          </w:p>
        </w:tc>
        <w:tc>
          <w:tcPr>
            <w:tcW w:w="640" w:type="dxa"/>
            <w:vAlign w:val="bottom"/>
            <w:vMerge w:val="continue"/>
            <w:shd w:val="clear" w:color="auto" w:fill="CCEEFF"/>
          </w:tcPr>
          <w:p>
            <w:pPr>
              <w:spacing w:after="0"/>
              <w:rPr>
                <w:sz w:val="17"/>
                <w:szCs w:val="17"/>
                <w:color w:val="auto"/>
              </w:rPr>
            </w:pPr>
          </w:p>
        </w:tc>
        <w:tc>
          <w:tcPr>
            <w:tcW w:w="260" w:type="dxa"/>
            <w:vAlign w:val="bottom"/>
            <w:shd w:val="clear" w:color="auto" w:fill="CCEEFF"/>
          </w:tcPr>
          <w:p>
            <w:pPr>
              <w:jc w:val="right"/>
              <w:ind w:right="82"/>
              <w:spacing w:after="0" w:line="203"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379.0</w:t>
            </w:r>
          </w:p>
        </w:tc>
        <w:tc>
          <w:tcPr>
            <w:tcW w:w="6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12.0</w:t>
            </w:r>
          </w:p>
        </w:tc>
        <w:tc>
          <w:tcPr>
            <w:tcW w:w="64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Service revenues</w:t>
            </w:r>
          </w:p>
        </w:tc>
        <w:tc>
          <w:tcPr>
            <w:tcW w:w="3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232.1</w:t>
            </w:r>
          </w:p>
        </w:tc>
        <w:tc>
          <w:tcPr>
            <w:tcW w:w="6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206.8</w:t>
            </w: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1500" w:type="dxa"/>
            <w:vAlign w:val="bottom"/>
            <w:gridSpan w:val="3"/>
          </w:tcPr>
          <w:p>
            <w:pPr>
              <w:jc w:val="right"/>
              <w:ind w:right="6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7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623.1</w:t>
            </w:r>
          </w:p>
        </w:tc>
        <w:tc>
          <w:tcPr>
            <w:tcW w:w="90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5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During the first nine months of fiscal year 2012 compared to the same period last fiscal year, product revenues increased from $379.0 million to $391.0 million. The product revenue increase was primarily due to higher product sales of $13.2 million in government satellite communication systems, $12.2 million in mobile broadband satellite communication systems, $11.0 million in antenna systems products, $7.7 million in consumer broadband products, $7.4 million in satellite payload technology development programs and $1.5 million in enterprise VSAT networks and products. These increases were offset by lower product sales of $19.8 million in tactical data link products, $17.8 million in information assurance products, $1.8 million in WildBlue products due to a lower number of wholesale subscriber additions and $1.2 million in satellite networking development programs.</w:t>
      </w:r>
    </w:p>
    <w:p>
      <w:pPr>
        <w:spacing w:after="0" w:line="12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Service revenues increased from $206.8 million to $232.1 million during the first nine months of fiscal year 2012 when compared to the first nine months of fiscal year 2011 primarily driven by growth in government satellite communication systems services of $17.3 million, information assurance services of $6.2 million, tactical data link services of $3.4 million, mobile broadband services of $3.0 million and satellite networking development program services of $2.6 million, offset by a decrease in WildBlue services of $5.2 million and in managed broadband services of $3.6 million. The decrease in WildBlue service revenues was mainly due to the lower number of wholesale subscribers as our sales channels provisioned fewer customers with existing service plans in anticipation of the launch of our new ViaSat-1 satellite service offerings in January 2012.</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540" w:type="dxa"/>
            <w:vAlign w:val="bottom"/>
            <w:tcBorders>
              <w:bottom w:val="single" w:sz="8" w:color="auto"/>
            </w:tcBorders>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vMerge w:val="restart"/>
          </w:tcPr>
          <w:p>
            <w:pPr>
              <w:jc w:val="right"/>
              <w:ind w:right="760"/>
              <w:spacing w:after="0"/>
              <w:rPr>
                <w:sz w:val="20"/>
                <w:szCs w:val="20"/>
                <w:color w:val="auto"/>
              </w:rPr>
            </w:pPr>
            <w:r>
              <w:rPr>
                <w:rFonts w:ascii="Arial" w:cs="Arial" w:eastAsia="Arial" w:hAnsi="Arial"/>
                <w:sz w:val="14"/>
                <w:szCs w:val="14"/>
                <w:b w:val="1"/>
                <w:bCs w:val="1"/>
                <w:color w:val="auto"/>
                <w:w w:val="90"/>
              </w:rPr>
              <w:t>Dollar</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980" w:type="dxa"/>
            <w:vAlign w:val="bottom"/>
          </w:tcPr>
          <w:p>
            <w:pPr>
              <w:spacing w:after="0"/>
              <w:rPr>
                <w:sz w:val="4"/>
                <w:szCs w:val="4"/>
                <w:color w:val="auto"/>
              </w:rPr>
            </w:pPr>
          </w:p>
        </w:tc>
        <w:tc>
          <w:tcPr>
            <w:tcW w:w="3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8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54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3"/>
              </w:rPr>
              <w:t>December 30,</w:t>
            </w:r>
          </w:p>
        </w:tc>
        <w:tc>
          <w:tcPr>
            <w:tcW w:w="64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5"/>
              </w:rPr>
              <w:t>December 31,</w:t>
            </w:r>
          </w:p>
        </w:tc>
        <w:tc>
          <w:tcPr>
            <w:tcW w:w="640" w:type="dxa"/>
            <w:vAlign w:val="bottom"/>
          </w:tcPr>
          <w:p>
            <w:pPr>
              <w:spacing w:after="0"/>
              <w:rPr>
                <w:sz w:val="12"/>
                <w:szCs w:val="12"/>
                <w:color w:val="auto"/>
              </w:rPr>
            </w:pPr>
          </w:p>
        </w:tc>
        <w:tc>
          <w:tcPr>
            <w:tcW w:w="1240" w:type="dxa"/>
            <w:vAlign w:val="bottom"/>
            <w:gridSpan w:val="3"/>
          </w:tcPr>
          <w:p>
            <w:pPr>
              <w:jc w:val="right"/>
              <w:ind w:right="700"/>
              <w:spacing w:after="0" w:line="149" w:lineRule="exact"/>
              <w:rPr>
                <w:sz w:val="20"/>
                <w:szCs w:val="20"/>
                <w:color w:val="auto"/>
              </w:rPr>
            </w:pPr>
            <w:r>
              <w:rPr>
                <w:rFonts w:ascii="Arial" w:cs="Arial" w:eastAsia="Arial" w:hAnsi="Arial"/>
                <w:sz w:val="14"/>
                <w:szCs w:val="14"/>
                <w:b w:val="1"/>
                <w:bCs w:val="1"/>
                <w:color w:val="auto"/>
                <w:w w:val="91"/>
              </w:rPr>
              <w:t>Increase</w:t>
            </w: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3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180"/>
              <w:spacing w:after="0" w:line="148" w:lineRule="exact"/>
              <w:rPr>
                <w:sz w:val="20"/>
                <w:szCs w:val="20"/>
                <w:color w:val="auto"/>
              </w:rPr>
            </w:pPr>
            <w:r>
              <w:rPr>
                <w:rFonts w:ascii="Arial" w:cs="Arial" w:eastAsia="Arial" w:hAnsi="Arial"/>
                <w:sz w:val="14"/>
                <w:szCs w:val="14"/>
                <w:b w:val="1"/>
                <w:bCs w:val="1"/>
                <w:color w:val="auto"/>
              </w:rPr>
              <w:t>2011</w:t>
            </w: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jc w:val="right"/>
              <w:ind w:right="177"/>
              <w:spacing w:after="0" w:line="148" w:lineRule="exact"/>
              <w:rPr>
                <w:sz w:val="20"/>
                <w:szCs w:val="20"/>
                <w:color w:val="auto"/>
              </w:rPr>
            </w:pPr>
            <w:r>
              <w:rPr>
                <w:rFonts w:ascii="Arial" w:cs="Arial" w:eastAsia="Arial" w:hAnsi="Arial"/>
                <w:sz w:val="14"/>
                <w:szCs w:val="14"/>
                <w:b w:val="1"/>
                <w:bCs w:val="1"/>
                <w:color w:val="auto"/>
                <w:w w:val="83"/>
              </w:rPr>
              <w:t>2010</w:t>
            </w:r>
          </w:p>
        </w:tc>
        <w:tc>
          <w:tcPr>
            <w:tcW w:w="640" w:type="dxa"/>
            <w:vAlign w:val="bottom"/>
          </w:tcPr>
          <w:p>
            <w:pPr>
              <w:spacing w:after="0"/>
              <w:rPr>
                <w:sz w:val="12"/>
                <w:szCs w:val="12"/>
                <w:color w:val="auto"/>
              </w:rPr>
            </w:pPr>
          </w:p>
        </w:tc>
        <w:tc>
          <w:tcPr>
            <w:tcW w:w="1240" w:type="dxa"/>
            <w:vAlign w:val="bottom"/>
            <w:gridSpan w:val="3"/>
          </w:tcPr>
          <w:p>
            <w:pPr>
              <w:jc w:val="right"/>
              <w:ind w:right="640"/>
              <w:spacing w:after="0" w:line="148" w:lineRule="exact"/>
              <w:rPr>
                <w:sz w:val="20"/>
                <w:szCs w:val="20"/>
                <w:color w:val="auto"/>
              </w:rPr>
            </w:pPr>
            <w:r>
              <w:rPr>
                <w:rFonts w:ascii="Arial" w:cs="Arial" w:eastAsia="Arial" w:hAnsi="Arial"/>
                <w:sz w:val="14"/>
                <w:szCs w:val="14"/>
                <w:b w:val="1"/>
                <w:bCs w:val="1"/>
                <w:color w:val="auto"/>
                <w:w w:val="80"/>
              </w:rPr>
              <w:t>(Decrease)</w:t>
            </w:r>
          </w:p>
        </w:tc>
        <w:tc>
          <w:tcPr>
            <w:tcW w:w="860" w:type="dxa"/>
            <w:vAlign w:val="bottom"/>
            <w:gridSpan w:val="2"/>
          </w:tcPr>
          <w:p>
            <w:pPr>
              <w:jc w:val="right"/>
              <w:ind w:right="220"/>
              <w:spacing w:after="0" w:line="148" w:lineRule="exact"/>
              <w:rPr>
                <w:sz w:val="20"/>
                <w:szCs w:val="20"/>
                <w:color w:val="auto"/>
              </w:rPr>
            </w:pPr>
            <w:r>
              <w:rPr>
                <w:rFonts w:ascii="Arial" w:cs="Arial" w:eastAsia="Arial" w:hAnsi="Arial"/>
                <w:sz w:val="14"/>
                <w:szCs w:val="14"/>
                <w:b w:val="1"/>
                <w:bCs w:val="1"/>
                <w:color w:val="auto"/>
                <w:w w:val="86"/>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7"/>
              </w:rPr>
              <w:t>Cost of product revenues</w:t>
            </w:r>
          </w:p>
        </w:tc>
        <w:tc>
          <w:tcPr>
            <w:tcW w:w="354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354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289.7</w:t>
            </w:r>
          </w:p>
        </w:tc>
        <w:tc>
          <w:tcPr>
            <w:tcW w:w="640" w:type="dxa"/>
            <w:vAlign w:val="bottom"/>
            <w:vMerge w:val="continue"/>
            <w:shd w:val="clear" w:color="auto" w:fill="CCEEFF"/>
          </w:tcPr>
          <w:p>
            <w:pPr>
              <w:spacing w:after="0"/>
              <w:rPr>
                <w:sz w:val="17"/>
                <w:szCs w:val="17"/>
                <w:color w:val="auto"/>
              </w:rPr>
            </w:pPr>
          </w:p>
        </w:tc>
        <w:tc>
          <w:tcPr>
            <w:tcW w:w="260" w:type="dxa"/>
            <w:vAlign w:val="bottom"/>
            <w:shd w:val="clear" w:color="auto" w:fill="CCEEFF"/>
          </w:tcPr>
          <w:p>
            <w:pPr>
              <w:jc w:val="right"/>
              <w:ind w:right="82"/>
              <w:spacing w:after="0" w:line="203"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278.2</w:t>
            </w:r>
          </w:p>
        </w:tc>
        <w:tc>
          <w:tcPr>
            <w:tcW w:w="6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11.5</w:t>
            </w:r>
          </w:p>
        </w:tc>
        <w:tc>
          <w:tcPr>
            <w:tcW w:w="64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8"/>
              </w:rPr>
              <w:t>Cost of service revenues</w:t>
            </w:r>
          </w:p>
        </w:tc>
        <w:tc>
          <w:tcPr>
            <w:tcW w:w="3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160.8</w:t>
            </w:r>
          </w:p>
        </w:tc>
        <w:tc>
          <w:tcPr>
            <w:tcW w:w="6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w:t>
            </w: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w:t>
            </w:r>
          </w:p>
        </w:tc>
        <w:tc>
          <w:tcPr>
            <w:tcW w:w="64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cost of revenues</w:t>
            </w:r>
          </w:p>
        </w:tc>
        <w:tc>
          <w:tcPr>
            <w:tcW w:w="37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450.5</w:t>
            </w:r>
          </w:p>
        </w:tc>
        <w:tc>
          <w:tcPr>
            <w:tcW w:w="90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6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Cost of product revenues increased from $278.2 million to $289.7 million during the first nine months of fiscal year 2012 when compared to the first nine months of fiscal year 2011 primarily due to increased product revenues, which caused an increase of approximately $8.8 million in cost of product revenues (on a constant margin basis). In addition, cost of product revenues as a percentage of product sales increased slightly during the first nine months of fiscal year 2012 compared to the prior year due to a higher mix of lower margin products from mobile broadband satellite communication development programs and lower sales of higher margin mature information assurance and UAV products. Cost of product revenues may fluctuate in future periods depending on the mix of products sold, competition, new product introduction costs and other factors.</w:t>
      </w:r>
    </w:p>
    <w:p>
      <w:pPr>
        <w:spacing w:after="0" w:line="12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In the first quarter of fiscal year 2011, we recorded an additional forward loss of $8.5 million on a government satellite communication program due to the significant additional labor and material costs for rework and testing required to complete the program requirements and specifications.</w:t>
      </w:r>
    </w:p>
    <w:p>
      <w:pPr>
        <w:spacing w:after="0" w:line="85"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Cost of service revenues increased from $122.7 million to $160.8 million during the first nine months of fiscal year 2012 when compared to the first nine months of fiscal year 2011 primarily from a $23.2 million cost of service revenue increase associated with our new data center, billing system and connectivity costs for our ViaSat-1 gateways in preparation for the commencement of our new ViaSat-1 satellite service offerings in January 2012. In addition, cost of service revenue increased (on a constant margin basis) approximately $15.0 million due to increased service revenues. Cost of service revenues may fluctuate in future periods depending on the mix of services provided, competition, new service introduction costs and other factors.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75"/>
        </w:trPr>
        <w:tc>
          <w:tcPr>
            <w:tcW w:w="200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w w:val="87"/>
              </w:rPr>
              <w:t>Nine Months Ended</w:t>
            </w:r>
          </w:p>
        </w:tc>
        <w:tc>
          <w:tcPr>
            <w:tcW w:w="540" w:type="dxa"/>
            <w:vAlign w:val="bottom"/>
            <w:tcBorders>
              <w:bottom w:val="single" w:sz="8" w:color="auto"/>
            </w:tcBorders>
          </w:tcPr>
          <w:p>
            <w:pPr>
              <w:spacing w:after="0"/>
              <w:rPr>
                <w:sz w:val="15"/>
                <w:szCs w:val="15"/>
                <w:color w:val="auto"/>
              </w:rPr>
            </w:pPr>
          </w:p>
        </w:tc>
        <w:tc>
          <w:tcPr>
            <w:tcW w:w="620" w:type="dxa"/>
            <w:vAlign w:val="bottom"/>
          </w:tcPr>
          <w:p>
            <w:pPr>
              <w:spacing w:after="0"/>
              <w:rPr>
                <w:sz w:val="15"/>
                <w:szCs w:val="15"/>
                <w:color w:val="auto"/>
              </w:rPr>
            </w:pPr>
          </w:p>
        </w:tc>
        <w:tc>
          <w:tcPr>
            <w:tcW w:w="1240" w:type="dxa"/>
            <w:vAlign w:val="bottom"/>
            <w:gridSpan w:val="2"/>
            <w:vMerge w:val="restart"/>
          </w:tcPr>
          <w:p>
            <w:pPr>
              <w:jc w:val="center"/>
              <w:ind w:right="620"/>
              <w:spacing w:after="0"/>
              <w:rPr>
                <w:sz w:val="20"/>
                <w:szCs w:val="20"/>
                <w:color w:val="auto"/>
              </w:rPr>
            </w:pPr>
            <w:r>
              <w:rPr>
                <w:rFonts w:ascii="Arial" w:cs="Arial" w:eastAsia="Arial" w:hAnsi="Arial"/>
                <w:sz w:val="14"/>
                <w:szCs w:val="14"/>
                <w:b w:val="1"/>
                <w:bCs w:val="1"/>
                <w:color w:val="auto"/>
                <w:w w:val="95"/>
              </w:rPr>
              <w:t>Dollar</w:t>
            </w: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48"/>
        </w:trPr>
        <w:tc>
          <w:tcPr>
            <w:tcW w:w="2000" w:type="dxa"/>
            <w:vAlign w:val="bottom"/>
          </w:tcPr>
          <w:p>
            <w:pPr>
              <w:spacing w:after="0"/>
              <w:rPr>
                <w:sz w:val="4"/>
                <w:szCs w:val="4"/>
                <w:color w:val="auto"/>
              </w:rPr>
            </w:pPr>
          </w:p>
        </w:tc>
        <w:tc>
          <w:tcPr>
            <w:tcW w:w="3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4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540" w:type="dxa"/>
            <w:vAlign w:val="bottom"/>
            <w:vMerge w:val="restart"/>
          </w:tcPr>
          <w:p>
            <w:pPr>
              <w:spacing w:after="0"/>
              <w:rPr>
                <w:sz w:val="12"/>
                <w:szCs w:val="12"/>
                <w:color w:val="auto"/>
              </w:rPr>
            </w:pPr>
          </w:p>
        </w:tc>
        <w:tc>
          <w:tcPr>
            <w:tcW w:w="14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December 30,</w:t>
            </w:r>
          </w:p>
        </w:tc>
        <w:tc>
          <w:tcPr>
            <w:tcW w:w="14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2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7"/>
              </w:rPr>
              <w:t>Increase</w:t>
            </w: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35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186"/>
              <w:spacing w:after="0" w:line="148" w:lineRule="exact"/>
              <w:rPr>
                <w:sz w:val="20"/>
                <w:szCs w:val="20"/>
                <w:color w:val="auto"/>
              </w:rPr>
            </w:pPr>
            <w:r>
              <w:rPr>
                <w:rFonts w:ascii="Arial" w:cs="Arial" w:eastAsia="Arial" w:hAnsi="Arial"/>
                <w:sz w:val="14"/>
                <w:szCs w:val="14"/>
                <w:b w:val="1"/>
                <w:bCs w:val="1"/>
                <w:color w:val="auto"/>
              </w:rPr>
              <w:t>2011</w:t>
            </w: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jc w:val="right"/>
              <w:ind w:right="202"/>
              <w:spacing w:after="0" w:line="148" w:lineRule="exact"/>
              <w:rPr>
                <w:sz w:val="20"/>
                <w:szCs w:val="20"/>
                <w:color w:val="auto"/>
              </w:rPr>
            </w:pPr>
            <w:r>
              <w:rPr>
                <w:rFonts w:ascii="Arial" w:cs="Arial" w:eastAsia="Arial" w:hAnsi="Arial"/>
                <w:sz w:val="14"/>
                <w:szCs w:val="14"/>
                <w:b w:val="1"/>
                <w:bCs w:val="1"/>
                <w:color w:val="auto"/>
                <w:w w:val="76"/>
              </w:rPr>
              <w:t>2010</w:t>
            </w:r>
          </w:p>
        </w:tc>
        <w:tc>
          <w:tcPr>
            <w:tcW w:w="620" w:type="dxa"/>
            <w:vAlign w:val="bottom"/>
          </w:tcPr>
          <w:p>
            <w:pPr>
              <w:spacing w:after="0"/>
              <w:rPr>
                <w:sz w:val="12"/>
                <w:szCs w:val="12"/>
                <w:color w:val="auto"/>
              </w:rPr>
            </w:pPr>
          </w:p>
        </w:tc>
        <w:tc>
          <w:tcPr>
            <w:tcW w:w="1240" w:type="dxa"/>
            <w:vAlign w:val="bottom"/>
            <w:gridSpan w:val="2"/>
          </w:tcPr>
          <w:p>
            <w:pPr>
              <w:jc w:val="center"/>
              <w:ind w:right="620"/>
              <w:spacing w:after="0" w:line="148" w:lineRule="exact"/>
              <w:rPr>
                <w:sz w:val="20"/>
                <w:szCs w:val="20"/>
                <w:color w:val="auto"/>
              </w:rPr>
            </w:pPr>
            <w:r>
              <w:rPr>
                <w:rFonts w:ascii="Arial" w:cs="Arial" w:eastAsia="Arial" w:hAnsi="Arial"/>
                <w:sz w:val="14"/>
                <w:szCs w:val="14"/>
                <w:b w:val="1"/>
                <w:bCs w:val="1"/>
                <w:color w:val="auto"/>
                <w:w w:val="86"/>
              </w:rPr>
              <w:t>(Decrease)</w:t>
            </w:r>
          </w:p>
        </w:tc>
        <w:tc>
          <w:tcPr>
            <w:tcW w:w="86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0"/>
        </w:trPr>
        <w:tc>
          <w:tcPr>
            <w:tcW w:w="55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4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131.8</w:t>
            </w:r>
          </w:p>
        </w:tc>
        <w:tc>
          <w:tcPr>
            <w:tcW w:w="640" w:type="dxa"/>
            <w:vAlign w:val="bottom"/>
            <w:vMerge w:val="continue"/>
            <w:shd w:val="clear" w:color="auto" w:fill="CCEEFF"/>
          </w:tcPr>
          <w:p>
            <w:pPr>
              <w:spacing w:after="0"/>
              <w:rPr>
                <w:sz w:val="17"/>
                <w:szCs w:val="17"/>
                <w:color w:val="auto"/>
              </w:rPr>
            </w:pPr>
          </w:p>
        </w:tc>
        <w:tc>
          <w:tcPr>
            <w:tcW w:w="2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121.3</w:t>
            </w:r>
          </w:p>
        </w:tc>
        <w:tc>
          <w:tcPr>
            <w:tcW w:w="620" w:type="dxa"/>
            <w:vAlign w:val="bottom"/>
            <w:vMerge w:val="continue"/>
            <w:shd w:val="clear" w:color="auto" w:fill="CCEEFF"/>
          </w:tcPr>
          <w:p>
            <w:pPr>
              <w:spacing w:after="0"/>
              <w:rPr>
                <w:sz w:val="17"/>
                <w:szCs w:val="17"/>
                <w:color w:val="auto"/>
              </w:rPr>
            </w:pPr>
          </w:p>
        </w:tc>
        <w:tc>
          <w:tcPr>
            <w:tcW w:w="62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rPr>
              <w:t>$   10.5</w:t>
            </w:r>
          </w:p>
        </w:tc>
        <w:tc>
          <w:tcPr>
            <w:tcW w:w="62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increase in SG&amp;A expenses of $10.5 million in the first nine months of fiscal year 2012 compared to the first nine months of fiscal year 2011 was attributable primarily to higher support costs of $6.9 million as well as higher selling costs of $3.3 million. Of the higher support costs, $4.2 million related to our commercial networks segment and $2.4 million related to our government systems segment. Of the higher selling costs, $2.6 million related to our government systems segment and $1.8 million related to our commercial networks segment. SG&amp;A expenses consisted primarily of personnel costs, business development expenses, marketing and sales, bids and proposals, facilities, finance, contract administration and general management. Some SG&amp;A expenses are difficult to predict and vary based on specific government, commercial and satellite service sales opportunities.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Independent research and development</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75"/>
        </w:trPr>
        <w:tc>
          <w:tcPr>
            <w:tcW w:w="200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w w:val="87"/>
              </w:rPr>
              <w:t>Nine Months Ended</w:t>
            </w:r>
          </w:p>
        </w:tc>
        <w:tc>
          <w:tcPr>
            <w:tcW w:w="540" w:type="dxa"/>
            <w:vAlign w:val="bottom"/>
            <w:tcBorders>
              <w:bottom w:val="single" w:sz="8" w:color="auto"/>
            </w:tcBorders>
          </w:tcPr>
          <w:p>
            <w:pPr>
              <w:spacing w:after="0"/>
              <w:rPr>
                <w:sz w:val="15"/>
                <w:szCs w:val="15"/>
                <w:color w:val="auto"/>
              </w:rPr>
            </w:pPr>
          </w:p>
        </w:tc>
        <w:tc>
          <w:tcPr>
            <w:tcW w:w="640" w:type="dxa"/>
            <w:vAlign w:val="bottom"/>
          </w:tcPr>
          <w:p>
            <w:pPr>
              <w:spacing w:after="0"/>
              <w:rPr>
                <w:sz w:val="15"/>
                <w:szCs w:val="15"/>
                <w:color w:val="auto"/>
              </w:rPr>
            </w:pPr>
          </w:p>
        </w:tc>
        <w:tc>
          <w:tcPr>
            <w:tcW w:w="1280" w:type="dxa"/>
            <w:vAlign w:val="bottom"/>
            <w:gridSpan w:val="2"/>
            <w:vMerge w:val="restart"/>
          </w:tcPr>
          <w:p>
            <w:pPr>
              <w:jc w:val="center"/>
              <w:ind w:right="660"/>
              <w:spacing w:after="0"/>
              <w:rPr>
                <w:sz w:val="20"/>
                <w:szCs w:val="20"/>
                <w:color w:val="auto"/>
              </w:rPr>
            </w:pPr>
            <w:r>
              <w:rPr>
                <w:rFonts w:ascii="Arial" w:cs="Arial" w:eastAsia="Arial" w:hAnsi="Arial"/>
                <w:sz w:val="14"/>
                <w:szCs w:val="14"/>
                <w:b w:val="1"/>
                <w:bCs w:val="1"/>
                <w:color w:val="auto"/>
                <w:w w:val="95"/>
              </w:rPr>
              <w:t>Dollar</w:t>
            </w:r>
          </w:p>
        </w:tc>
        <w:tc>
          <w:tcPr>
            <w:tcW w:w="1280" w:type="dxa"/>
            <w:vAlign w:val="bottom"/>
            <w:gridSpan w:val="2"/>
          </w:tcPr>
          <w:p>
            <w:pPr>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48"/>
        </w:trPr>
        <w:tc>
          <w:tcPr>
            <w:tcW w:w="2000" w:type="dxa"/>
            <w:vAlign w:val="bottom"/>
          </w:tcPr>
          <w:p>
            <w:pPr>
              <w:spacing w:after="0"/>
              <w:rPr>
                <w:sz w:val="4"/>
                <w:szCs w:val="4"/>
                <w:color w:val="auto"/>
              </w:rPr>
            </w:pPr>
          </w:p>
        </w:tc>
        <w:tc>
          <w:tcPr>
            <w:tcW w:w="30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4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060" w:type="dxa"/>
            <w:vAlign w:val="bottom"/>
            <w:vMerge w:val="restart"/>
          </w:tcPr>
          <w:p>
            <w:pPr>
              <w:spacing w:after="0"/>
              <w:rPr>
                <w:sz w:val="12"/>
                <w:szCs w:val="12"/>
                <w:color w:val="auto"/>
              </w:rPr>
            </w:pPr>
          </w:p>
        </w:tc>
        <w:tc>
          <w:tcPr>
            <w:tcW w:w="14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30,</w:t>
            </w: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640" w:type="dxa"/>
            <w:vAlign w:val="bottom"/>
          </w:tcPr>
          <w:p>
            <w:pPr>
              <w:spacing w:after="0"/>
              <w:rPr>
                <w:sz w:val="12"/>
                <w:szCs w:val="12"/>
                <w:color w:val="auto"/>
              </w:rPr>
            </w:pPr>
          </w:p>
        </w:tc>
        <w:tc>
          <w:tcPr>
            <w:tcW w:w="12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7"/>
              </w:rPr>
              <w:t>Increase</w:t>
            </w:r>
          </w:p>
        </w:tc>
        <w:tc>
          <w:tcPr>
            <w:tcW w:w="1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30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206"/>
              <w:spacing w:after="0" w:line="148" w:lineRule="exact"/>
              <w:rPr>
                <w:sz w:val="20"/>
                <w:szCs w:val="20"/>
                <w:color w:val="auto"/>
              </w:rPr>
            </w:pPr>
            <w:r>
              <w:rPr>
                <w:rFonts w:ascii="Arial" w:cs="Arial" w:eastAsia="Arial" w:hAnsi="Arial"/>
                <w:sz w:val="14"/>
                <w:szCs w:val="14"/>
                <w:b w:val="1"/>
                <w:bCs w:val="1"/>
                <w:color w:val="auto"/>
              </w:rPr>
              <w:t>2011</w:t>
            </w: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jc w:val="right"/>
              <w:ind w:right="182"/>
              <w:spacing w:after="0" w:line="148" w:lineRule="exact"/>
              <w:rPr>
                <w:sz w:val="20"/>
                <w:szCs w:val="20"/>
                <w:color w:val="auto"/>
              </w:rPr>
            </w:pPr>
            <w:r>
              <w:rPr>
                <w:rFonts w:ascii="Arial" w:cs="Arial" w:eastAsia="Arial" w:hAnsi="Arial"/>
                <w:sz w:val="14"/>
                <w:szCs w:val="14"/>
                <w:b w:val="1"/>
                <w:bCs w:val="1"/>
                <w:color w:val="auto"/>
                <w:w w:val="83"/>
              </w:rPr>
              <w:t>2010</w:t>
            </w:r>
          </w:p>
        </w:tc>
        <w:tc>
          <w:tcPr>
            <w:tcW w:w="640" w:type="dxa"/>
            <w:vAlign w:val="bottom"/>
          </w:tcPr>
          <w:p>
            <w:pPr>
              <w:spacing w:after="0"/>
              <w:rPr>
                <w:sz w:val="12"/>
                <w:szCs w:val="12"/>
                <w:color w:val="auto"/>
              </w:rPr>
            </w:pPr>
          </w:p>
        </w:tc>
        <w:tc>
          <w:tcPr>
            <w:tcW w:w="1280" w:type="dxa"/>
            <w:vAlign w:val="bottom"/>
            <w:gridSpan w:val="2"/>
          </w:tcPr>
          <w:p>
            <w:pPr>
              <w:jc w:val="center"/>
              <w:ind w:right="660"/>
              <w:spacing w:after="0" w:line="148" w:lineRule="exact"/>
              <w:rPr>
                <w:sz w:val="20"/>
                <w:szCs w:val="20"/>
                <w:color w:val="auto"/>
              </w:rPr>
            </w:pPr>
            <w:r>
              <w:rPr>
                <w:rFonts w:ascii="Arial" w:cs="Arial" w:eastAsia="Arial" w:hAnsi="Arial"/>
                <w:sz w:val="14"/>
                <w:szCs w:val="14"/>
                <w:b w:val="1"/>
                <w:bCs w:val="1"/>
                <w:color w:val="auto"/>
                <w:w w:val="86"/>
              </w:rPr>
              <w:t>(Decrease)</w:t>
            </w:r>
          </w:p>
        </w:tc>
        <w:tc>
          <w:tcPr>
            <w:tcW w:w="128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0"/>
        </w:trPr>
        <w:tc>
          <w:tcPr>
            <w:tcW w:w="50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Independent research and development</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6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18.5</w:t>
            </w:r>
          </w:p>
        </w:tc>
        <w:tc>
          <w:tcPr>
            <w:tcW w:w="640" w:type="dxa"/>
            <w:vAlign w:val="bottom"/>
            <w:vMerge w:val="continue"/>
            <w:shd w:val="clear" w:color="auto" w:fill="CCEEFF"/>
          </w:tcPr>
          <w:p>
            <w:pPr>
              <w:spacing w:after="0"/>
              <w:rPr>
                <w:sz w:val="17"/>
                <w:szCs w:val="17"/>
                <w:color w:val="auto"/>
              </w:rPr>
            </w:pPr>
          </w:p>
        </w:tc>
        <w:tc>
          <w:tcPr>
            <w:tcW w:w="2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21.6</w:t>
            </w:r>
          </w:p>
        </w:tc>
        <w:tc>
          <w:tcPr>
            <w:tcW w:w="640" w:type="dxa"/>
            <w:vAlign w:val="bottom"/>
            <w:vMerge w:val="continue"/>
            <w:shd w:val="clear" w:color="auto" w:fill="CCEEFF"/>
          </w:tcPr>
          <w:p>
            <w:pPr>
              <w:spacing w:after="0"/>
              <w:rPr>
                <w:sz w:val="17"/>
                <w:szCs w:val="17"/>
                <w:color w:val="auto"/>
              </w:rPr>
            </w:pPr>
          </w:p>
        </w:tc>
        <w:tc>
          <w:tcPr>
            <w:tcW w:w="62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   (3.1)</w:t>
            </w:r>
          </w:p>
        </w:tc>
        <w:tc>
          <w:tcPr>
            <w:tcW w:w="660" w:type="dxa"/>
            <w:vAlign w:val="bottom"/>
            <w:vMerge w:val="continue"/>
            <w:shd w:val="clear" w:color="auto" w:fill="CCEEFF"/>
          </w:tcPr>
          <w:p>
            <w:pPr>
              <w:spacing w:after="0"/>
              <w:rPr>
                <w:sz w:val="17"/>
                <w:szCs w:val="17"/>
                <w:color w:val="auto"/>
              </w:rPr>
            </w:pPr>
          </w:p>
        </w:tc>
        <w:tc>
          <w:tcPr>
            <w:tcW w:w="1280" w:type="dxa"/>
            <w:vAlign w:val="bottom"/>
            <w:gridSpan w:val="2"/>
            <w:shd w:val="clear" w:color="auto" w:fill="CCEEFF"/>
          </w:tcPr>
          <w:p>
            <w:pPr>
              <w:jc w:val="right"/>
              <w:ind w:right="420"/>
              <w:spacing w:after="0" w:line="203" w:lineRule="exact"/>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decrease in IR&amp;D expenses of approximately $3.1 million in the first nine months of fiscal year 2012 compared to the first nine months of fiscal year 2011 was driven by a decrease of approximately $2.3 million in our commercial networks segment and approximately $1.1 million in our government systems segment.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acquired intangible assets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amortize our acquired intangible assets from prior acquisitions over their estimated useful lives ranging from eight months to ten years. The slight decrease in amortization of approximately $0.3 million in the first nine months of fiscal year 2012 compared to the same period last fiscal year was a result of a decrease in amortization of approximately $0.9 million is a result of certain acquired technology intangibles in our government systems and commercial networks segments becoming fully amortized over the preceding twelve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459" w:right="2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months, offset by an increase in amortization of approximately $0.6 million due to our acquisition of Stonewood Group Limited (Stonewood) in July 2010.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Current and expected amortization expense for each of the following periods is as follows:</w:t>
      </w:r>
    </w:p>
    <w:p>
      <w:pPr>
        <w:spacing w:after="0" w:line="20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r>
      <w:tr>
        <w:trPr>
          <w:trHeight w:val="142"/>
        </w:trPr>
        <w:tc>
          <w:tcPr>
            <w:tcW w:w="6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2"/>
              </w:rPr>
              <w:t>(In thousands)</w:t>
            </w:r>
          </w:p>
        </w:tc>
        <w:tc>
          <w:tcPr>
            <w:tcW w:w="100" w:type="dxa"/>
            <w:vAlign w:val="bottom"/>
          </w:tcPr>
          <w:p>
            <w:pPr>
              <w:spacing w:after="0"/>
              <w:rPr>
                <w:sz w:val="12"/>
                <w:szCs w:val="12"/>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For the nine months ended December 30, 2011</w:t>
            </w:r>
          </w:p>
        </w:tc>
        <w:tc>
          <w:tcPr>
            <w:tcW w:w="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14,291</w:t>
            </w:r>
          </w:p>
        </w:tc>
        <w:tc>
          <w:tcPr>
            <w:tcW w:w="100" w:type="dxa"/>
            <w:vAlign w:val="bottom"/>
            <w:shd w:val="clear" w:color="auto" w:fill="CCEEFF"/>
          </w:tcPr>
          <w:p>
            <w:pPr>
              <w:spacing w:after="0"/>
              <w:rPr>
                <w:sz w:val="18"/>
                <w:szCs w:val="18"/>
                <w:color w:val="auto"/>
              </w:rPr>
            </w:pPr>
          </w:p>
        </w:tc>
      </w:tr>
      <w:tr>
        <w:trPr>
          <w:trHeight w:val="322"/>
        </w:trPr>
        <w:tc>
          <w:tcPr>
            <w:tcW w:w="6820" w:type="dxa"/>
            <w:vAlign w:val="bottom"/>
          </w:tcPr>
          <w:p>
            <w:pPr>
              <w:spacing w:after="0"/>
              <w:rPr>
                <w:sz w:val="20"/>
                <w:szCs w:val="20"/>
                <w:color w:val="auto"/>
              </w:rPr>
            </w:pPr>
            <w:r>
              <w:rPr>
                <w:rFonts w:ascii="Arial" w:cs="Arial" w:eastAsia="Arial" w:hAnsi="Arial"/>
                <w:sz w:val="18"/>
                <w:szCs w:val="18"/>
                <w:color w:val="auto"/>
              </w:rPr>
              <w:t>Expected for the remainder of fiscal year 2012</w:t>
            </w:r>
          </w:p>
        </w:tc>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4,427</w:t>
            </w:r>
          </w:p>
        </w:tc>
        <w:tc>
          <w:tcPr>
            <w:tcW w:w="100" w:type="dxa"/>
            <w:vAlign w:val="bottom"/>
          </w:tcPr>
          <w:p>
            <w:pPr>
              <w:spacing w:after="0"/>
              <w:rPr>
                <w:sz w:val="24"/>
                <w:szCs w:val="24"/>
                <w:color w:val="auto"/>
              </w:rPr>
            </w:pPr>
          </w:p>
        </w:tc>
      </w:tr>
      <w:tr>
        <w:trPr>
          <w:trHeight w:val="218"/>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15,527</w:t>
            </w: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Expected for fiscal year 2014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13,784</w:t>
            </w: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13,708</w:t>
            </w: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Expected for fiscal year 2016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10,173</w:t>
            </w: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9,607</w:t>
            </w:r>
          </w:p>
        </w:tc>
        <w:tc>
          <w:tcPr>
            <w:tcW w:w="100" w:type="dxa"/>
            <w:vAlign w:val="bottom"/>
            <w:shd w:val="clear" w:color="auto" w:fill="CCEEFF"/>
          </w:tcPr>
          <w:p>
            <w:pPr>
              <w:spacing w:after="0"/>
              <w:rPr>
                <w:sz w:val="18"/>
                <w:szCs w:val="18"/>
                <w:color w:val="auto"/>
              </w:rPr>
            </w:pPr>
          </w:p>
        </w:tc>
      </w:tr>
      <w:tr>
        <w:trPr>
          <w:trHeight w:val="222"/>
        </w:trPr>
        <w:tc>
          <w:tcPr>
            <w:tcW w:w="6820" w:type="dxa"/>
            <w:vAlign w:val="bottom"/>
          </w:tcPr>
          <w:p>
            <w:pPr>
              <w:spacing w:after="0"/>
              <w:rPr>
                <w:sz w:val="19"/>
                <w:szCs w:val="19"/>
                <w:color w:val="auto"/>
              </w:rPr>
            </w:pPr>
          </w:p>
        </w:tc>
        <w:tc>
          <w:tcPr>
            <w:tcW w:w="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67,226</w:t>
            </w:r>
          </w:p>
        </w:tc>
        <w:tc>
          <w:tcPr>
            <w:tcW w:w="100" w:type="dxa"/>
            <w:vAlign w:val="bottom"/>
          </w:tcPr>
          <w:p>
            <w:pPr>
              <w:spacing w:after="0"/>
              <w:rPr>
                <w:sz w:val="19"/>
                <w:szCs w:val="19"/>
                <w:color w:val="auto"/>
              </w:rPr>
            </w:pPr>
          </w:p>
        </w:tc>
      </w:tr>
      <w:tr>
        <w:trPr>
          <w:trHeight w:val="20"/>
        </w:trPr>
        <w:tc>
          <w:tcPr>
            <w:tcW w:w="6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Interest income for the nine months ended December 30, 2011 compared to the nine months ended December 31, 2010 decreased slightly as we experienced similar average interest rates on our investments but lower average invested cash balances during the first nine months of fiscal year 2012 compared to the same period last fiscal year.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decrease in interest expense from the first nine months of fiscal year 2011 to the first nine months of fiscal year 2012 of $2.6 million was primarily due to higher capitalized interest associated with our ViaSat-1 satellite, related gateway and networking equipment, and other assets currently under construction. For the nine months ended December 30, 2011 and December 31, 2010, we capitalized interest expense of approximately $23.4 million and $20.5 million, respectively. Interest expense incurred during the nine months ended December 30, 2011 and December 31, 2010 related to the Notes and the Credit Facility.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Benefit from income taxes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the nine months ended December 30, 2011, we recorded an income tax benefit of $7.3 million. Ordinarily, the effective tax rate at the end of an interim period is calculated using an estimate of the annual effective tax rate expected to be applicable for the full fiscal year. However, when a reliable estimate cannot be made, we compute our provision for income taxes using the actual effective tax rate for the year-to-date. For the nine months ended December 30, 2011, we used the actual effective year-to-date tax rate in calculating the income tax benefit for that period since a reliable estimate of the annual effective tax rate could not be made.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for the Nine Months Ended December 30, 2011 vs. Nine Months Ended December 31, 2010</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systems segment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w w:val="87"/>
              </w:rPr>
              <w:t>Nine Months Ended</w:t>
            </w:r>
          </w:p>
        </w:tc>
        <w:tc>
          <w:tcPr>
            <w:tcW w:w="540" w:type="dxa"/>
            <w:vAlign w:val="bottom"/>
            <w:tcBorders>
              <w:bottom w:val="single" w:sz="8" w:color="auto"/>
            </w:tcBorders>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vMerge w:val="restart"/>
          </w:tcPr>
          <w:p>
            <w:pPr>
              <w:jc w:val="center"/>
              <w:ind w:right="760"/>
              <w:spacing w:after="0"/>
              <w:rPr>
                <w:sz w:val="20"/>
                <w:szCs w:val="20"/>
                <w:color w:val="auto"/>
              </w:rPr>
            </w:pPr>
            <w:r>
              <w:rPr>
                <w:rFonts w:ascii="Arial" w:cs="Arial" w:eastAsia="Arial" w:hAnsi="Arial"/>
                <w:sz w:val="14"/>
                <w:szCs w:val="14"/>
                <w:b w:val="1"/>
                <w:bCs w:val="1"/>
                <w:color w:val="auto"/>
                <w:w w:val="90"/>
              </w:rPr>
              <w:t>Dollar</w:t>
            </w:r>
          </w:p>
        </w:tc>
        <w:tc>
          <w:tcPr>
            <w:tcW w:w="9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980" w:type="dxa"/>
            <w:vAlign w:val="bottom"/>
          </w:tcPr>
          <w:p>
            <w:pPr>
              <w:spacing w:after="0"/>
              <w:rPr>
                <w:sz w:val="4"/>
                <w:szCs w:val="4"/>
                <w:color w:val="auto"/>
              </w:rPr>
            </w:pPr>
          </w:p>
        </w:tc>
        <w:tc>
          <w:tcPr>
            <w:tcW w:w="3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9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440" w:type="dxa"/>
            <w:vAlign w:val="bottom"/>
          </w:tcPr>
          <w:p>
            <w:pPr>
              <w:spacing w:after="0"/>
              <w:rPr>
                <w:sz w:val="12"/>
                <w:szCs w:val="12"/>
                <w:color w:val="auto"/>
              </w:rPr>
            </w:pPr>
          </w:p>
        </w:tc>
        <w:tc>
          <w:tcPr>
            <w:tcW w:w="8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3"/>
              </w:rPr>
              <w:t>December 30,</w:t>
            </w:r>
          </w:p>
        </w:tc>
        <w:tc>
          <w:tcPr>
            <w:tcW w:w="660" w:type="dxa"/>
            <w:vAlign w:val="bottom"/>
          </w:tcPr>
          <w:p>
            <w:pPr>
              <w:spacing w:after="0"/>
              <w:rPr>
                <w:sz w:val="12"/>
                <w:szCs w:val="12"/>
                <w:color w:val="auto"/>
              </w:rPr>
            </w:pP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640" w:type="dxa"/>
            <w:vAlign w:val="bottom"/>
          </w:tcPr>
          <w:p>
            <w:pPr>
              <w:spacing w:after="0"/>
              <w:rPr>
                <w:sz w:val="12"/>
                <w:szCs w:val="12"/>
                <w:color w:val="auto"/>
              </w:rPr>
            </w:pPr>
          </w:p>
        </w:tc>
        <w:tc>
          <w:tcPr>
            <w:tcW w:w="126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84"/>
              </w:rPr>
              <w:t>Increase</w:t>
            </w: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3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180"/>
              <w:spacing w:after="0" w:line="148" w:lineRule="exact"/>
              <w:rPr>
                <w:sz w:val="20"/>
                <w:szCs w:val="20"/>
                <w:color w:val="auto"/>
              </w:rPr>
            </w:pPr>
            <w:r>
              <w:rPr>
                <w:rFonts w:ascii="Arial" w:cs="Arial" w:eastAsia="Arial" w:hAnsi="Arial"/>
                <w:sz w:val="14"/>
                <w:szCs w:val="14"/>
                <w:b w:val="1"/>
                <w:bCs w:val="1"/>
                <w:color w:val="auto"/>
              </w:rPr>
              <w:t>2011</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jc w:val="right"/>
              <w:ind w:right="197"/>
              <w:spacing w:after="0" w:line="148" w:lineRule="exact"/>
              <w:rPr>
                <w:sz w:val="20"/>
                <w:szCs w:val="20"/>
                <w:color w:val="auto"/>
              </w:rPr>
            </w:pPr>
            <w:r>
              <w:rPr>
                <w:rFonts w:ascii="Arial" w:cs="Arial" w:eastAsia="Arial" w:hAnsi="Arial"/>
                <w:sz w:val="14"/>
                <w:szCs w:val="14"/>
                <w:b w:val="1"/>
                <w:bCs w:val="1"/>
                <w:color w:val="auto"/>
                <w:w w:val="76"/>
              </w:rPr>
              <w:t>2010</w:t>
            </w:r>
          </w:p>
        </w:tc>
        <w:tc>
          <w:tcPr>
            <w:tcW w:w="640" w:type="dxa"/>
            <w:vAlign w:val="bottom"/>
          </w:tcPr>
          <w:p>
            <w:pPr>
              <w:spacing w:after="0"/>
              <w:rPr>
                <w:sz w:val="12"/>
                <w:szCs w:val="12"/>
                <w:color w:val="auto"/>
              </w:rPr>
            </w:pPr>
          </w:p>
        </w:tc>
        <w:tc>
          <w:tcPr>
            <w:tcW w:w="126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(Decrease)</w:t>
            </w:r>
          </w:p>
        </w:tc>
        <w:tc>
          <w:tcPr>
            <w:tcW w:w="900" w:type="dxa"/>
            <w:vAlign w:val="bottom"/>
            <w:gridSpan w:val="2"/>
          </w:tcPr>
          <w:p>
            <w:pPr>
              <w:jc w:val="right"/>
              <w:ind w:right="28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Product revenues</w:t>
            </w:r>
          </w:p>
        </w:tc>
        <w:tc>
          <w:tcPr>
            <w:tcW w:w="344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344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233.3</w:t>
            </w:r>
          </w:p>
        </w:tc>
        <w:tc>
          <w:tcPr>
            <w:tcW w:w="660" w:type="dxa"/>
            <w:vAlign w:val="bottom"/>
            <w:vMerge w:val="continue"/>
            <w:shd w:val="clear" w:color="auto" w:fill="CCEEFF"/>
          </w:tcPr>
          <w:p>
            <w:pPr>
              <w:spacing w:after="0"/>
              <w:rPr>
                <w:sz w:val="17"/>
                <w:szCs w:val="17"/>
                <w:color w:val="auto"/>
              </w:rPr>
            </w:pPr>
          </w:p>
        </w:tc>
        <w:tc>
          <w:tcPr>
            <w:tcW w:w="2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258.0</w:t>
            </w:r>
          </w:p>
        </w:tc>
        <w:tc>
          <w:tcPr>
            <w:tcW w:w="6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(24.7)</w:t>
            </w:r>
          </w:p>
        </w:tc>
        <w:tc>
          <w:tcPr>
            <w:tcW w:w="66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Service revenues</w:t>
            </w:r>
          </w:p>
        </w:tc>
        <w:tc>
          <w:tcPr>
            <w:tcW w:w="34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w:t>
            </w:r>
          </w:p>
        </w:tc>
        <w:tc>
          <w:tcPr>
            <w:tcW w:w="6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66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620" w:type="dxa"/>
            <w:vAlign w:val="bottom"/>
            <w:gridSpan w:val="2"/>
            <w:shd w:val="clear" w:color="auto" w:fill="CCEEFF"/>
          </w:tcPr>
          <w:p>
            <w:pPr>
              <w:ind w:left="34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284.4</w:t>
            </w:r>
          </w:p>
        </w:tc>
        <w:tc>
          <w:tcPr>
            <w:tcW w:w="9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281.3</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6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Our government systems segment experienced a revenue increase in the first nine months of fiscal year 2012 compared to the same period last fiscal year due to an increase in service revenues of $27.8 million, offset by a decrease in product revenues of $24.7 million. The increase in service revenues was primarily due to increases of $17.3 million in government satellite communication systems services, $6.2 million in information assurance services and $3.4 million in tactical data link services. The decrease in product revenues was primarily due to decreases of $19.8 million in tactical data link products and $17.8 million in information assurance products, offset by an increase of $13.2 million in government satellite communication systems.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profit</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w w:val="88"/>
              </w:rPr>
              <w:t>Nine Months Ended</w:t>
            </w:r>
          </w:p>
        </w:tc>
        <w:tc>
          <w:tcPr>
            <w:tcW w:w="58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0"/>
              </w:rPr>
              <w:t>Dollar</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260" w:type="dxa"/>
            <w:vAlign w:val="bottom"/>
            <w:vMerge w:val="restart"/>
          </w:tcPr>
          <w:p>
            <w:pPr>
              <w:spacing w:after="0"/>
              <w:rPr>
                <w:sz w:val="11"/>
                <w:szCs w:val="11"/>
                <w:color w:val="auto"/>
              </w:rPr>
            </w:pPr>
          </w:p>
        </w:tc>
        <w:tc>
          <w:tcPr>
            <w:tcW w:w="15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30,</w:t>
            </w: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gridSpan w:val="2"/>
          </w:tcPr>
          <w:p>
            <w:pPr>
              <w:jc w:val="center"/>
              <w:ind w:right="660"/>
              <w:spacing w:after="0" w:line="129" w:lineRule="exact"/>
              <w:rPr>
                <w:sz w:val="20"/>
                <w:szCs w:val="20"/>
                <w:color w:val="auto"/>
              </w:rPr>
            </w:pPr>
            <w:r>
              <w:rPr>
                <w:rFonts w:ascii="Arial" w:cs="Arial" w:eastAsia="Arial" w:hAnsi="Arial"/>
                <w:sz w:val="14"/>
                <w:szCs w:val="14"/>
                <w:b w:val="1"/>
                <w:bCs w:val="1"/>
                <w:color w:val="auto"/>
                <w:w w:val="84"/>
              </w:rPr>
              <w:t>Increase</w:t>
            </w:r>
          </w:p>
        </w:tc>
        <w:tc>
          <w:tcPr>
            <w:tcW w:w="86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32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182"/>
              <w:spacing w:after="0" w:line="148" w:lineRule="exact"/>
              <w:rPr>
                <w:sz w:val="20"/>
                <w:szCs w:val="20"/>
                <w:color w:val="auto"/>
              </w:rPr>
            </w:pPr>
            <w:r>
              <w:rPr>
                <w:rFonts w:ascii="Arial" w:cs="Arial" w:eastAsia="Arial" w:hAnsi="Arial"/>
                <w:sz w:val="14"/>
                <w:szCs w:val="14"/>
                <w:b w:val="1"/>
                <w:bCs w:val="1"/>
                <w:color w:val="auto"/>
              </w:rPr>
              <w:t>2011</w:t>
            </w: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ind w:right="199"/>
              <w:spacing w:after="0" w:line="148" w:lineRule="exact"/>
              <w:rPr>
                <w:sz w:val="20"/>
                <w:szCs w:val="20"/>
                <w:color w:val="auto"/>
              </w:rPr>
            </w:pPr>
            <w:r>
              <w:rPr>
                <w:rFonts w:ascii="Arial" w:cs="Arial" w:eastAsia="Arial" w:hAnsi="Arial"/>
                <w:sz w:val="14"/>
                <w:szCs w:val="14"/>
                <w:b w:val="1"/>
                <w:bCs w:val="1"/>
                <w:color w:val="auto"/>
                <w:w w:val="89"/>
              </w:rPr>
              <w:t>2010</w:t>
            </w: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gridSpan w:val="2"/>
          </w:tcPr>
          <w:p>
            <w:pPr>
              <w:jc w:val="center"/>
              <w:ind w:right="660"/>
              <w:spacing w:after="0" w:line="148" w:lineRule="exact"/>
              <w:rPr>
                <w:sz w:val="20"/>
                <w:szCs w:val="20"/>
                <w:color w:val="auto"/>
              </w:rPr>
            </w:pPr>
            <w:r>
              <w:rPr>
                <w:rFonts w:ascii="Arial" w:cs="Arial" w:eastAsia="Arial" w:hAnsi="Arial"/>
                <w:sz w:val="14"/>
                <w:szCs w:val="14"/>
                <w:b w:val="1"/>
                <w:bCs w:val="1"/>
                <w:color w:val="auto"/>
                <w:w w:val="83"/>
              </w:rPr>
              <w:t>(Decrease)</w:t>
            </w:r>
          </w:p>
        </w:tc>
        <w:tc>
          <w:tcPr>
            <w:tcW w:w="8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52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6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6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20"/>
              <w:spacing w:after="0" w:line="203" w:lineRule="exact"/>
              <w:rPr>
                <w:sz w:val="20"/>
                <w:szCs w:val="20"/>
                <w:color w:val="auto"/>
              </w:rPr>
            </w:pPr>
            <w:r>
              <w:rPr>
                <w:rFonts w:ascii="Arial" w:cs="Arial" w:eastAsia="Arial" w:hAnsi="Arial"/>
                <w:sz w:val="18"/>
                <w:szCs w:val="18"/>
                <w:color w:val="auto"/>
                <w:w w:val="79"/>
              </w:rPr>
              <w:t>34.8</w:t>
            </w:r>
          </w:p>
        </w:tc>
        <w:tc>
          <w:tcPr>
            <w:tcW w:w="76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22.6</w:t>
            </w:r>
          </w:p>
        </w:tc>
        <w:tc>
          <w:tcPr>
            <w:tcW w:w="440" w:type="dxa"/>
            <w:vAlign w:val="bottom"/>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6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   12.1</w:t>
            </w:r>
          </w:p>
        </w:tc>
        <w:tc>
          <w:tcPr>
            <w:tcW w:w="66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22"/>
        </w:trPr>
        <w:tc>
          <w:tcPr>
            <w:tcW w:w="5260" w:type="dxa"/>
            <w:vAlign w:val="bottom"/>
            <w:gridSpan w:val="2"/>
          </w:tcPr>
          <w:p>
            <w:pPr>
              <w:spacing w:after="0"/>
              <w:rPr>
                <w:sz w:val="20"/>
                <w:szCs w:val="20"/>
                <w:color w:val="auto"/>
              </w:rPr>
            </w:pPr>
            <w:r>
              <w:rPr>
                <w:rFonts w:ascii="Arial" w:cs="Arial" w:eastAsia="Arial" w:hAnsi="Arial"/>
                <w:sz w:val="18"/>
                <w:szCs w:val="18"/>
                <w:color w:val="auto"/>
              </w:rPr>
              <w:t>Percentage of segment revenue</w:t>
            </w:r>
          </w:p>
        </w:tc>
        <w:tc>
          <w:tcPr>
            <w:tcW w:w="180" w:type="dxa"/>
            <w:vAlign w:val="bottom"/>
          </w:tcPr>
          <w:p>
            <w:pPr>
              <w:spacing w:after="0"/>
              <w:rPr>
                <w:sz w:val="19"/>
                <w:szCs w:val="19"/>
                <w:color w:val="auto"/>
              </w:rPr>
            </w:pPr>
          </w:p>
        </w:tc>
        <w:tc>
          <w:tcPr>
            <w:tcW w:w="1380" w:type="dxa"/>
            <w:vAlign w:val="bottom"/>
            <w:gridSpan w:val="2"/>
          </w:tcPr>
          <w:p>
            <w:pPr>
              <w:ind w:left="320"/>
              <w:spacing w:after="0"/>
              <w:rPr>
                <w:sz w:val="20"/>
                <w:szCs w:val="20"/>
                <w:color w:val="auto"/>
              </w:rPr>
            </w:pPr>
            <w:r>
              <w:rPr>
                <w:rFonts w:ascii="Arial" w:cs="Arial" w:eastAsia="Arial" w:hAnsi="Arial"/>
                <w:sz w:val="18"/>
                <w:szCs w:val="18"/>
                <w:color w:val="auto"/>
              </w:rPr>
              <w:t>12.2%</w:t>
            </w:r>
          </w:p>
        </w:tc>
        <w:tc>
          <w:tcPr>
            <w:tcW w:w="22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8.0%</w:t>
            </w: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increase in our government systems segment operating profit of $12.1 million during the first nine months of fiscal year 2012 compared to the first nine months of fiscal year 2011 was primarily due to higher earnings contributions of approximately $14.4 million resulting from lower cost of revenues. Lower cost of revenues was mainly related to the $8.5 million forward loss recorded on a government satellite communication program in the first quarter of fiscal year 2011 due to the significant additional labor and material costs for rework and testing required to complete the program requirements and specifications. In addition, improved margins in certain government satellite communication systems products contributed to lower cost of revenues, which were offset by higher selling, support and new business proposal costs of approximately $3.3 million during the first nine months of fiscal year 2012 compared to the same period last fiscal year.</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networks segment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w w:val="87"/>
              </w:rPr>
              <w:t>Nine Months Ended</w:t>
            </w:r>
          </w:p>
        </w:tc>
        <w:tc>
          <w:tcPr>
            <w:tcW w:w="540" w:type="dxa"/>
            <w:vAlign w:val="bottom"/>
            <w:tcBorders>
              <w:bottom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37"/>
              <w:spacing w:after="0"/>
              <w:rPr>
                <w:sz w:val="20"/>
                <w:szCs w:val="20"/>
                <w:color w:val="auto"/>
              </w:rPr>
            </w:pPr>
            <w:r>
              <w:rPr>
                <w:rFonts w:ascii="Arial" w:cs="Arial" w:eastAsia="Arial" w:hAnsi="Arial"/>
                <w:sz w:val="14"/>
                <w:szCs w:val="14"/>
                <w:b w:val="1"/>
                <w:bCs w:val="1"/>
                <w:color w:val="auto"/>
                <w:w w:val="90"/>
              </w:rPr>
              <w:t>Dollar</w:t>
            </w:r>
          </w:p>
        </w:tc>
        <w:tc>
          <w:tcPr>
            <w:tcW w:w="64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540" w:type="dxa"/>
            <w:vAlign w:val="bottom"/>
          </w:tcPr>
          <w:p>
            <w:pPr>
              <w:spacing w:after="0"/>
              <w:rPr>
                <w:sz w:val="11"/>
                <w:szCs w:val="11"/>
                <w:color w:val="auto"/>
              </w:rPr>
            </w:pPr>
          </w:p>
        </w:tc>
        <w:tc>
          <w:tcPr>
            <w:tcW w:w="7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3"/>
              </w:rPr>
              <w:t>December 30,</w:t>
            </w:r>
          </w:p>
        </w:tc>
        <w:tc>
          <w:tcPr>
            <w:tcW w:w="64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640" w:type="dxa"/>
            <w:vAlign w:val="bottom"/>
          </w:tcPr>
          <w:p>
            <w:pPr>
              <w:spacing w:after="0"/>
              <w:rPr>
                <w:sz w:val="11"/>
                <w:szCs w:val="11"/>
                <w:color w:val="auto"/>
              </w:rPr>
            </w:pPr>
          </w:p>
        </w:tc>
        <w:tc>
          <w:tcPr>
            <w:tcW w:w="6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1"/>
              </w:rPr>
              <w:t>Increase</w:t>
            </w:r>
          </w:p>
        </w:tc>
        <w:tc>
          <w:tcPr>
            <w:tcW w:w="640" w:type="dxa"/>
            <w:vAlign w:val="bottom"/>
          </w:tcPr>
          <w:p>
            <w:pPr>
              <w:spacing w:after="0"/>
              <w:rPr>
                <w:sz w:val="11"/>
                <w:szCs w:val="11"/>
                <w:color w:val="auto"/>
              </w:rPr>
            </w:pPr>
          </w:p>
        </w:tc>
        <w:tc>
          <w:tcPr>
            <w:tcW w:w="86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3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180"/>
              <w:spacing w:after="0" w:line="148" w:lineRule="exact"/>
              <w:rPr>
                <w:sz w:val="20"/>
                <w:szCs w:val="20"/>
                <w:color w:val="auto"/>
              </w:rPr>
            </w:pPr>
            <w:r>
              <w:rPr>
                <w:rFonts w:ascii="Arial" w:cs="Arial" w:eastAsia="Arial" w:hAnsi="Arial"/>
                <w:sz w:val="14"/>
                <w:szCs w:val="14"/>
                <w:b w:val="1"/>
                <w:bCs w:val="1"/>
                <w:color w:val="auto"/>
              </w:rPr>
              <w:t>2011</w:t>
            </w: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jc w:val="right"/>
              <w:ind w:right="177"/>
              <w:spacing w:after="0" w:line="148" w:lineRule="exact"/>
              <w:rPr>
                <w:sz w:val="20"/>
                <w:szCs w:val="20"/>
                <w:color w:val="auto"/>
              </w:rPr>
            </w:pPr>
            <w:r>
              <w:rPr>
                <w:rFonts w:ascii="Arial" w:cs="Arial" w:eastAsia="Arial" w:hAnsi="Arial"/>
                <w:sz w:val="14"/>
                <w:szCs w:val="14"/>
                <w:b w:val="1"/>
                <w:bCs w:val="1"/>
                <w:color w:val="auto"/>
                <w:w w:val="83"/>
              </w:rPr>
              <w:t>2010</w:t>
            </w:r>
          </w:p>
        </w:tc>
        <w:tc>
          <w:tcPr>
            <w:tcW w:w="640" w:type="dxa"/>
            <w:vAlign w:val="bottom"/>
          </w:tcPr>
          <w:p>
            <w:pPr>
              <w:spacing w:after="0"/>
              <w:rPr>
                <w:sz w:val="12"/>
                <w:szCs w:val="12"/>
                <w:color w:val="auto"/>
              </w:rPr>
            </w:pPr>
          </w:p>
        </w:tc>
        <w:tc>
          <w:tcPr>
            <w:tcW w:w="60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80"/>
              </w:rPr>
              <w:t>(Decrease)</w:t>
            </w:r>
          </w:p>
        </w:tc>
        <w:tc>
          <w:tcPr>
            <w:tcW w:w="640" w:type="dxa"/>
            <w:vAlign w:val="bottom"/>
          </w:tcPr>
          <w:p>
            <w:pPr>
              <w:spacing w:after="0"/>
              <w:rPr>
                <w:sz w:val="12"/>
                <w:szCs w:val="12"/>
                <w:color w:val="auto"/>
              </w:rPr>
            </w:pPr>
          </w:p>
        </w:tc>
        <w:tc>
          <w:tcPr>
            <w:tcW w:w="8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Product revenues</w:t>
            </w:r>
          </w:p>
        </w:tc>
        <w:tc>
          <w:tcPr>
            <w:tcW w:w="354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354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155.5</w:t>
            </w:r>
          </w:p>
        </w:tc>
        <w:tc>
          <w:tcPr>
            <w:tcW w:w="640" w:type="dxa"/>
            <w:vAlign w:val="bottom"/>
            <w:vMerge w:val="continue"/>
            <w:shd w:val="clear" w:color="auto" w:fill="CCEEFF"/>
          </w:tcPr>
          <w:p>
            <w:pPr>
              <w:spacing w:after="0"/>
              <w:rPr>
                <w:sz w:val="17"/>
                <w:szCs w:val="17"/>
                <w:color w:val="auto"/>
              </w:rPr>
            </w:pPr>
          </w:p>
        </w:tc>
        <w:tc>
          <w:tcPr>
            <w:tcW w:w="2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116.9</w:t>
            </w:r>
          </w:p>
        </w:tc>
        <w:tc>
          <w:tcPr>
            <w:tcW w:w="6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38.6</w:t>
            </w:r>
          </w:p>
        </w:tc>
        <w:tc>
          <w:tcPr>
            <w:tcW w:w="64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Service revenues</w:t>
            </w:r>
          </w:p>
        </w:tc>
        <w:tc>
          <w:tcPr>
            <w:tcW w:w="3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6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500" w:type="dxa"/>
            <w:vAlign w:val="bottom"/>
            <w:gridSpan w:val="3"/>
          </w:tcPr>
          <w:p>
            <w:pPr>
              <w:jc w:val="right"/>
              <w:ind w:right="6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7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w:t>
            </w:r>
          </w:p>
        </w:tc>
        <w:tc>
          <w:tcPr>
            <w:tcW w:w="9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5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Commercial networks segment revenue increased approximately $41.7 million in the first nine months of fiscal year 2012 compared to the first nine months of fiscal year 2011, due to an increase in product revenues of $38.6 million and an increase in service revenues of $3.2 million.</w:t>
      </w:r>
    </w:p>
    <w:p>
      <w:pPr>
        <w:spacing w:after="0" w:line="85"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increase in product revenues from our commercial networks segment was primarily due to increases of $12.2 million in mobile broadband satellite communication systems, $11.0 million in antenna systems products, $7.7 million in consumer broadband products, $7.4 million in satellite payload technology development programs and $1.5 million in enterprise VSAT networks and products, offset by a decrease of $1.2 million in satellite networking development programs.</w:t>
      </w:r>
    </w:p>
    <w:p>
      <w:pPr>
        <w:spacing w:after="0" w:line="143"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The increase in service revenues from our commercial networks segment was primarily due to an increase of $2.6 million in satellite networking development program services.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loss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w w:val="90"/>
              </w:rPr>
              <w:t>Nine Months Ended</w:t>
            </w:r>
          </w:p>
        </w:tc>
        <w:tc>
          <w:tcPr>
            <w:tcW w:w="58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0"/>
              </w:rPr>
              <w:t>Dollar</w:t>
            </w: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1720" w:type="dxa"/>
            <w:vAlign w:val="bottom"/>
            <w:vMerge w:val="restart"/>
          </w:tcPr>
          <w:p>
            <w:pPr>
              <w:spacing w:after="0"/>
              <w:rPr>
                <w:sz w:val="11"/>
                <w:szCs w:val="11"/>
                <w:color w:val="auto"/>
              </w:rPr>
            </w:pPr>
          </w:p>
        </w:tc>
        <w:tc>
          <w:tcPr>
            <w:tcW w:w="1440" w:type="dxa"/>
            <w:vAlign w:val="bottom"/>
          </w:tcPr>
          <w:p>
            <w:pPr>
              <w:spacing w:after="0"/>
              <w:rPr>
                <w:sz w:val="11"/>
                <w:szCs w:val="11"/>
                <w:color w:val="auto"/>
              </w:rPr>
            </w:pPr>
          </w:p>
        </w:tc>
        <w:tc>
          <w:tcPr>
            <w:tcW w:w="130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December 30,</w:t>
            </w:r>
          </w:p>
        </w:tc>
        <w:tc>
          <w:tcPr>
            <w:tcW w:w="30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jc w:val="center"/>
              <w:ind w:right="660"/>
              <w:spacing w:after="0" w:line="129" w:lineRule="exact"/>
              <w:rPr>
                <w:sz w:val="20"/>
                <w:szCs w:val="20"/>
                <w:color w:val="auto"/>
              </w:rPr>
            </w:pPr>
            <w:r>
              <w:rPr>
                <w:rFonts w:ascii="Arial" w:cs="Arial" w:eastAsia="Arial" w:hAnsi="Arial"/>
                <w:sz w:val="14"/>
                <w:szCs w:val="14"/>
                <w:b w:val="1"/>
                <w:bCs w:val="1"/>
                <w:color w:val="auto"/>
                <w:w w:val="87"/>
              </w:rPr>
              <w:t>(Increase)</w:t>
            </w:r>
          </w:p>
        </w:tc>
        <w:tc>
          <w:tcPr>
            <w:tcW w:w="9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1720" w:type="dxa"/>
            <w:vAlign w:val="bottom"/>
            <w:vMerge w:val="continue"/>
          </w:tcPr>
          <w:p>
            <w:pPr>
              <w:spacing w:after="0"/>
              <w:rPr>
                <w:sz w:val="12"/>
                <w:szCs w:val="12"/>
                <w:color w:val="auto"/>
              </w:rPr>
            </w:pPr>
          </w:p>
        </w:tc>
        <w:tc>
          <w:tcPr>
            <w:tcW w:w="1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182"/>
              <w:spacing w:after="0" w:line="148" w:lineRule="exact"/>
              <w:rPr>
                <w:sz w:val="20"/>
                <w:szCs w:val="20"/>
                <w:color w:val="auto"/>
              </w:rPr>
            </w:pPr>
            <w:r>
              <w:rPr>
                <w:rFonts w:ascii="Arial" w:cs="Arial" w:eastAsia="Arial" w:hAnsi="Arial"/>
                <w:sz w:val="14"/>
                <w:szCs w:val="14"/>
                <w:b w:val="1"/>
                <w:bCs w:val="1"/>
                <w:color w:val="auto"/>
              </w:rPr>
              <w:t>2011</w:t>
            </w: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ind w:right="179"/>
              <w:spacing w:after="0" w:line="148" w:lineRule="exact"/>
              <w:rPr>
                <w:sz w:val="20"/>
                <w:szCs w:val="20"/>
                <w:color w:val="auto"/>
              </w:rPr>
            </w:pPr>
            <w:r>
              <w:rPr>
                <w:rFonts w:ascii="Arial" w:cs="Arial" w:eastAsia="Arial" w:hAnsi="Arial"/>
                <w:sz w:val="14"/>
                <w:szCs w:val="14"/>
                <w:b w:val="1"/>
                <w:bCs w:val="1"/>
                <w:color w:val="auto"/>
                <w:w w:val="96"/>
              </w:rPr>
              <w:t>2010</w:t>
            </w: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2"/>
          </w:tcPr>
          <w:p>
            <w:pPr>
              <w:jc w:val="center"/>
              <w:ind w:right="680"/>
              <w:spacing w:after="0" w:line="148" w:lineRule="exact"/>
              <w:rPr>
                <w:sz w:val="20"/>
                <w:szCs w:val="20"/>
                <w:color w:val="auto"/>
              </w:rPr>
            </w:pPr>
            <w:r>
              <w:rPr>
                <w:rFonts w:ascii="Arial" w:cs="Arial" w:eastAsia="Arial" w:hAnsi="Arial"/>
                <w:sz w:val="14"/>
                <w:szCs w:val="14"/>
                <w:b w:val="1"/>
                <w:bCs w:val="1"/>
                <w:color w:val="auto"/>
                <w:w w:val="83"/>
              </w:rPr>
              <w:t>Decrease</w:t>
            </w:r>
          </w:p>
        </w:tc>
        <w:tc>
          <w:tcPr>
            <w:tcW w:w="90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37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44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20" w:type="dxa"/>
            <w:vAlign w:val="bottom"/>
            <w:gridSpan w:val="2"/>
            <w:vMerge w:val="continue"/>
            <w:shd w:val="clear" w:color="auto" w:fill="CCEEFF"/>
          </w:tcPr>
          <w:p>
            <w:pPr>
              <w:spacing w:after="0"/>
              <w:rPr>
                <w:sz w:val="17"/>
                <w:szCs w:val="17"/>
                <w:color w:val="auto"/>
              </w:rPr>
            </w:pPr>
          </w:p>
        </w:tc>
        <w:tc>
          <w:tcPr>
            <w:tcW w:w="144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40"/>
              <w:spacing w:after="0" w:line="203" w:lineRule="exact"/>
              <w:rPr>
                <w:sz w:val="20"/>
                <w:szCs w:val="20"/>
                <w:color w:val="auto"/>
              </w:rPr>
            </w:pPr>
            <w:r>
              <w:rPr>
                <w:rFonts w:ascii="Arial" w:cs="Arial" w:eastAsia="Arial" w:hAnsi="Arial"/>
                <w:sz w:val="18"/>
                <w:szCs w:val="18"/>
                <w:color w:val="auto"/>
              </w:rPr>
              <w:t>(11.3)</w:t>
            </w:r>
          </w:p>
        </w:tc>
        <w:tc>
          <w:tcPr>
            <w:tcW w:w="30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300"/>
              <w:spacing w:after="0" w:line="203" w:lineRule="exact"/>
              <w:rPr>
                <w:sz w:val="20"/>
                <w:szCs w:val="20"/>
                <w:color w:val="auto"/>
              </w:rPr>
            </w:pPr>
            <w:r>
              <w:rPr>
                <w:rFonts w:ascii="Arial" w:cs="Arial" w:eastAsia="Arial" w:hAnsi="Arial"/>
                <w:sz w:val="18"/>
                <w:szCs w:val="18"/>
                <w:color w:val="auto"/>
              </w:rPr>
              <w:t>(7.7)</w:t>
            </w:r>
          </w:p>
        </w:tc>
        <w:tc>
          <w:tcPr>
            <w:tcW w:w="300" w:type="dxa"/>
            <w:vAlign w:val="bottom"/>
            <w:vMerge w:val="continue"/>
            <w:shd w:val="clear" w:color="auto" w:fill="CCEEFF"/>
          </w:tcPr>
          <w:p>
            <w:pPr>
              <w:spacing w:after="0"/>
              <w:rPr>
                <w:sz w:val="17"/>
                <w:szCs w:val="17"/>
                <w:color w:val="auto"/>
              </w:rPr>
            </w:pPr>
          </w:p>
        </w:tc>
        <w:tc>
          <w:tcPr>
            <w:tcW w:w="58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3"/>
              </w:rPr>
              <w:t>$   (3.6)</w:t>
            </w:r>
          </w:p>
        </w:tc>
        <w:tc>
          <w:tcPr>
            <w:tcW w:w="66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22"/>
        </w:trPr>
        <w:tc>
          <w:tcPr>
            <w:tcW w:w="372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(6.6)%</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ind w:left="300"/>
              <w:spacing w:after="0"/>
              <w:rPr>
                <w:sz w:val="20"/>
                <w:szCs w:val="20"/>
                <w:color w:val="auto"/>
              </w:rPr>
            </w:pPr>
            <w:r>
              <w:rPr>
                <w:rFonts w:ascii="Arial" w:cs="Arial" w:eastAsia="Arial" w:hAnsi="Arial"/>
                <w:sz w:val="18"/>
                <w:szCs w:val="18"/>
                <w:color w:val="auto"/>
              </w:rPr>
              <w:t>(6.0)%</w:t>
            </w: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increase in the commercial networks segment operating loss in the first nine months of fiscal year 2012 compared to the same period last fiscal year was primarily due to an increase in selling, support and new business proposal costs of approximately $7.8 million, offset by a decrease in IR&amp;D expenses of approximately $2.3 million.</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00"/>
          </w:cols>
          <w:pgMar w:left="240" w:top="459" w:right="3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 services segment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40" w:type="dxa"/>
            <w:vAlign w:val="bottom"/>
            <w:gridSpan w:val="5"/>
          </w:tcPr>
          <w:p>
            <w:pPr>
              <w:jc w:val="right"/>
              <w:ind w:right="1140"/>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c>
          <w:tcPr>
            <w:tcW w:w="112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0"/>
              </w:rPr>
              <w:t>Dollar</w:t>
            </w:r>
          </w:p>
        </w:tc>
        <w:tc>
          <w:tcPr>
            <w:tcW w:w="12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240" w:type="dxa"/>
            <w:vAlign w:val="bottom"/>
          </w:tcPr>
          <w:p>
            <w:pPr>
              <w:spacing w:after="0"/>
              <w:rPr>
                <w:sz w:val="11"/>
                <w:szCs w:val="11"/>
                <w:color w:val="auto"/>
              </w:rPr>
            </w:pPr>
          </w:p>
        </w:tc>
        <w:tc>
          <w:tcPr>
            <w:tcW w:w="80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30,</w:t>
            </w:r>
          </w:p>
        </w:tc>
        <w:tc>
          <w:tcPr>
            <w:tcW w:w="6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3"/>
              </w:rPr>
              <w:t>December 31,</w:t>
            </w:r>
          </w:p>
        </w:tc>
        <w:tc>
          <w:tcPr>
            <w:tcW w:w="620" w:type="dxa"/>
            <w:vAlign w:val="bottom"/>
          </w:tcPr>
          <w:p>
            <w:pPr>
              <w:spacing w:after="0"/>
              <w:rPr>
                <w:sz w:val="11"/>
                <w:szCs w:val="11"/>
                <w:color w:val="auto"/>
              </w:rPr>
            </w:pPr>
          </w:p>
        </w:tc>
        <w:tc>
          <w:tcPr>
            <w:tcW w:w="1220" w:type="dxa"/>
            <w:vAlign w:val="bottom"/>
            <w:gridSpan w:val="3"/>
          </w:tcPr>
          <w:p>
            <w:pPr>
              <w:jc w:val="center"/>
              <w:ind w:right="620"/>
              <w:spacing w:after="0" w:line="129" w:lineRule="exact"/>
              <w:rPr>
                <w:sz w:val="20"/>
                <w:szCs w:val="20"/>
                <w:color w:val="auto"/>
              </w:rPr>
            </w:pPr>
            <w:r>
              <w:rPr>
                <w:rFonts w:ascii="Arial" w:cs="Arial" w:eastAsia="Arial" w:hAnsi="Arial"/>
                <w:sz w:val="14"/>
                <w:szCs w:val="14"/>
                <w:b w:val="1"/>
                <w:bCs w:val="1"/>
                <w:color w:val="auto"/>
                <w:w w:val="84"/>
              </w:rPr>
              <w:t>Increase</w:t>
            </w:r>
          </w:p>
        </w:tc>
        <w:tc>
          <w:tcPr>
            <w:tcW w:w="1220" w:type="dxa"/>
            <w:vAlign w:val="bottom"/>
            <w:gridSpan w:val="2"/>
          </w:tcPr>
          <w:p>
            <w:pPr>
              <w:jc w:val="center"/>
              <w:ind w:right="58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3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180"/>
              <w:spacing w:after="0" w:line="148" w:lineRule="exact"/>
              <w:rPr>
                <w:sz w:val="20"/>
                <w:szCs w:val="20"/>
                <w:color w:val="auto"/>
              </w:rPr>
            </w:pPr>
            <w:r>
              <w:rPr>
                <w:rFonts w:ascii="Arial" w:cs="Arial" w:eastAsia="Arial" w:hAnsi="Arial"/>
                <w:sz w:val="14"/>
                <w:szCs w:val="14"/>
                <w:b w:val="1"/>
                <w:bCs w:val="1"/>
                <w:color w:val="auto"/>
              </w:rPr>
              <w:t>2011</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177"/>
              <w:spacing w:after="0" w:line="148" w:lineRule="exact"/>
              <w:rPr>
                <w:sz w:val="20"/>
                <w:szCs w:val="20"/>
                <w:color w:val="auto"/>
              </w:rPr>
            </w:pPr>
            <w:r>
              <w:rPr>
                <w:rFonts w:ascii="Arial" w:cs="Arial" w:eastAsia="Arial" w:hAnsi="Arial"/>
                <w:sz w:val="14"/>
                <w:szCs w:val="14"/>
                <w:b w:val="1"/>
                <w:bCs w:val="1"/>
                <w:color w:val="auto"/>
              </w:rPr>
              <w:t>2010</w:t>
            </w:r>
          </w:p>
        </w:tc>
        <w:tc>
          <w:tcPr>
            <w:tcW w:w="620" w:type="dxa"/>
            <w:vAlign w:val="bottom"/>
          </w:tcPr>
          <w:p>
            <w:pPr>
              <w:spacing w:after="0"/>
              <w:rPr>
                <w:sz w:val="12"/>
                <w:szCs w:val="12"/>
                <w:color w:val="auto"/>
              </w:rPr>
            </w:pPr>
          </w:p>
        </w:tc>
        <w:tc>
          <w:tcPr>
            <w:tcW w:w="122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(Decrease)</w:t>
            </w:r>
          </w:p>
        </w:tc>
        <w:tc>
          <w:tcPr>
            <w:tcW w:w="1220" w:type="dxa"/>
            <w:vAlign w:val="bottom"/>
            <w:gridSpan w:val="2"/>
          </w:tcPr>
          <w:p>
            <w:pPr>
              <w:jc w:val="center"/>
              <w:ind w:right="58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Product revenues</w:t>
            </w:r>
          </w:p>
        </w:tc>
        <w:tc>
          <w:tcPr>
            <w:tcW w:w="324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324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2.3</w:t>
            </w:r>
          </w:p>
        </w:tc>
        <w:tc>
          <w:tcPr>
            <w:tcW w:w="62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4.1</w:t>
            </w:r>
          </w:p>
        </w:tc>
        <w:tc>
          <w:tcPr>
            <w:tcW w:w="6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ind w:left="220"/>
              <w:spacing w:after="0" w:line="203" w:lineRule="exact"/>
              <w:rPr>
                <w:sz w:val="20"/>
                <w:szCs w:val="20"/>
                <w:color w:val="auto"/>
              </w:rPr>
            </w:pPr>
            <w:r>
              <w:rPr>
                <w:rFonts w:ascii="Arial" w:cs="Arial" w:eastAsia="Arial" w:hAnsi="Arial"/>
                <w:sz w:val="18"/>
                <w:szCs w:val="18"/>
                <w:color w:val="auto"/>
                <w:w w:val="70"/>
              </w:rPr>
              <w:t>(1.8)</w:t>
            </w:r>
          </w:p>
        </w:tc>
        <w:tc>
          <w:tcPr>
            <w:tcW w:w="620" w:type="dxa"/>
            <w:vAlign w:val="bottom"/>
            <w:vMerge w:val="continue"/>
            <w:shd w:val="clear" w:color="auto" w:fill="CCEEFF"/>
          </w:tcPr>
          <w:p>
            <w:pPr>
              <w:spacing w:after="0"/>
              <w:rPr>
                <w:sz w:val="17"/>
                <w:szCs w:val="17"/>
                <w:color w:val="auto"/>
              </w:rPr>
            </w:pPr>
          </w:p>
        </w:tc>
        <w:tc>
          <w:tcPr>
            <w:tcW w:w="1220" w:type="dxa"/>
            <w:vAlign w:val="bottom"/>
            <w:gridSpan w:val="2"/>
            <w:shd w:val="clear" w:color="auto" w:fill="CCEEFF"/>
          </w:tcPr>
          <w:p>
            <w:pPr>
              <w:jc w:val="right"/>
              <w:ind w:right="380"/>
              <w:spacing w:after="0" w:line="203" w:lineRule="exact"/>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Service revenues</w:t>
            </w:r>
          </w:p>
        </w:tc>
        <w:tc>
          <w:tcPr>
            <w:tcW w:w="3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165.6</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171.4</w:t>
            </w:r>
          </w:p>
        </w:tc>
        <w:tc>
          <w:tcPr>
            <w:tcW w:w="100" w:type="dxa"/>
            <w:vAlign w:val="bottom"/>
          </w:tcPr>
          <w:p>
            <w:pPr>
              <w:spacing w:after="0"/>
              <w:rPr>
                <w:sz w:val="18"/>
                <w:szCs w:val="18"/>
                <w:color w:val="auto"/>
              </w:rPr>
            </w:pPr>
          </w:p>
        </w:tc>
        <w:tc>
          <w:tcPr>
            <w:tcW w:w="1120" w:type="dxa"/>
            <w:vAlign w:val="bottom"/>
            <w:gridSpan w:val="2"/>
          </w:tcPr>
          <w:p>
            <w:pPr>
              <w:ind w:left="220"/>
              <w:spacing w:after="0"/>
              <w:rPr>
                <w:sz w:val="20"/>
                <w:szCs w:val="20"/>
                <w:color w:val="auto"/>
              </w:rPr>
            </w:pPr>
            <w:r>
              <w:rPr>
                <w:rFonts w:ascii="Arial" w:cs="Arial" w:eastAsia="Arial" w:hAnsi="Arial"/>
                <w:sz w:val="18"/>
                <w:szCs w:val="18"/>
                <w:color w:val="auto"/>
              </w:rPr>
              <w:t>(5.8)</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w:t>
            </w:r>
          </w:p>
        </w:tc>
        <w:tc>
          <w:tcPr>
            <w:tcW w:w="7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175.5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(7.6)</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decrease in satellite services segment revenue in the first nine months of fiscal year 2012 compared to the first nine months of fiscal year 2011 of approximately $7.6 million was primarily due to decreases of $5.2 million in WildBlue service revenues and $3.6 million in managed broadband services, offset by an increase of $3.0 million in mobile broadband services. The decrease in WildBlue service revenues was mainly due to the lower number of wholesale subscribers as our sales channels provisioned fewer customers with existing service plans in anticipation of the commencement of our new ViaSat-1 satellite service offerings in January 2012.</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(loss) profit</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w w:val="90"/>
              </w:rPr>
              <w:t>Nine Months Ended</w:t>
            </w:r>
          </w:p>
        </w:tc>
        <w:tc>
          <w:tcPr>
            <w:tcW w:w="580" w:type="dxa"/>
            <w:vAlign w:val="bottom"/>
            <w:tcBorders>
              <w:bottom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12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5"/>
              </w:rPr>
              <w:t>Dollar</w:t>
            </w:r>
          </w:p>
        </w:tc>
        <w:tc>
          <w:tcPr>
            <w:tcW w:w="12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12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2900" w:type="dxa"/>
            <w:vAlign w:val="bottom"/>
            <w:vMerge w:val="restart"/>
          </w:tcPr>
          <w:p>
            <w:pPr>
              <w:spacing w:after="0"/>
              <w:rPr>
                <w:sz w:val="11"/>
                <w:szCs w:val="11"/>
                <w:color w:val="auto"/>
              </w:rPr>
            </w:pPr>
          </w:p>
        </w:tc>
        <w:tc>
          <w:tcPr>
            <w:tcW w:w="12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30,</w:t>
            </w:r>
          </w:p>
        </w:tc>
        <w:tc>
          <w:tcPr>
            <w:tcW w:w="30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720" w:type="dxa"/>
            <w:vAlign w:val="bottom"/>
          </w:tcPr>
          <w:p>
            <w:pPr>
              <w:spacing w:after="0"/>
              <w:rPr>
                <w:sz w:val="11"/>
                <w:szCs w:val="11"/>
                <w:color w:val="auto"/>
              </w:rPr>
            </w:pPr>
          </w:p>
        </w:tc>
        <w:tc>
          <w:tcPr>
            <w:tcW w:w="1240" w:type="dxa"/>
            <w:vAlign w:val="bottom"/>
            <w:gridSpan w:val="2"/>
          </w:tcPr>
          <w:p>
            <w:pPr>
              <w:jc w:val="center"/>
              <w:ind w:right="640"/>
              <w:spacing w:after="0" w:line="129" w:lineRule="exact"/>
              <w:rPr>
                <w:sz w:val="20"/>
                <w:szCs w:val="20"/>
                <w:color w:val="auto"/>
              </w:rPr>
            </w:pPr>
            <w:r>
              <w:rPr>
                <w:rFonts w:ascii="Arial" w:cs="Arial" w:eastAsia="Arial" w:hAnsi="Arial"/>
                <w:sz w:val="14"/>
                <w:szCs w:val="14"/>
                <w:b w:val="1"/>
                <w:bCs w:val="1"/>
                <w:color w:val="auto"/>
                <w:w w:val="84"/>
              </w:rPr>
              <w:t>Increase</w:t>
            </w:r>
          </w:p>
        </w:tc>
        <w:tc>
          <w:tcPr>
            <w:tcW w:w="1260" w:type="dxa"/>
            <w:vAlign w:val="bottom"/>
            <w:gridSpan w:val="2"/>
          </w:tcPr>
          <w:p>
            <w:pPr>
              <w:jc w:val="center"/>
              <w:ind w:right="600"/>
              <w:spacing w:after="0" w:line="129" w:lineRule="exact"/>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29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202"/>
              <w:spacing w:after="0" w:line="148" w:lineRule="exact"/>
              <w:rPr>
                <w:sz w:val="20"/>
                <w:szCs w:val="20"/>
                <w:color w:val="auto"/>
              </w:rPr>
            </w:pPr>
            <w:r>
              <w:rPr>
                <w:rFonts w:ascii="Arial" w:cs="Arial" w:eastAsia="Arial" w:hAnsi="Arial"/>
                <w:sz w:val="14"/>
                <w:szCs w:val="14"/>
                <w:b w:val="1"/>
                <w:bCs w:val="1"/>
                <w:color w:val="auto"/>
              </w:rPr>
              <w:t>2011</w:t>
            </w: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ind w:right="199"/>
              <w:spacing w:after="0" w:line="148" w:lineRule="exact"/>
              <w:rPr>
                <w:sz w:val="20"/>
                <w:szCs w:val="20"/>
                <w:color w:val="auto"/>
              </w:rPr>
            </w:pPr>
            <w:r>
              <w:rPr>
                <w:rFonts w:ascii="Arial" w:cs="Arial" w:eastAsia="Arial" w:hAnsi="Arial"/>
                <w:sz w:val="14"/>
                <w:szCs w:val="14"/>
                <w:b w:val="1"/>
                <w:bCs w:val="1"/>
                <w:color w:val="auto"/>
                <w:w w:val="89"/>
              </w:rPr>
              <w:t>2010</w:t>
            </w:r>
          </w:p>
        </w:tc>
        <w:tc>
          <w:tcPr>
            <w:tcW w:w="720" w:type="dxa"/>
            <w:vAlign w:val="bottom"/>
          </w:tcPr>
          <w:p>
            <w:pPr>
              <w:spacing w:after="0"/>
              <w:rPr>
                <w:sz w:val="12"/>
                <w:szCs w:val="12"/>
                <w:color w:val="auto"/>
              </w:rPr>
            </w:pPr>
          </w:p>
        </w:tc>
        <w:tc>
          <w:tcPr>
            <w:tcW w:w="1240" w:type="dxa"/>
            <w:vAlign w:val="bottom"/>
            <w:gridSpan w:val="2"/>
          </w:tcPr>
          <w:p>
            <w:pPr>
              <w:jc w:val="center"/>
              <w:ind w:right="640"/>
              <w:spacing w:after="0" w:line="148" w:lineRule="exact"/>
              <w:rPr>
                <w:sz w:val="20"/>
                <w:szCs w:val="20"/>
                <w:color w:val="auto"/>
              </w:rPr>
            </w:pPr>
            <w:r>
              <w:rPr>
                <w:rFonts w:ascii="Arial" w:cs="Arial" w:eastAsia="Arial" w:hAnsi="Arial"/>
                <w:sz w:val="14"/>
                <w:szCs w:val="14"/>
                <w:b w:val="1"/>
                <w:bCs w:val="1"/>
                <w:color w:val="auto"/>
                <w:w w:val="83"/>
              </w:rPr>
              <w:t>(Decrease)</w:t>
            </w:r>
          </w:p>
        </w:tc>
        <w:tc>
          <w:tcPr>
            <w:tcW w:w="1260" w:type="dxa"/>
            <w:vAlign w:val="bottom"/>
            <w:gridSpan w:val="2"/>
          </w:tcPr>
          <w:p>
            <w:pPr>
              <w:jc w:val="center"/>
              <w:ind w:right="600"/>
              <w:spacing w:after="0" w:line="148" w:lineRule="exact"/>
              <w:rPr>
                <w:sz w:val="20"/>
                <w:szCs w:val="20"/>
                <w:color w:val="auto"/>
              </w:rPr>
            </w:pPr>
            <w:r>
              <w:rPr>
                <w:rFonts w:ascii="Arial" w:cs="Arial" w:eastAsia="Arial" w:hAnsi="Arial"/>
                <w:sz w:val="14"/>
                <w:szCs w:val="14"/>
                <w:b w:val="1"/>
                <w:bCs w:val="1"/>
                <w:color w:val="auto"/>
                <w:w w:val="86"/>
              </w:rPr>
              <w:t>(Decrease)</w:t>
            </w:r>
          </w:p>
        </w:tc>
        <w:tc>
          <w:tcPr>
            <w:tcW w:w="0" w:type="dxa"/>
            <w:vAlign w:val="bottom"/>
          </w:tcPr>
          <w:p>
            <w:pPr>
              <w:spacing w:after="0"/>
              <w:rPr>
                <w:sz w:val="1"/>
                <w:szCs w:val="1"/>
                <w:color w:val="auto"/>
              </w:rPr>
            </w:pPr>
          </w:p>
        </w:tc>
      </w:tr>
      <w:tr>
        <w:trPr>
          <w:trHeight w:val="20"/>
        </w:trPr>
        <w:tc>
          <w:tcPr>
            <w:tcW w:w="49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Operating (loss) profit</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0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340"/>
              <w:spacing w:after="0" w:line="203" w:lineRule="exact"/>
              <w:rPr>
                <w:sz w:val="20"/>
                <w:szCs w:val="20"/>
                <w:color w:val="auto"/>
              </w:rPr>
            </w:pPr>
            <w:r>
              <w:rPr>
                <w:rFonts w:ascii="Arial" w:cs="Arial" w:eastAsia="Arial" w:hAnsi="Arial"/>
                <w:sz w:val="18"/>
                <w:szCs w:val="18"/>
                <w:color w:val="auto"/>
              </w:rPr>
              <w:t>(1.2)</w:t>
            </w:r>
          </w:p>
        </w:tc>
        <w:tc>
          <w:tcPr>
            <w:tcW w:w="30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260"/>
              <w:spacing w:after="0" w:line="203" w:lineRule="exact"/>
              <w:rPr>
                <w:sz w:val="20"/>
                <w:szCs w:val="20"/>
                <w:color w:val="auto"/>
              </w:rPr>
            </w:pPr>
            <w:r>
              <w:rPr>
                <w:rFonts w:ascii="Arial" w:cs="Arial" w:eastAsia="Arial" w:hAnsi="Arial"/>
                <w:sz w:val="18"/>
                <w:szCs w:val="18"/>
                <w:color w:val="auto"/>
                <w:w w:val="85"/>
              </w:rPr>
              <w:t>27.1</w:t>
            </w:r>
          </w:p>
        </w:tc>
        <w:tc>
          <w:tcPr>
            <w:tcW w:w="720" w:type="dxa"/>
            <w:vAlign w:val="bottom"/>
            <w:shd w:val="clear" w:color="auto" w:fill="CCEEFF"/>
          </w:tcPr>
          <w:p>
            <w:pPr>
              <w:spacing w:after="0"/>
              <w:rPr>
                <w:sz w:val="17"/>
                <w:szCs w:val="17"/>
                <w:color w:val="auto"/>
              </w:rPr>
            </w:pPr>
          </w:p>
        </w:tc>
        <w:tc>
          <w:tcPr>
            <w:tcW w:w="62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2"/>
              </w:rPr>
              <w:t>$  (28.3)</w:t>
            </w:r>
          </w:p>
        </w:tc>
        <w:tc>
          <w:tcPr>
            <w:tcW w:w="620" w:type="dxa"/>
            <w:vAlign w:val="bottom"/>
            <w:vMerge w:val="continue"/>
            <w:shd w:val="clear" w:color="auto" w:fill="CCEEFF"/>
          </w:tcPr>
          <w:p>
            <w:pPr>
              <w:spacing w:after="0"/>
              <w:rPr>
                <w:sz w:val="17"/>
                <w:szCs w:val="17"/>
                <w:color w:val="auto"/>
              </w:rPr>
            </w:pPr>
          </w:p>
        </w:tc>
        <w:tc>
          <w:tcPr>
            <w:tcW w:w="1260" w:type="dxa"/>
            <w:vAlign w:val="bottom"/>
            <w:gridSpan w:val="2"/>
            <w:shd w:val="clear" w:color="auto" w:fill="CCEEFF"/>
          </w:tcPr>
          <w:p>
            <w:pPr>
              <w:jc w:val="right"/>
              <w:ind w:right="400"/>
              <w:spacing w:after="0" w:line="203" w:lineRule="exact"/>
              <w:rPr>
                <w:sz w:val="20"/>
                <w:szCs w:val="20"/>
                <w:color w:val="auto"/>
              </w:rPr>
            </w:pPr>
            <w:r>
              <w:rPr>
                <w:rFonts w:ascii="Arial" w:cs="Arial" w:eastAsia="Arial" w:hAnsi="Arial"/>
                <w:sz w:val="18"/>
                <w:szCs w:val="18"/>
                <w:color w:val="auto"/>
              </w:rPr>
              <w:t>(104.3)%</w:t>
            </w:r>
          </w:p>
        </w:tc>
        <w:tc>
          <w:tcPr>
            <w:tcW w:w="0" w:type="dxa"/>
            <w:vAlign w:val="bottom"/>
          </w:tcPr>
          <w:p>
            <w:pPr>
              <w:spacing w:after="0"/>
              <w:rPr>
                <w:sz w:val="1"/>
                <w:szCs w:val="1"/>
                <w:color w:val="auto"/>
              </w:rPr>
            </w:pPr>
          </w:p>
        </w:tc>
      </w:tr>
      <w:tr>
        <w:trPr>
          <w:trHeight w:val="222"/>
        </w:trPr>
        <w:tc>
          <w:tcPr>
            <w:tcW w:w="490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180" w:type="dxa"/>
            <w:vAlign w:val="bottom"/>
          </w:tcPr>
          <w:p>
            <w:pPr>
              <w:spacing w:after="0"/>
              <w:rPr>
                <w:sz w:val="19"/>
                <w:szCs w:val="19"/>
                <w:color w:val="auto"/>
              </w:rPr>
            </w:pPr>
          </w:p>
        </w:tc>
        <w:tc>
          <w:tcPr>
            <w:tcW w:w="1100" w:type="dxa"/>
            <w:vAlign w:val="bottom"/>
            <w:gridSpan w:val="2"/>
          </w:tcPr>
          <w:p>
            <w:pPr>
              <w:ind w:left="340"/>
              <w:spacing w:after="0"/>
              <w:rPr>
                <w:sz w:val="20"/>
                <w:szCs w:val="20"/>
                <w:color w:val="auto"/>
              </w:rPr>
            </w:pPr>
            <w:r>
              <w:rPr>
                <w:rFonts w:ascii="Arial" w:cs="Arial" w:eastAsia="Arial" w:hAnsi="Arial"/>
                <w:sz w:val="18"/>
                <w:szCs w:val="18"/>
                <w:color w:val="auto"/>
              </w:rPr>
              <w:t>(0.7)%</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ind w:left="260"/>
              <w:spacing w:after="0"/>
              <w:rPr>
                <w:sz w:val="20"/>
                <w:szCs w:val="20"/>
                <w:color w:val="auto"/>
              </w:rPr>
            </w:pPr>
            <w:r>
              <w:rPr>
                <w:rFonts w:ascii="Arial" w:cs="Arial" w:eastAsia="Arial" w:hAnsi="Arial"/>
                <w:sz w:val="18"/>
                <w:szCs w:val="18"/>
                <w:color w:val="auto"/>
              </w:rPr>
              <w:t>15.4%</w:t>
            </w: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Our satellite services segment generated an operating loss in the first nine months of fiscal year 2012 compared to an operating profit in the first nine months of fiscal year 2011. This change was primarily attributable to higher cost of revenues associated with our new data center, billing system and connectivity costs for the ViaSat-1 gateways as we prepared for the commencement of our new ViaSat-1 satellite service offerings in January 2012. The lower earnings contributions were offset by a decrease in selling, support and new business proposal costs of approximately $0.7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9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As reflected in the table below, firm backlog increased during the first nine months of fiscal year 2012 primarily due to increased demand for certain products and services and completed contract negotiations for contracts we pursued in fiscal year 2011. The decrease in funded backlog during the first nine months of fiscal year 2012 was primarily due to the timing of government funding over the past six months, which is consistent with the U.S. government fiscal budget process and trends we have experienced in prior fiscal years.</w:t>
      </w:r>
    </w:p>
    <w:p>
      <w:pPr>
        <w:spacing w:after="0" w:line="16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gridSpan w:val="2"/>
          </w:tcPr>
          <w:p>
            <w:pPr>
              <w:ind w:left="160"/>
              <w:spacing w:after="0"/>
              <w:rPr>
                <w:sz w:val="20"/>
                <w:szCs w:val="20"/>
                <w:color w:val="auto"/>
              </w:rPr>
            </w:pPr>
            <w:r>
              <w:rPr>
                <w:rFonts w:ascii="Arial" w:cs="Arial" w:eastAsia="Arial" w:hAnsi="Arial"/>
                <w:sz w:val="14"/>
                <w:szCs w:val="14"/>
                <w:b w:val="1"/>
                <w:bCs w:val="1"/>
                <w:color w:val="auto"/>
              </w:rPr>
              <w:t>As of</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860" w:type="dxa"/>
            <w:vAlign w:val="bottom"/>
            <w:gridSpan w:val="3"/>
          </w:tcPr>
          <w:p>
            <w:pPr>
              <w:spacing w:after="0"/>
              <w:rPr>
                <w:sz w:val="20"/>
                <w:szCs w:val="20"/>
                <w:color w:val="auto"/>
              </w:rPr>
            </w:pPr>
            <w:r>
              <w:rPr>
                <w:rFonts w:ascii="Arial" w:cs="Arial" w:eastAsia="Arial" w:hAnsi="Arial"/>
                <w:sz w:val="14"/>
                <w:szCs w:val="14"/>
                <w:b w:val="1"/>
                <w:bCs w:val="1"/>
                <w:color w:val="auto"/>
              </w:rPr>
              <w:t>December 30, 2011</w:t>
            </w:r>
          </w:p>
        </w:tc>
        <w:tc>
          <w:tcPr>
            <w:tcW w:w="980" w:type="dxa"/>
            <w:vAlign w:val="bottom"/>
            <w:gridSpan w:val="4"/>
          </w:tcPr>
          <w:p>
            <w:pPr>
              <w:ind w:left="140"/>
              <w:spacing w:after="0"/>
              <w:rPr>
                <w:sz w:val="20"/>
                <w:szCs w:val="20"/>
                <w:color w:val="auto"/>
              </w:rPr>
            </w:pPr>
            <w:r>
              <w:rPr>
                <w:rFonts w:ascii="Arial" w:cs="Arial" w:eastAsia="Arial" w:hAnsi="Arial"/>
                <w:sz w:val="14"/>
                <w:szCs w:val="14"/>
                <w:b w:val="1"/>
                <w:bCs w:val="1"/>
                <w:color w:val="auto"/>
                <w:w w:val="99"/>
              </w:rPr>
              <w:t>April 1, 2011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gridSpan w:val="2"/>
          </w:tcPr>
          <w:p>
            <w:pPr>
              <w:ind w:left="780"/>
              <w:spacing w:after="0" w:line="142" w:lineRule="exact"/>
              <w:rPr>
                <w:sz w:val="20"/>
                <w:szCs w:val="20"/>
                <w:color w:val="auto"/>
              </w:rPr>
            </w:pPr>
            <w:r>
              <w:rPr>
                <w:rFonts w:ascii="Arial" w:cs="Arial" w:eastAsia="Arial" w:hAnsi="Arial"/>
                <w:sz w:val="14"/>
                <w:szCs w:val="14"/>
                <w:b w:val="1"/>
                <w:bCs w:val="1"/>
                <w:color w:val="auto"/>
              </w:rPr>
              <w:t>(In millions)</w:t>
            </w: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Firm backlog</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Government Systems segment</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312.3</w:t>
            </w:r>
          </w:p>
        </w:tc>
        <w:tc>
          <w:tcPr>
            <w:tcW w:w="760" w:type="dxa"/>
            <w:vAlign w:val="bottom"/>
          </w:tcPr>
          <w:p>
            <w:pPr>
              <w:spacing w:after="0"/>
              <w:rPr>
                <w:sz w:val="18"/>
                <w:szCs w:val="18"/>
                <w:color w:val="auto"/>
              </w:rPr>
            </w:pP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283.8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Commercial Networks segment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252.0</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Satellite Services segment</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575.3</w:t>
            </w:r>
          </w:p>
        </w:tc>
        <w:tc>
          <w:tcPr>
            <w:tcW w:w="7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Funded backlog</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9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Government Systems segment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196.3</w:t>
            </w:r>
          </w:p>
        </w:tc>
        <w:tc>
          <w:tcPr>
            <w:tcW w:w="7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Commercial Networks segment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252.0</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Satellite Services segment</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20" w:type="dxa"/>
            <w:vAlign w:val="bottom"/>
            <w:gridSpan w:val="2"/>
          </w:tcPr>
          <w:p>
            <w:pPr>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459.3</w:t>
            </w:r>
          </w:p>
        </w:tc>
        <w:tc>
          <w:tcPr>
            <w:tcW w:w="760" w:type="dxa"/>
            <w:vAlign w:val="bottom"/>
          </w:tcPr>
          <w:p>
            <w:pPr>
              <w:spacing w:after="0"/>
              <w:rPr>
                <w:sz w:val="19"/>
                <w:szCs w:val="19"/>
                <w:color w:val="auto"/>
              </w:rPr>
            </w:pP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480.5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firm backlog does not include contract options. Of the $575.3 million in firm backlog, approximately $135.0 million is expected to be delivered during the remaining three months of fiscal year 2012, and the balance is expected to be delivered in fiscal year 2013 and thereafter. We include in our backlog only those orders for which we have accepted purchase orders.</w:t>
      </w:r>
    </w:p>
    <w:p>
      <w:pPr>
        <w:spacing w:after="0" w:line="14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Our new awards totaled $211.9 million and $711.2 million in the three and nine months ended December 30, 2011, respectively, compared to $175.9 million and $582.5 million for the three and nine months ended December 31, 2010, respectively.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45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Backlog is not necessarily indicative of future sales. A majority of our contracts can be terminated at the convenience of the customer. Orders are often made substantially in advance of delivery, and our contracts typically provide that orders may be terminated with limited or no penalties. In addition, purchase orders may present product specifications that would require us to complete additional product development. A failure to develop products meeting such specifications could lead to a termination of the related contract.</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Firm backlog amounts as presented are comprised of funded and unfunded components. Funded backlog represents the sum of contract amounts for which funds have been specifically obligated by customers to contracts. Unfunded backlog represents future amounts that customers may obligate over the specified contract performance periods. Our customers allocate funds for expenditures on long-term contracts on a periodic basis. Our ability to realize revenues from contracts in backlog is dependent upon adequate funding for such contracts. Although we do not control the funding of our contracts, our experience indicates that actual contract fundings have ultimately been approximately equal to the aggregate amounts of the contracts.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have financed our operations to date primarily with cash flows from operations, bank line of credit financing, debt financing and equity financing. At December 30, 2011, we had $45.8 million in cash and cash equivalents, $226.4 million in working capital and $170.0 million in principal amount of outstanding borrowings under our Credit Facility. At April 1, 2011, we had $40.5 million in cash and cash equivalents, $167.5 million in working capital and $60.0 million in principal amount of outstanding borrowings under our Credit Facility. We invest our cash in excess of current operating requirements in short-term, interest-bearing, investment-grade securities.</w:t>
      </w:r>
    </w:p>
    <w:p>
      <w:pPr>
        <w:spacing w:after="0" w:line="143" w:lineRule="exact"/>
        <w:rPr>
          <w:sz w:val="20"/>
          <w:szCs w:val="20"/>
          <w:color w:val="auto"/>
        </w:rPr>
      </w:pPr>
    </w:p>
    <w:p>
      <w:pPr>
        <w:ind w:right="20" w:firstLine="456"/>
        <w:spacing w:after="0" w:line="310" w:lineRule="auto"/>
        <w:rPr>
          <w:sz w:val="20"/>
          <w:szCs w:val="20"/>
          <w:color w:val="auto"/>
        </w:rPr>
      </w:pPr>
      <w:r>
        <w:rPr>
          <w:rFonts w:ascii="Arial" w:cs="Arial" w:eastAsia="Arial" w:hAnsi="Arial"/>
          <w:sz w:val="15"/>
          <w:szCs w:val="15"/>
          <w:color w:val="auto"/>
        </w:rPr>
        <w:t>The general cash needs of our government systems, commercial networks and satellite services segments can vary significantly. In our government systems segment, the primary factors determining cash needs tend to be the type and mix of contracts in backlog (i.e., product or service, development or production, and timing of payments), and restrictions on the timing of cash payments under U.S. government procurement regulations. In our commercial networks segment, cash needs tend to be driven primarily by the type and mix of contracts in backlog, the nature and quality of customers, and the payment terms of customers (including whether advance payments are made or customer financing is required). Other factors affecting the cash needs of these segments include contract duration and program performance. For example, if a program is performing well and meeting its contractual requirements, then its cash flow requirements are usually lower. The cash needs of our satellite services segment tend to be driven primarily by the timing of payment of capital expenditures (e.g., timing of network expansion activities and satellite construction and launch activities), as well as the quality of customer, type of contract and payment terms.</w:t>
      </w:r>
    </w:p>
    <w:p>
      <w:pPr>
        <w:spacing w:after="0" w:line="108"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To further enhance our liquidity position or to support future capital requirements, we may obtain additional financing, which could consist of debt, convertible debt or equity financing from public and/or private capital markets. In March 2010, we filed a universal shelf registration statement with the SEC for the future sale of an unlimited amount of debt securities, common stock, preferred stock, depositary shares, warrants and rights. The securities may be offered from time to time, separately or together, directly by us, by selling security holders, or through underwriters, dealers or agents at amounts, prices, interest rates and other terms to be determined at the time of the offering.</w:t>
      </w:r>
    </w:p>
    <w:p>
      <w:pPr>
        <w:spacing w:after="0" w:line="143"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Our future capital requirements will depend upon many factors, including the timing and amount of cash required for the construction and launch of any additional satellites or other future broadband satellite projects we may engage in, expansion of our research and development and marketing efforts, and the nature and timing of orders. Additionally, we will continue to evaluate possible acquisitions of, or investments in complementary businesses, products and technologies which may require the use of cash or additional financing. We believe that our current cash balances and net cash expected to be provided by operating activities along with availability under our Credit Facility will be sufficient to meet our anticipated operating requirements for at least the next twelve months.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Cash provided by operating activities for the first nine months of fiscal year 2012 was $65.0 million compared to cash provided by operating activities of $123.3 million for the first nine months of fiscal year 2011. This $58.3 million decrease was primarily driven by a $54.9 million year-over-year increase in cash used to fund net operating asset needs. The increase in net operating assets was predominantly due to additional investment in our inventory of $31.2 million from April 1, 2011 spread across all three of our segments, and a reduction in collections in excess of revenues and deferred revenues included in accrued liabilities of $7.5 million from April 1, 2011 due to the timing of milestone billings for certain larger development projects in our commercial network segment.</w:t>
      </w:r>
    </w:p>
    <w:p>
      <w:pPr>
        <w:spacing w:after="0" w:line="1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Cash used in investing activities in the first nine months of fiscal year 2012 was $176.3 million compared to $176.7 million for the first nine months of fiscal year 2011. This very slight decrease in cash used in investing activities was primarily related to $13.5 million and $10.7 million less cash used during fiscal year 2012 compared to the same period last year for the acquisition 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Stonewood and the construction of our ViaSat-1 satellite, respectively, offset by an approximately $11.8 million increase in cash used for capital expenditures for the construction of gateway facilities and network operation systems related to ViaSat-1, an approximately $6.3 million increase in cash used for capital expenditures for new CPE units and other general purpose equipment, a $3.5 million increase in cash used for next generation consumer broadband capital software development and an approximately $2.1 million increase in cash used for other long-term assets.</w:t>
      </w:r>
    </w:p>
    <w:p>
      <w:pPr>
        <w:spacing w:after="0" w:line="113"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Cash provided by financing activities for the first nine months of fiscal year 2012 was $116.6 million compared to $8.9 million for the first nine months of fiscal year 2011. This $107.7 million increase in cash inflows was primarily related to $120.0 million in higher proceeds from borrowings under our Credit Facility in order to fund satellite construction during the first nine months of fiscal year 2012, compared to the first nine months of fiscal year 2011. In addition, cash provided by financing activities for both periods included cash received from stock option exercises and employee stock purchase plan purchases, and cash used for the repurchase of common stock related to net share settlement of certain employee tax liabilities in connection with the vesting of restricted stock unit awards.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Satellite-related activities</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January 2008, we entered into several agreements with Space Systems/Loral, Inc. (SS/L), Loral Space &amp; Communications, Inc. (Loral) and Telesat Canada related to our new high-capacity Ka-band spot-beam satellite, ViaSat-1. On October 19, 2011, ViaSat-1 was successfully launched into orbit. SS/L handed over operation of the satellite to us in December 2011, following the successful completion of the manufacturer’s in-orbit testing. In January 2012, subsequent to the quarter end, we launched our ViaSat-1 commercial services and introduced our new high-speed internet service, Exede.</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contract with SS/L requires us to make monthly in-orbit performance incentive payments, including interest, over a fifteen-year period, commencing from the transfer of title of the satellite to us, subject to the continued satisfactory performance of satellite. We recorded the net present value of these expected future payments as a liability and as a component of the cost of the satellite. As of December 30, 2011, we recorded an estimated liability of $22.3 million relating to satellite performance incentives in the condensed consolidated balance sheets, of which $1.6 million and $20.7 million have been classified as current in accounts payable and non-current in other liabilities, respectively. If all performance incentives are earned as scheduled in the agreement, we could be required to pay a total of $39.4 million in in-orbit incentive payments, including accrued interest, over the fifteen-year period.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due 2016</w:t>
      </w:r>
    </w:p>
    <w:p>
      <w:pPr>
        <w:spacing w:after="0" w:line="9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In October 2009, we issued $275.0 million in principal amount of Notes in a private placement to institutional buyers. The Notes were exchanged in May 2010 for substantially identical Notes that had been registered with the SEC. The Notes bear interest at the rate of 8.875% per year, payable semi-annually in cash in arrears, which interest payments commenced in March 2010. The Notes were issued with an original issue discount of 1.24%, or $3.4 million.</w:t>
      </w:r>
    </w:p>
    <w:p>
      <w:pPr>
        <w:spacing w:after="0" w:line="10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Notes are guaranteed on an unsecured senior basis by each of our existing and future subsidiaries that guarantees the Credit Facility (the Guarantor Subsidiaries). The Notes and the guarantees are our and the Guarantor Subsidiaries’ general senior unsecured obligations and rank equally in right of payment with all of their existing and future unsecured unsubordinated debt. The Notes and the guarantees are effectively junior in right of payment to their existing and future secured debt, including under the Credit Facility (to the extent of the value of the assets securing such debt), are structurally subordinated to all existing and future liabilities (including trade payables) of our subsidiaries that are not guarantors of the Notes, and are senior in right of payment to all of their existing and future subordinated indebtedness.</w:t>
      </w:r>
    </w:p>
    <w:p>
      <w:pPr>
        <w:spacing w:after="0" w:line="144" w:lineRule="exact"/>
        <w:rPr>
          <w:sz w:val="20"/>
          <w:szCs w:val="20"/>
          <w:color w:val="auto"/>
        </w:rPr>
      </w:pPr>
    </w:p>
    <w:p>
      <w:pPr>
        <w:ind w:right="160" w:firstLine="456"/>
        <w:spacing w:after="0" w:line="323" w:lineRule="auto"/>
        <w:rPr>
          <w:sz w:val="20"/>
          <w:szCs w:val="20"/>
          <w:color w:val="auto"/>
        </w:rPr>
      </w:pPr>
      <w:r>
        <w:rPr>
          <w:rFonts w:ascii="Arial" w:cs="Arial" w:eastAsia="Arial" w:hAnsi="Arial"/>
          <w:sz w:val="15"/>
          <w:szCs w:val="15"/>
          <w:color w:val="auto"/>
        </w:rPr>
        <w:t>The indenture governing the Notes limits, among other things, our and our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our satellite insurance; and consolidate or merge with, or sell substantially all of their assets to, another person.</w:t>
      </w:r>
    </w:p>
    <w:p>
      <w:pPr>
        <w:spacing w:after="0" w:line="98" w:lineRule="exact"/>
        <w:rPr>
          <w:sz w:val="20"/>
          <w:szCs w:val="20"/>
          <w:color w:val="auto"/>
        </w:rPr>
      </w:pPr>
    </w:p>
    <w:p>
      <w:pPr>
        <w:ind w:right="100" w:firstLine="456"/>
        <w:spacing w:after="0" w:line="302" w:lineRule="auto"/>
        <w:rPr>
          <w:sz w:val="20"/>
          <w:szCs w:val="20"/>
          <w:color w:val="auto"/>
        </w:rPr>
      </w:pPr>
      <w:r>
        <w:rPr>
          <w:rFonts w:ascii="Arial" w:cs="Arial" w:eastAsia="Arial" w:hAnsi="Arial"/>
          <w:sz w:val="15"/>
          <w:szCs w:val="15"/>
          <w:color w:val="auto"/>
        </w:rPr>
        <w:t>Prior to September 15, 2012, we may redeem up to 35% of the Notes at a redemption price of 108.875% of the principal amount thereof, plus accrued and unpaid interest, if any, thereon to the redemption date, from the net cash proceeds of specified equity offerings. We may also redeem the Notes prior to September 15, 2012, in whole or in part, at a redemption price equal to 100% of the principal amount thereof plus the applicable premium and any accrued and unpaid interest, if any, thereon to the redemption date. The applicable premium is calculated as the greater of: (i) 1.0% of the principal amount of such Notes and</w:t>
      </w:r>
    </w:p>
    <w:p>
      <w:pPr>
        <w:spacing w:after="0" w:line="3" w:lineRule="exact"/>
        <w:rPr>
          <w:sz w:val="20"/>
          <w:szCs w:val="20"/>
          <w:color w:val="auto"/>
        </w:rPr>
      </w:pPr>
    </w:p>
    <w:p>
      <w:pPr>
        <w:ind w:right="180" w:firstLine="8"/>
        <w:spacing w:after="0" w:line="292" w:lineRule="auto"/>
        <w:tabs>
          <w:tab w:leader="none" w:pos="258"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excess, if any, of (a) the present value at such date of redemption of (1) the redemption price of such Notes on September 15, 2012 plus (2) all required interest payments due on such Notes through September 15, 2012 (excluding accrued but unpaid interest to the date of redemption), computed using a discount rate equal to the treasury rate (as defined in the indenture) plus 50 basis points, over (b) the then-outstanding principal amount of such Notes. The Notes may be redeemed, in whole or in part, at any time during the twelve months beginning on September 15, 2012 at a redemption price of 106.656%, during the twelve months beginning on September 15, 2013 at a redemption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price of 104.438%, during the twelve months beginning on September 15, 2014 at a redemption price of 102.219%, and at any time on or after September 12, 2015 at a redemption price of 100%, in each case plus accrued and unpaid interest, if any, thereon to the redemption date.</w:t>
      </w:r>
    </w:p>
    <w:p>
      <w:pPr>
        <w:spacing w:after="0" w:line="85"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In the event a change of control occurs (as defined in the indenture), each holder will have the right to require us to repurchase all or any part of such holder’s Notes at a purchase price in cash equal to 101% of the aggregate principal amount of the Notes repurchased plus accrued and unpaid interest, if any, to the date of purchase (subject to the right of holders of record on the relevant record date to receive interest due on the relevant interest payment 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90" w:lineRule="exact"/>
        <w:rPr>
          <w:sz w:val="20"/>
          <w:szCs w:val="20"/>
          <w:color w:val="auto"/>
        </w:rPr>
      </w:pPr>
    </w:p>
    <w:p>
      <w:pPr>
        <w:ind w:right="80" w:firstLine="456"/>
        <w:spacing w:after="0" w:line="283" w:lineRule="auto"/>
        <w:rPr>
          <w:sz w:val="20"/>
          <w:szCs w:val="20"/>
          <w:color w:val="auto"/>
        </w:rPr>
      </w:pPr>
      <w:r>
        <w:rPr>
          <w:rFonts w:ascii="Arial" w:cs="Arial" w:eastAsia="Arial" w:hAnsi="Arial"/>
          <w:sz w:val="16"/>
          <w:szCs w:val="16"/>
          <w:color w:val="auto"/>
        </w:rPr>
        <w:t>As of December 30, 2011, the Credit Facility, as amended, provided a revolving line of credit of $325.0 million (including up to $35.0 million of letters of credit) with a maturity date of January 25, 2016. Borrowings under the Credit Facility bear interest, at our option, at either (1) the highest of the Federal Funds rate plus 0.50%, Eurodollar rate plus 1.00% or the administrative agent’s prime rate as announced from time to time, or (2) at the Eurodollar rate plus, in the case of each of (1) and (2), an applicable margin that is based on the ratio of our debt to earnings before interest, taxes, depreciation and amortization (EBITDA) as defined in the Credit Facility. At December 30, 2011, the weighted average effective interest rate on our outstanding borrowings under the Credit Facility was</w:t>
      </w:r>
    </w:p>
    <w:p>
      <w:pPr>
        <w:spacing w:after="0" w:line="2"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3.79%. The Credit Facility is guaranteed by certain of our domestic subsidiaries and collateralized by substantially all of our respective assets. The Credit Facility contains financial covenants regarding a maximum leverage ratio, a maximum senior secured leverage ratio and a minimum interest coverage ratio. In addition, the Credit Facility contains covenants that restrict, among other things, our ability to sell assets, make investments and acquisitions, make capital expenditures, grant liens, pay dividends and make certain other restricted payments. At December 30, 2011, we had $170.0 million in principal amount of outstanding borrowings under the Credit Facility and $13.0 million outstanding under standby letters of credit, leaving borrowing availability under the Credit Facility as of December 30, 2011 of $142.0 million. On October 31, 2011, we amended the Credit Facility to revise the definition of EBITDA for certain earnings impacts related to the delay in the launch of our ViaSat-1 satellite.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a summary of our obligations at December 30, 2011:</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For the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Remainder of</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12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thousands, including interest where applicable)</w:t>
            </w:r>
          </w:p>
        </w:tc>
        <w:tc>
          <w:tcPr>
            <w:tcW w:w="3400" w:type="dxa"/>
            <w:vAlign w:val="bottom"/>
            <w:vMerge w:val="restart"/>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4"/>
                <w:szCs w:val="14"/>
                <w:color w:val="auto"/>
              </w:rPr>
            </w:pPr>
          </w:p>
        </w:tc>
        <w:tc>
          <w:tcPr>
            <w:tcW w:w="9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9"/>
              </w:rPr>
              <w:t>Fiscal Year</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gridSpan w:val="8"/>
          </w:tcPr>
          <w:p>
            <w:pPr>
              <w:ind w:left="420"/>
              <w:spacing w:after="0"/>
              <w:rPr>
                <w:sz w:val="20"/>
                <w:szCs w:val="20"/>
                <w:color w:val="auto"/>
              </w:rPr>
            </w:pPr>
            <w:r>
              <w:rPr>
                <w:rFonts w:ascii="Arial" w:cs="Arial" w:eastAsia="Arial" w:hAnsi="Arial"/>
                <w:sz w:val="14"/>
                <w:szCs w:val="14"/>
                <w:b w:val="1"/>
                <w:bCs w:val="1"/>
                <w:color w:val="auto"/>
              </w:rPr>
              <w:t>For the Fiscal Years Ending</w:t>
            </w:r>
          </w:p>
        </w:tc>
        <w:tc>
          <w:tcPr>
            <w:tcW w:w="0" w:type="dxa"/>
            <w:vAlign w:val="bottom"/>
          </w:tcPr>
          <w:p>
            <w:pPr>
              <w:spacing w:after="0"/>
              <w:rPr>
                <w:sz w:val="1"/>
                <w:szCs w:val="1"/>
                <w:color w:val="auto"/>
              </w:rPr>
            </w:pPr>
          </w:p>
        </w:tc>
      </w:tr>
      <w:tr>
        <w:trPr>
          <w:trHeight w:val="149"/>
        </w:trPr>
        <w:tc>
          <w:tcPr>
            <w:tcW w:w="3120" w:type="dxa"/>
            <w:vAlign w:val="bottom"/>
            <w:tcBorders>
              <w:bottom w:val="single" w:sz="8" w:color="auto"/>
            </w:tcBorders>
            <w:vMerge w:val="continue"/>
          </w:tcPr>
          <w:p>
            <w:pPr>
              <w:spacing w:after="0"/>
              <w:rPr>
                <w:sz w:val="12"/>
                <w:szCs w:val="12"/>
                <w:color w:val="auto"/>
              </w:rPr>
            </w:pPr>
          </w:p>
        </w:tc>
        <w:tc>
          <w:tcPr>
            <w:tcW w:w="34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center"/>
              <w:ind w:right="36"/>
              <w:spacing w:after="0" w:line="129" w:lineRule="exact"/>
              <w:rPr>
                <w:sz w:val="20"/>
                <w:szCs w:val="20"/>
                <w:color w:val="auto"/>
              </w:rPr>
            </w:pPr>
            <w:r>
              <w:rPr>
                <w:rFonts w:ascii="Arial" w:cs="Arial" w:eastAsia="Arial" w:hAnsi="Arial"/>
                <w:sz w:val="14"/>
                <w:szCs w:val="14"/>
                <w:b w:val="1"/>
                <w:bCs w:val="1"/>
                <w:color w:val="auto"/>
                <w:w w:val="83"/>
              </w:rPr>
              <w:t>2012</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2"/>
              </w:rPr>
              <w:t>2013-2014</w:t>
            </w:r>
          </w:p>
        </w:tc>
        <w:tc>
          <w:tcPr>
            <w:tcW w:w="98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rPr>
              <w:t>2015-2016</w:t>
            </w:r>
          </w:p>
        </w:tc>
        <w:tc>
          <w:tcPr>
            <w:tcW w:w="3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0"/>
              </w:rPr>
              <w:t>Thereafter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5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Operating leases and satellite capacity agreements</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180,188</w:t>
            </w: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11,616</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74,177</w:t>
            </w: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37,902</w:t>
            </w: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56,493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20" w:type="dxa"/>
            <w:vAlign w:val="bottom"/>
            <w:gridSpan w:val="2"/>
          </w:tcPr>
          <w:p>
            <w:pPr>
              <w:spacing w:after="0"/>
              <w:rPr>
                <w:sz w:val="20"/>
                <w:szCs w:val="20"/>
                <w:color w:val="auto"/>
              </w:rPr>
            </w:pPr>
            <w:r>
              <w:rPr>
                <w:rFonts w:ascii="Arial" w:cs="Arial" w:eastAsia="Arial" w:hAnsi="Arial"/>
                <w:sz w:val="18"/>
                <w:szCs w:val="18"/>
                <w:color w:val="auto"/>
              </w:rPr>
              <w:t>Capital lease</w:t>
            </w: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2,421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2,093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Notes</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389,914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48,813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48,813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286,186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2"/>
          </w:tcPr>
          <w:p>
            <w:pPr>
              <w:spacing w:after="0"/>
              <w:rPr>
                <w:sz w:val="20"/>
                <w:szCs w:val="20"/>
                <w:color w:val="auto"/>
              </w:rPr>
            </w:pPr>
            <w:r>
              <w:rPr>
                <w:rFonts w:ascii="Arial" w:cs="Arial" w:eastAsia="Arial" w:hAnsi="Arial"/>
                <w:sz w:val="18"/>
                <w:szCs w:val="18"/>
                <w:color w:val="auto"/>
              </w:rPr>
              <w:t>Line of credit</w:t>
            </w: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170,000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170,000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Standby letters of credit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13,043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20" w:type="dxa"/>
            <w:vAlign w:val="bottom"/>
            <w:gridSpan w:val="2"/>
          </w:tcPr>
          <w:p>
            <w:pPr>
              <w:spacing w:after="0"/>
              <w:rPr>
                <w:sz w:val="20"/>
                <w:szCs w:val="20"/>
                <w:color w:val="auto"/>
              </w:rPr>
            </w:pPr>
            <w:r>
              <w:rPr>
                <w:rFonts w:ascii="Arial" w:cs="Arial" w:eastAsia="Arial" w:hAnsi="Arial"/>
                <w:sz w:val="18"/>
                <w:szCs w:val="18"/>
                <w:color w:val="auto"/>
              </w:rPr>
              <w:t>Satellite orbital performance incentives</w:t>
            </w: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39,443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3,340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3,821</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31,825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commitments including satellite-related agreements</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387,832</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84,258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132,107</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92,196</w:t>
            </w: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520" w:type="dxa"/>
            <w:vAlign w:val="bottom"/>
            <w:gridSpan w:val="2"/>
          </w:tcPr>
          <w:p>
            <w:pPr>
              <w:spacing w:after="0"/>
              <w:rPr>
                <w:sz w:val="20"/>
                <w:szCs w:val="20"/>
                <w:color w:val="auto"/>
              </w:rPr>
            </w:pPr>
            <w:r>
              <w:rPr>
                <w:rFonts w:ascii="Arial" w:cs="Arial" w:eastAsia="Arial" w:hAnsi="Arial"/>
                <w:sz w:val="18"/>
                <w:szCs w:val="18"/>
                <w:color w:val="auto"/>
              </w:rPr>
              <w:t>Total</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1,182,841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108,512</w:t>
            </w:r>
          </w:p>
        </w:tc>
        <w:tc>
          <w:tcPr>
            <w:tcW w:w="16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267,822</w:t>
            </w:r>
          </w:p>
        </w:tc>
        <w:tc>
          <w:tcPr>
            <w:tcW w:w="4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352,732</w:t>
            </w:r>
          </w:p>
        </w:tc>
        <w:tc>
          <w:tcPr>
            <w:tcW w:w="3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453,775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We purchase components from a variety of suppliers and use several subcontractors and contract manufacturers to provide design and manufacturing services for our products. During the normal course of business, we enter into agreements with subcontractors, contract manufacturers and suppliers that either allow them to procure inventory based upon criteria defined by us or that establish the parameters defining our requirements. Pursuant to our satellite-related activities, we may be required to pay up to $39.4 million including interest to SS/L, the manufacturer of our ViaSat-1 satellite, for orbital performance incentives over a fifteen-year period based on the performance of the satellite. As of December 30, 2011, we recorded a $22.3 million liability representing the net present value of these expected estimated future in-orbit incentive payments. From time to time we also contract for satellite capacity, satellite construction, launch service and launch insurance as part of our satellite services segment. In certain instances, these agreements allow us the option to cancel, reschedule and adjust our requirements based on our business needs prior to firm orders being placed. Consequently, only a portion of our reported purchase commitments arising from these agreements are firm, non-cancelable and unconditional commitments.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Our condensed consolidated balance sheets included $45.2 million and $23.8 million of “other liabilities” as of December 30, 2011 and April 1, 2011, respectively, which primarily consisted of our long-term orbital performance incentives, long-term warranty obligations, long-term portion of deferred rent, long-term portion of deferred revenue and long-term unrecognized tax position liabilities. With the exception of our long-term orbital performance incentives, these remaining liabilities have been excluded from the above table as the timing and/or the amount of any cash payment is uncertain. See Note 9 to our condensed consolidated financial statements for additional information regarding our income taxes and related tax positions, and Note 7 to our condensed consolidated financial statements for a discussion of our product warranties.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We had no material off-balance sheet arrangements at December 30, 2011 as defined in Regulation S-K Item 303(a)(4) other than as discussed under Contractual Obligations above or disclosed in the notes to our consolidated financial statements included in this Quarterly Report or in our Annual Report on Form 10-K for the year ended April 1, 2011.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Authoritative Guidance</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October 2009, the FASB issued authoritative guidance for revenue recognition with multiple deliverables (ASU 2009-13, which updated ASC 605-25). This new guidance impacts the determination of when the individual deliverables included in a multiple-element arrangement may be treated as separate units of accounting. Additionally, this authoritative guidance modifies the manner in which the transaction consideration is allocated across the separately identified deliverables by no longer permitting the residual method of allocating arrangement consideration. We adopted this authoritative guidance in the first quarter of fiscal year 2012 without a material impact on our consolidated financial statements and disclosures.</w:t>
      </w:r>
    </w:p>
    <w:p>
      <w:pPr>
        <w:spacing w:after="0" w:line="1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May 2011, the FASB issued ASU 2011-04, Fair Value Measurement (ASC 820): Amendments to Achieve Common Fair Value Measurement and Disclosure Requirements in GAAP and International Financial Reporting Standards (IFRS). The new authoritative guidance results in a consistent definition of fair value and common requirements for measurement of and disclosure about fair value between GAAP and IFRS. While many of the amendments to GAAP are not expected to have a significant effect on practice, the new guidance changes some fair value measurement principles and disclosure requirements. This authoritative guidance will be effective for us beginning in the fourth quarter of fiscal year 2012. Adoption of this authoritative guidance is not expected to have a material impact on our consolidated financial statements and disclosures.</w:t>
      </w:r>
    </w:p>
    <w:p>
      <w:pPr>
        <w:spacing w:after="0" w:line="12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In June 2011, the FASB issued ASU No. 2011-05, Comprehensive Income (ASC 220): Presentation of Comprehensive Income. The new authoritative guidance requires an entity to present the total of comprehensive income, the components of net income, and the components of other comprehensive income either in a single continuous statement of comprehensive income or in two separate but consecutive statements. The new authoritative guidance eliminates the option to present the components of other comprehensive income as part of the statement of equity. In December 2011, the FASB further amended its guidance to defer changes related to the presentation of reclassification adjustments indefinitely as a result of concerns raised by stakeholders that the new presentation requirements would be difficult for preparers and add unnecessary complexity to financial statements. The authoritative guidance (other than the portion regarding the presentation of reclassification adjustments which, as noted above, has been deferred indefinitely) will be effective for us beginning in the first quarter of fiscal year 2013 and should be applied retrospectively; however, early adoption is permitted. The authoritative guidance, as amended, will impact the presentation of the financial statements but will not impact our financial position, results of operations or cash flows.</w:t>
      </w:r>
    </w:p>
    <w:p>
      <w:pPr>
        <w:spacing w:after="0" w:line="12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September 2011, the FASB issued ASU No. 2011-08, Intangibles—Goodwill and Other (ASC 350): Testing Goodwill for Impairment. The new authoritative guidance simplifies how an entity tests goodwill for impairment. The new authoritative guidance allows an entity to first assess qualitative factors to determine whether it is necessary to perform the two-step quantitative goodwill impairment test. The two-step quantitative impairment test is required only if, based on its qualitative assessment, an entity determines that it is more likely than not that the fair value of a reporting unit is less than its carrying amount. This authoritative guidance is effective for interim and annual goodwill impairment tests performed for fiscal years beginning after December 15, 2011. Early adoption is permitted if an entity’s financial statements for the more recent interim and annual period have not yet been issued. We will early adopt this authoritative guidance in the fourth quarter of fiscal year 2012. Adoption of this authoritative guidance is not expected to have a material impact on our consolidated financial statements and disclosures.</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December 2011, the FASB issued ASU 2011-11, Balance Sheet (ASC 210): Disclosures about offsetting Assets and Liabilities. The new authoritative guidance requires an entity to disclose information about offsetting and related arrangements to enable users of its financial statements to evaluate the effect or potential effect of netting arrangements on an entity’s financial position, including the effect or potential effect of rights of setoff associated with certain financial instruments and derivative instruments in the scope of this authoritative guidance. This authoritative guidance will be effective for us beginning in the first quarter of fiscal year 2014 and should be applied retrospectively for all comparative periods presented. We are currently evaluating the impact that this authoritative guidance may have on its consolidated financial statements and disclosures.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Our financial instruments consist of cash and cash equivalents, trade accounts receivable, accounts payable, and short-term and long-term obligations, including the Credit Facility and the Notes. We consider investments in highly liquid instruments purchased with a remaining maturity of three months or less at the date of purchase to be cash equivalents. As of December 30, 2011, we had $170.0 million and $275.0 million in principal amount of outstanding borrowings under our Credit Facility and Notes, respectively, and we held no short-term investments. Since the Notes bear interest at a fixed rate, exposure to market risk for changes in interest rates relates primarily to borrowings under our Credit Facility, cash equivalents, short-term investments and short-term obligations.</w:t>
      </w:r>
    </w:p>
    <w:p>
      <w:pPr>
        <w:spacing w:after="0" w:line="116"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The primary objective of our investment activities is to preserve principal while at the same time maximizing the income we receive from our investments without significantly increasing risk. To minimize risk, we maintain a significant portion of our cash balance in money market funds. In general, money market funds are not subject to interest rate risk because the interest paid on such funds fluctuates with the prevailing interest rate. Our cash and cash equivalents earn interest at variable rates. Given recent declines in interest rates, our interest income has been and may continue to be negatively impacted. Fixed rate securities may have their fair market value adversely impacted due to a rise in interest rates, while floating rate securities may produce less income than expected if interest rates fall. If the underlying weighted average interest rate on our cash and cash equivalents, assuming balances remain constant over a year, changed by 50 basis points, interest income would have increased or decreased by approximately $0.1 million. Because our investment policy restricts us to invest in conservative, interest-bearing investments and because our business strategy does not rely on generating material returns from our investment portfolio, we do not expect our market risk exposure on our investment portfolio to be material.</w:t>
      </w:r>
    </w:p>
    <w:p>
      <w:pPr>
        <w:spacing w:after="0" w:line="12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As of December 30, 2011, we had $170.0 million in principal amount of outstanding borrowings under our Credit Facility. Our primary interest rate under the Credit Facility is the Eurodollar rate plus an applicable margin that is based on the ratio of our debt to EBITDA. As of December 30, 2011, the weighted average effective interest rate on our outstanding borrowings under the Credit Facility was 3.79%. Assuming the outstanding balance remained constant over a year, a 50 basis point increase in the interest rate would increase interest incurred prior to effects of capitalized interest and cash flow by approximately $0.9 million over a twelve-month period.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risk</w:t>
      </w:r>
    </w:p>
    <w:p>
      <w:pPr>
        <w:spacing w:after="0" w:line="90"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We generally conduct our business in U.S. dollars. However, as our international business is conducted in a variety of foreign currencies and we pay some of our vendors in Euros, we are exposed to fluctuations in foreign currency exchange rates. Our objective in managing our exposure to foreign currency risk is to reduce earnings and cash flow volatility associated with foreign exchange rate fluctuations. Accordingly, from time to time, we may enter into foreign currency forward contracts to mitigate risks associated with foreign currency denominated assets, liabilities, commitments and anticipated foreign currency transactions.</w:t>
      </w:r>
    </w:p>
    <w:p>
      <w:pPr>
        <w:spacing w:after="0" w:line="9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of December 30, 2011, we had a number of foreign currency forward contracts outstanding which are intended to reduce the foreign currency risk for amounts payable to vendors in Euros. The foreign currency forward contracts with a notional amount of $10.8 million had a fair value of approximately $0.7 million and were recorded in accrued liabilities as of December 30, 2011. The fair value of these foreign currency forward contracts as of December 30, 2011 would have changed by approximately $1.0 million if the foreign currency forward rate for the Euro to the U.S. dollar on these foreign currency forward contracts had changed by 10%.</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maintain disclosure controls and procedures designed to provide reasonable assurance of achieving the objective that information in our Exchange Act reports is recorded, processed, summarized and reported within the time periods specified and pursuant to the requirements of the SEC’s rules and forms and that such information is accumulated and communicated to our management, including our Chief Executive Officer and Chief Financial Officer, as appropriate to allow for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20" w:lineRule="exact"/>
        <w:rPr>
          <w:sz w:val="20"/>
          <w:szCs w:val="20"/>
          <w:color w:val="auto"/>
        </w:rPr>
      </w:pPr>
    </w:p>
    <w:p>
      <w:pPr>
        <w:jc w:val="both"/>
        <w:ind w:right="120" w:firstLine="456"/>
        <w:spacing w:after="0" w:line="256" w:lineRule="auto"/>
        <w:rPr>
          <w:sz w:val="20"/>
          <w:szCs w:val="20"/>
          <w:color w:val="auto"/>
        </w:rPr>
      </w:pPr>
      <w:r>
        <w:rPr>
          <w:rFonts w:ascii="Arial" w:cs="Arial" w:eastAsia="Arial" w:hAnsi="Arial"/>
          <w:sz w:val="18"/>
          <w:szCs w:val="18"/>
          <w:color w:val="auto"/>
        </w:rPr>
        <w:t>As required by SEC Rule 13a-15(b), we carried out an evaluation, with the participation of our management, including our Chief Executive Officer and Chief Financial Officer, of the effectiveness of our disclosure controls and procedures as of December 30, 2011, the end of the period covered by this Quarterly Report. Based upon the foregoing, our Chief Executive Officer and Chief Financial Officer concluded that our disclosure controls and procedures were effective at a reasonable assurance level as of December 30, 2011.</w:t>
      </w:r>
    </w:p>
    <w:p>
      <w:pPr>
        <w:spacing w:after="0" w:line="143" w:lineRule="exact"/>
        <w:rPr>
          <w:sz w:val="20"/>
          <w:szCs w:val="20"/>
          <w:color w:val="auto"/>
        </w:rPr>
      </w:pPr>
    </w:p>
    <w:p>
      <w:pPr>
        <w:jc w:val="both"/>
        <w:ind w:right="120" w:firstLine="456"/>
        <w:spacing w:after="0" w:line="268" w:lineRule="auto"/>
        <w:rPr>
          <w:sz w:val="20"/>
          <w:szCs w:val="20"/>
          <w:color w:val="auto"/>
        </w:rPr>
      </w:pPr>
      <w:r>
        <w:rPr>
          <w:rFonts w:ascii="Arial" w:cs="Arial" w:eastAsia="Arial" w:hAnsi="Arial"/>
          <w:sz w:val="18"/>
          <w:szCs w:val="18"/>
          <w:color w:val="auto"/>
        </w:rPr>
        <w:t>During the period covered by this Quarterly Report, there were no changes in our internal control over financial reporting that have materially affected, or are reasonably likely to materially affect, our internal control over financial reporting.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From time to time, we are involved in a variety of claims, suits, investigations and proceedings arising in the ordinary course of business, including actions with respect to intellectual property claims, breach of contract claims, labor and employment claims, tax and other matters. Although claims, suits, investigations and proceedings are inherently uncertain and their results cannot be predicted with certainty, we believe that the resolution of our current pending matters will not have a material adverse effect on our business, financial condition, results of operations or liquidity. Regardless of the outcome, litigation can have an adverse impact on us because of defense costs, diversion of management resources and other factors. In addition, it is possible that an unfavorable resolution of one or more such proceedings could in the future materially and adversely affect our business, financial condition, results of operations or liquidity in a particular period.</w:t>
      </w:r>
    </w:p>
    <w:p>
      <w:pPr>
        <w:spacing w:after="0" w:line="12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On February 1, 2012, we filed a complaint against SS/L in the United States District Court for the Southern District of California for patent infringement and breach of contract relating to the manufacture of ViaSat-1. We allege, among other things, that SS/L infringed U.S. Patent Nos. 8,107,875, 8,010,043, 8,068,827 and 7,773,942 by making, using, offering to sell and/or selling other high-capacity broadband satellites. We have requested monetary damages, injunctive relief and other remedies. This case is currently pending.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addition to the other information set forth in this Quarterly Report, you should carefully consider the factors discussed in Part I, Item 1A, “Risk Factors” in our Annual Report on Form 10-K for the fiscal year ended April 1, 2011 and in our Quarterly Report on Form 10-Q for the quarter ended September 30, 2011, which could materially affect our business, financial condition, liquidity or future results. The risks described in our reports on Forms 10-K and 10-Q are not the only risks facing our company. Additional risks and uncertainties not currently known to us or that we currently deem to be immaterial also may materially adversely affect our business, financial condition, liquidity or future results.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 Index on page 56 is incorporated herein by reference as the list of exhibits required as part of this Quarterly Report.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February 8, 2012</w:t>
      </w:r>
      <w:r>
        <w:rPr>
          <w:sz w:val="20"/>
          <w:szCs w:val="20"/>
          <w:color w:val="auto"/>
        </w:rPr>
        <w:tab/>
      </w:r>
      <w:r>
        <w:rPr>
          <w:rFonts w:ascii="Arial" w:cs="Arial" w:eastAsia="Arial" w:hAnsi="Arial"/>
          <w:sz w:val="16"/>
          <w:szCs w:val="16"/>
          <w:color w:val="auto"/>
        </w:rPr>
        <w:t>VIASAT, INC.</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ARK</w:t>
      </w:r>
      <w:r>
        <w:rPr>
          <w:rFonts w:ascii="Arial" w:cs="Arial" w:eastAsia="Arial" w:hAnsi="Arial"/>
          <w:sz w:val="18"/>
          <w:szCs w:val="18"/>
          <w:color w:val="auto"/>
        </w:rPr>
        <w:t xml:space="preserve"> D. D</w:t>
      </w:r>
      <w:r>
        <w:rPr>
          <w:rFonts w:ascii="Arial" w:cs="Arial" w:eastAsia="Arial" w:hAnsi="Arial"/>
          <w:sz w:val="14"/>
          <w:szCs w:val="14"/>
          <w:color w:val="auto"/>
        </w:rPr>
        <w:t>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Mark D. Dankberg</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Chairman of the Board and Chief Executive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Executive Officer)</w:t>
      </w:r>
    </w:p>
    <w:p>
      <w:pPr>
        <w:spacing w:after="0" w:line="21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R</w:t>
      </w:r>
      <w:r>
        <w:rPr>
          <w:rFonts w:ascii="Arial" w:cs="Arial" w:eastAsia="Arial" w:hAnsi="Arial"/>
          <w:sz w:val="14"/>
          <w:szCs w:val="14"/>
          <w:color w:val="auto"/>
        </w:rPr>
        <w:t>ONALD</w:t>
      </w:r>
      <w:r>
        <w:rPr>
          <w:rFonts w:ascii="Arial" w:cs="Arial" w:eastAsia="Arial" w:hAnsi="Arial"/>
          <w:sz w:val="18"/>
          <w:szCs w:val="18"/>
          <w:color w:val="auto"/>
        </w:rPr>
        <w:t xml:space="preserve"> G. W</w:t>
      </w:r>
      <w:r>
        <w:rPr>
          <w:rFonts w:ascii="Arial" w:cs="Arial" w:eastAsia="Arial" w:hAnsi="Arial"/>
          <w:sz w:val="14"/>
          <w:szCs w:val="14"/>
          <w:color w:val="auto"/>
        </w:rPr>
        <w:t>ANGERIN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Ronald G. Wangerin</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Vice President, Chief Financial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Financial and Accounting Officer)</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11420"/>
          </w:cols>
          <w:pgMar w:left="240" w:top="459" w:right="239" w:bottom="1440" w:gutter="0" w:footer="0" w:header="0"/>
        </w:sect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Exhibit</w:t>
            </w:r>
          </w:p>
        </w:tc>
        <w:tc>
          <w:tcPr>
            <w:tcW w:w="2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20" w:type="dxa"/>
            <w:vAlign w:val="bottom"/>
            <w:gridSpan w:val="7"/>
          </w:tcPr>
          <w:p>
            <w:pPr>
              <w:spacing w:after="0"/>
              <w:rPr>
                <w:sz w:val="20"/>
                <w:szCs w:val="20"/>
                <w:color w:val="auto"/>
              </w:rPr>
            </w:pPr>
            <w:r>
              <w:rPr>
                <w:rFonts w:ascii="Arial" w:cs="Arial" w:eastAsia="Arial" w:hAnsi="Arial"/>
                <w:sz w:val="14"/>
                <w:szCs w:val="14"/>
                <w:b w:val="1"/>
                <w:bCs w:val="1"/>
                <w:color w:val="auto"/>
              </w:rPr>
              <w:t>Incorporated by Reference</w:t>
            </w:r>
          </w:p>
        </w:tc>
      </w:tr>
      <w:tr>
        <w:trPr>
          <w:trHeight w:val="136"/>
        </w:trPr>
        <w:tc>
          <w:tcPr>
            <w:tcW w:w="120" w:type="dxa"/>
            <w:vAlign w:val="bottom"/>
          </w:tcPr>
          <w:p>
            <w:pPr>
              <w:spacing w:after="0"/>
              <w:rPr>
                <w:sz w:val="11"/>
                <w:szCs w:val="11"/>
                <w:color w:val="auto"/>
              </w:rPr>
            </w:pPr>
          </w:p>
        </w:tc>
        <w:tc>
          <w:tcPr>
            <w:tcW w:w="74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90"/>
              </w:rPr>
              <w:t>Number</w:t>
            </w:r>
          </w:p>
        </w:tc>
        <w:tc>
          <w:tcPr>
            <w:tcW w:w="2220" w:type="dxa"/>
            <w:vAlign w:val="bottom"/>
          </w:tcPr>
          <w:p>
            <w:pPr>
              <w:spacing w:after="0"/>
              <w:rPr>
                <w:sz w:val="11"/>
                <w:szCs w:val="11"/>
                <w:color w:val="auto"/>
              </w:rPr>
            </w:pPr>
          </w:p>
        </w:tc>
        <w:tc>
          <w:tcPr>
            <w:tcW w:w="1180" w:type="dxa"/>
            <w:vAlign w:val="bottom"/>
            <w:tcBorders>
              <w:bottom w:val="single" w:sz="8" w:color="auto"/>
            </w:tcBorders>
          </w:tcPr>
          <w:p>
            <w:pPr>
              <w:ind w:left="20"/>
              <w:spacing w:after="0" w:line="129" w:lineRule="exact"/>
              <w:rPr>
                <w:sz w:val="20"/>
                <w:szCs w:val="20"/>
                <w:color w:val="auto"/>
              </w:rPr>
            </w:pPr>
            <w:r>
              <w:rPr>
                <w:rFonts w:ascii="Arial" w:cs="Arial" w:eastAsia="Arial" w:hAnsi="Arial"/>
                <w:sz w:val="14"/>
                <w:szCs w:val="14"/>
                <w:b w:val="1"/>
                <w:bCs w:val="1"/>
                <w:color w:val="auto"/>
                <w:w w:val="89"/>
              </w:rPr>
              <w:t>Exhibit Description</w:t>
            </w:r>
          </w:p>
        </w:tc>
        <w:tc>
          <w:tcPr>
            <w:tcW w:w="2320" w:type="dxa"/>
            <w:vAlign w:val="bottom"/>
          </w:tcPr>
          <w:p>
            <w:pPr>
              <w:spacing w:after="0"/>
              <w:rPr>
                <w:sz w:val="11"/>
                <w:szCs w:val="11"/>
                <w:color w:val="auto"/>
              </w:rPr>
            </w:pPr>
          </w:p>
        </w:tc>
        <w:tc>
          <w:tcPr>
            <w:tcW w:w="34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91"/>
              </w:rPr>
              <w:t>Form</w:t>
            </w:r>
          </w:p>
        </w:tc>
        <w:tc>
          <w:tcPr>
            <w:tcW w:w="3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86"/>
              </w:rPr>
              <w:t>File No.</w:t>
            </w:r>
          </w:p>
        </w:tc>
        <w:tc>
          <w:tcPr>
            <w:tcW w:w="2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9"/>
              </w:rPr>
              <w:t>Exhibit</w:t>
            </w:r>
          </w:p>
        </w:tc>
        <w:tc>
          <w:tcPr>
            <w:tcW w:w="1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ind w:left="20"/>
              <w:spacing w:after="0" w:line="129" w:lineRule="exact"/>
              <w:rPr>
                <w:sz w:val="20"/>
                <w:szCs w:val="20"/>
                <w:color w:val="auto"/>
              </w:rPr>
            </w:pPr>
            <w:r>
              <w:rPr>
                <w:rFonts w:ascii="Arial" w:cs="Arial" w:eastAsia="Arial" w:hAnsi="Arial"/>
                <w:sz w:val="14"/>
                <w:szCs w:val="14"/>
                <w:b w:val="1"/>
                <w:bCs w:val="1"/>
                <w:color w:val="auto"/>
                <w:w w:val="86"/>
              </w:rPr>
              <w:t>Filing Date</w:t>
            </w:r>
          </w:p>
        </w:tc>
        <w:tc>
          <w:tcPr>
            <w:tcW w:w="3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316"/>
        </w:trPr>
        <w:tc>
          <w:tcPr>
            <w:tcW w:w="640" w:type="dxa"/>
            <w:vAlign w:val="bottom"/>
            <w:gridSpan w:val="2"/>
          </w:tcPr>
          <w:p>
            <w:pPr>
              <w:jc w:val="right"/>
              <w:ind w:right="172"/>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4"/>
                <w:szCs w:val="24"/>
                <w:color w:val="auto"/>
              </w:rPr>
            </w:pPr>
          </w:p>
        </w:tc>
        <w:tc>
          <w:tcPr>
            <w:tcW w:w="5720" w:type="dxa"/>
            <w:vAlign w:val="bottom"/>
            <w:gridSpan w:val="3"/>
          </w:tcPr>
          <w:p>
            <w:pPr>
              <w:ind w:left="100"/>
              <w:spacing w:after="0"/>
              <w:rPr>
                <w:sz w:val="20"/>
                <w:szCs w:val="20"/>
                <w:color w:val="auto"/>
              </w:rPr>
            </w:pPr>
            <w:r>
              <w:rPr>
                <w:rFonts w:ascii="Arial" w:cs="Arial" w:eastAsia="Arial" w:hAnsi="Arial"/>
                <w:sz w:val="18"/>
                <w:szCs w:val="18"/>
                <w:color w:val="auto"/>
              </w:rPr>
              <w:t>Eighth Amendment to Fourth Amended and Restated Revolving Loan</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720" w:type="dxa"/>
            <w:vAlign w:val="bottom"/>
            <w:gridSpan w:val="3"/>
          </w:tcPr>
          <w:p>
            <w:pPr>
              <w:ind w:left="100"/>
              <w:spacing w:after="0"/>
              <w:rPr>
                <w:sz w:val="20"/>
                <w:szCs w:val="20"/>
                <w:color w:val="auto"/>
              </w:rPr>
            </w:pPr>
            <w:r>
              <w:rPr>
                <w:rFonts w:ascii="Arial" w:cs="Arial" w:eastAsia="Arial" w:hAnsi="Arial"/>
                <w:sz w:val="18"/>
                <w:szCs w:val="18"/>
                <w:color w:val="auto"/>
                <w:w w:val="92"/>
              </w:rPr>
              <w:t>Agreement, dated as of October 31, 2011, by and among ViaSat, Inc., Bank</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720" w:type="dxa"/>
            <w:vAlign w:val="bottom"/>
            <w:gridSpan w:val="3"/>
          </w:tcPr>
          <w:p>
            <w:pPr>
              <w:ind w:left="100"/>
              <w:spacing w:after="0"/>
              <w:rPr>
                <w:sz w:val="20"/>
                <w:szCs w:val="20"/>
                <w:color w:val="auto"/>
              </w:rPr>
            </w:pPr>
            <w:r>
              <w:rPr>
                <w:rFonts w:ascii="Arial" w:cs="Arial" w:eastAsia="Arial" w:hAnsi="Arial"/>
                <w:sz w:val="18"/>
                <w:szCs w:val="18"/>
                <w:color w:val="auto"/>
                <w:w w:val="97"/>
              </w:rPr>
              <w:t>of America, N.A., Union Bank, N.A., JPMorgan Chase Bank, N.A., Wells</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720" w:type="dxa"/>
            <w:vAlign w:val="bottom"/>
            <w:gridSpan w:val="3"/>
          </w:tcPr>
          <w:p>
            <w:pPr>
              <w:ind w:left="100"/>
              <w:spacing w:after="0"/>
              <w:rPr>
                <w:sz w:val="20"/>
                <w:szCs w:val="20"/>
                <w:color w:val="auto"/>
              </w:rPr>
            </w:pPr>
            <w:r>
              <w:rPr>
                <w:rFonts w:ascii="Arial" w:cs="Arial" w:eastAsia="Arial" w:hAnsi="Arial"/>
                <w:sz w:val="18"/>
                <w:szCs w:val="18"/>
                <w:color w:val="auto"/>
              </w:rPr>
              <w:t>Fargo Bank, National Association, Compass Bank, Credit Suisse AG,</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720" w:type="dxa"/>
            <w:vAlign w:val="bottom"/>
            <w:gridSpan w:val="3"/>
          </w:tcPr>
          <w:p>
            <w:pPr>
              <w:ind w:left="100"/>
              <w:spacing w:after="0"/>
              <w:rPr>
                <w:sz w:val="20"/>
                <w:szCs w:val="20"/>
                <w:color w:val="auto"/>
              </w:rPr>
            </w:pPr>
            <w:r>
              <w:rPr>
                <w:rFonts w:ascii="Arial" w:cs="Arial" w:eastAsia="Arial" w:hAnsi="Arial"/>
                <w:sz w:val="18"/>
                <w:szCs w:val="18"/>
                <w:color w:val="auto"/>
                <w:w w:val="94"/>
              </w:rPr>
              <w:t>Cayman Islands Branch, Bank of the West, and other lenders party thereto</w:t>
            </w:r>
          </w:p>
        </w:tc>
        <w:tc>
          <w:tcPr>
            <w:tcW w:w="640" w:type="dxa"/>
            <w:vAlign w:val="bottom"/>
            <w:gridSpan w:val="2"/>
          </w:tcPr>
          <w:p>
            <w:pPr>
              <w:ind w:left="60"/>
              <w:spacing w:after="0"/>
              <w:rPr>
                <w:sz w:val="20"/>
                <w:szCs w:val="20"/>
                <w:color w:val="auto"/>
              </w:rPr>
            </w:pPr>
            <w:r>
              <w:rPr>
                <w:rFonts w:ascii="Arial" w:cs="Arial" w:eastAsia="Arial" w:hAnsi="Arial"/>
                <w:sz w:val="18"/>
                <w:szCs w:val="18"/>
                <w:color w:val="auto"/>
              </w:rPr>
              <w:t>8-K</w:t>
            </w: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w w:val="92"/>
              </w:rPr>
              <w:t>000-21767</w:t>
            </w: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10.1</w:t>
            </w:r>
          </w:p>
        </w:tc>
        <w:tc>
          <w:tcPr>
            <w:tcW w:w="1500" w:type="dxa"/>
            <w:vAlign w:val="bottom"/>
            <w:gridSpan w:val="4"/>
          </w:tcPr>
          <w:p>
            <w:pPr>
              <w:ind w:left="180"/>
              <w:spacing w:after="0"/>
              <w:rPr>
                <w:sz w:val="20"/>
                <w:szCs w:val="20"/>
                <w:color w:val="auto"/>
              </w:rPr>
            </w:pPr>
            <w:r>
              <w:rPr>
                <w:rFonts w:ascii="Arial" w:cs="Arial" w:eastAsia="Arial" w:hAnsi="Arial"/>
                <w:sz w:val="18"/>
                <w:szCs w:val="18"/>
                <w:color w:val="auto"/>
                <w:w w:val="87"/>
              </w:rPr>
              <w:t>November 4, 2011</w:t>
            </w:r>
          </w:p>
        </w:tc>
      </w:tr>
      <w:tr>
        <w:trPr>
          <w:trHeight w:val="318"/>
        </w:trPr>
        <w:tc>
          <w:tcPr>
            <w:tcW w:w="640" w:type="dxa"/>
            <w:vAlign w:val="bottom"/>
            <w:gridSpan w:val="2"/>
          </w:tcPr>
          <w:p>
            <w:pPr>
              <w:jc w:val="right"/>
              <w:ind w:right="172"/>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24"/>
                <w:szCs w:val="24"/>
                <w:color w:val="auto"/>
              </w:rPr>
            </w:pPr>
          </w:p>
        </w:tc>
        <w:tc>
          <w:tcPr>
            <w:tcW w:w="5720" w:type="dxa"/>
            <w:vAlign w:val="bottom"/>
            <w:gridSpan w:val="3"/>
          </w:tcPr>
          <w:p>
            <w:pPr>
              <w:ind w:left="100"/>
              <w:spacing w:after="0"/>
              <w:rPr>
                <w:sz w:val="20"/>
                <w:szCs w:val="20"/>
                <w:color w:val="auto"/>
              </w:rPr>
            </w:pPr>
            <w:r>
              <w:rPr>
                <w:rFonts w:ascii="Arial" w:cs="Arial" w:eastAsia="Arial" w:hAnsi="Arial"/>
                <w:sz w:val="18"/>
                <w:szCs w:val="18"/>
                <w:color w:val="auto"/>
              </w:rPr>
              <w:t>Certification of Chief Executive Officer Pursuant to Section 302 of the</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2"/>
        </w:trPr>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720" w:type="dxa"/>
            <w:vAlign w:val="bottom"/>
            <w:gridSpan w:val="3"/>
          </w:tcPr>
          <w:p>
            <w:pPr>
              <w:ind w:left="100"/>
              <w:spacing w:after="0"/>
              <w:rPr>
                <w:sz w:val="20"/>
                <w:szCs w:val="20"/>
                <w:color w:val="auto"/>
              </w:rPr>
            </w:pPr>
            <w:r>
              <w:rPr>
                <w:rFonts w:ascii="Arial" w:cs="Arial" w:eastAsia="Arial" w:hAnsi="Arial"/>
                <w:sz w:val="18"/>
                <w:szCs w:val="18"/>
                <w:color w:val="auto"/>
              </w:rPr>
              <w:t>Sarbanes-Oxley Act of 2002</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18"/>
        </w:trPr>
        <w:tc>
          <w:tcPr>
            <w:tcW w:w="640" w:type="dxa"/>
            <w:vAlign w:val="bottom"/>
            <w:gridSpan w:val="2"/>
          </w:tcPr>
          <w:p>
            <w:pPr>
              <w:jc w:val="right"/>
              <w:ind w:right="172"/>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24"/>
                <w:szCs w:val="24"/>
                <w:color w:val="auto"/>
              </w:rPr>
            </w:pPr>
          </w:p>
        </w:tc>
        <w:tc>
          <w:tcPr>
            <w:tcW w:w="5720" w:type="dxa"/>
            <w:vAlign w:val="bottom"/>
            <w:gridSpan w:val="3"/>
          </w:tcPr>
          <w:p>
            <w:pPr>
              <w:ind w:left="100"/>
              <w:spacing w:after="0"/>
              <w:rPr>
                <w:sz w:val="20"/>
                <w:szCs w:val="20"/>
                <w:color w:val="auto"/>
              </w:rPr>
            </w:pPr>
            <w:r>
              <w:rPr>
                <w:rFonts w:ascii="Arial" w:cs="Arial" w:eastAsia="Arial" w:hAnsi="Arial"/>
                <w:sz w:val="18"/>
                <w:szCs w:val="18"/>
                <w:color w:val="auto"/>
              </w:rPr>
              <w:t>Certification of Chief Financial Officer Pursuant to Section 302 of the</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2"/>
        </w:trPr>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720" w:type="dxa"/>
            <w:vAlign w:val="bottom"/>
            <w:gridSpan w:val="3"/>
          </w:tcPr>
          <w:p>
            <w:pPr>
              <w:ind w:left="100"/>
              <w:spacing w:after="0"/>
              <w:rPr>
                <w:sz w:val="20"/>
                <w:szCs w:val="20"/>
                <w:color w:val="auto"/>
              </w:rPr>
            </w:pPr>
            <w:r>
              <w:rPr>
                <w:rFonts w:ascii="Arial" w:cs="Arial" w:eastAsia="Arial" w:hAnsi="Arial"/>
                <w:sz w:val="18"/>
                <w:szCs w:val="18"/>
                <w:color w:val="auto"/>
              </w:rPr>
              <w:t>Sarbanes-Oxley Act of 2002</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18"/>
        </w:trPr>
        <w:tc>
          <w:tcPr>
            <w:tcW w:w="640" w:type="dxa"/>
            <w:vAlign w:val="bottom"/>
            <w:gridSpan w:val="2"/>
          </w:tcPr>
          <w:p>
            <w:pPr>
              <w:jc w:val="right"/>
              <w:ind w:right="172"/>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24"/>
                <w:szCs w:val="24"/>
                <w:color w:val="auto"/>
              </w:rPr>
            </w:pPr>
          </w:p>
        </w:tc>
        <w:tc>
          <w:tcPr>
            <w:tcW w:w="5720" w:type="dxa"/>
            <w:vAlign w:val="bottom"/>
            <w:gridSpan w:val="3"/>
          </w:tcPr>
          <w:p>
            <w:pPr>
              <w:ind w:left="100"/>
              <w:spacing w:after="0"/>
              <w:rPr>
                <w:sz w:val="20"/>
                <w:szCs w:val="20"/>
                <w:color w:val="auto"/>
              </w:rPr>
            </w:pPr>
            <w:r>
              <w:rPr>
                <w:rFonts w:ascii="Arial" w:cs="Arial" w:eastAsia="Arial" w:hAnsi="Arial"/>
                <w:sz w:val="18"/>
                <w:szCs w:val="18"/>
                <w:color w:val="auto"/>
                <w:w w:val="94"/>
              </w:rPr>
              <w:t>Certifications Pursuant to 18 U.S.C. Section 1350, as Adopted Pursuant to</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2"/>
        </w:trPr>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720" w:type="dxa"/>
            <w:vAlign w:val="bottom"/>
            <w:gridSpan w:val="3"/>
          </w:tcPr>
          <w:p>
            <w:pPr>
              <w:ind w:left="100"/>
              <w:spacing w:after="0"/>
              <w:rPr>
                <w:sz w:val="20"/>
                <w:szCs w:val="20"/>
                <w:color w:val="auto"/>
              </w:rPr>
            </w:pPr>
            <w:r>
              <w:rPr>
                <w:rFonts w:ascii="Arial" w:cs="Arial" w:eastAsia="Arial" w:hAnsi="Arial"/>
                <w:sz w:val="18"/>
                <w:szCs w:val="18"/>
                <w:color w:val="auto"/>
              </w:rPr>
              <w:t>Section 906 of the Sarbanes-Oxley Act of 2002</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24"/>
        </w:trPr>
        <w:tc>
          <w:tcPr>
            <w:tcW w:w="860" w:type="dxa"/>
            <w:vAlign w:val="bottom"/>
            <w:gridSpan w:val="3"/>
          </w:tcPr>
          <w:p>
            <w:pPr>
              <w:spacing w:after="0"/>
              <w:rPr>
                <w:sz w:val="20"/>
                <w:szCs w:val="20"/>
                <w:color w:val="auto"/>
              </w:rPr>
            </w:pPr>
            <w:r>
              <w:rPr>
                <w:rFonts w:ascii="Arial" w:cs="Arial" w:eastAsia="Arial" w:hAnsi="Arial"/>
                <w:sz w:val="18"/>
                <w:szCs w:val="18"/>
                <w:color w:val="auto"/>
              </w:rPr>
              <w:t>101.INS*</w:t>
            </w:r>
          </w:p>
        </w:tc>
        <w:tc>
          <w:tcPr>
            <w:tcW w:w="5720" w:type="dxa"/>
            <w:vAlign w:val="bottom"/>
            <w:gridSpan w:val="3"/>
          </w:tcPr>
          <w:p>
            <w:pPr>
              <w:ind w:left="100"/>
              <w:spacing w:after="0"/>
              <w:rPr>
                <w:sz w:val="20"/>
                <w:szCs w:val="20"/>
                <w:color w:val="auto"/>
              </w:rPr>
            </w:pPr>
            <w:r>
              <w:rPr>
                <w:rFonts w:ascii="Arial" w:cs="Arial" w:eastAsia="Arial" w:hAnsi="Arial"/>
                <w:sz w:val="18"/>
                <w:szCs w:val="18"/>
                <w:color w:val="auto"/>
              </w:rPr>
              <w:t>XBRL Instance Document</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860" w:type="dxa"/>
            <w:vAlign w:val="bottom"/>
            <w:gridSpan w:val="3"/>
          </w:tcPr>
          <w:p>
            <w:pPr>
              <w:jc w:val="center"/>
              <w:ind w:right="120"/>
              <w:spacing w:after="0"/>
              <w:rPr>
                <w:sz w:val="20"/>
                <w:szCs w:val="20"/>
                <w:color w:val="auto"/>
              </w:rPr>
            </w:pPr>
            <w:r>
              <w:rPr>
                <w:rFonts w:ascii="Arial" w:cs="Arial" w:eastAsia="Arial" w:hAnsi="Arial"/>
                <w:sz w:val="18"/>
                <w:szCs w:val="18"/>
                <w:color w:val="auto"/>
                <w:w w:val="92"/>
              </w:rPr>
              <w:t>101.SCH*</w:t>
            </w:r>
          </w:p>
        </w:tc>
        <w:tc>
          <w:tcPr>
            <w:tcW w:w="5720" w:type="dxa"/>
            <w:vAlign w:val="bottom"/>
            <w:gridSpan w:val="3"/>
          </w:tcPr>
          <w:p>
            <w:pPr>
              <w:ind w:left="100"/>
              <w:spacing w:after="0"/>
              <w:rPr>
                <w:sz w:val="20"/>
                <w:szCs w:val="20"/>
                <w:color w:val="auto"/>
              </w:rPr>
            </w:pPr>
            <w:r>
              <w:rPr>
                <w:rFonts w:ascii="Arial" w:cs="Arial" w:eastAsia="Arial" w:hAnsi="Arial"/>
                <w:sz w:val="18"/>
                <w:szCs w:val="18"/>
                <w:color w:val="auto"/>
              </w:rPr>
              <w:t>XBRL Taxonomy Extension Schema</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860" w:type="dxa"/>
            <w:vAlign w:val="bottom"/>
            <w:gridSpan w:val="3"/>
          </w:tcPr>
          <w:p>
            <w:pPr>
              <w:jc w:val="center"/>
              <w:ind w:right="100"/>
              <w:spacing w:after="0"/>
              <w:rPr>
                <w:sz w:val="20"/>
                <w:szCs w:val="20"/>
                <w:color w:val="auto"/>
              </w:rPr>
            </w:pPr>
            <w:r>
              <w:rPr>
                <w:rFonts w:ascii="Arial" w:cs="Arial" w:eastAsia="Arial" w:hAnsi="Arial"/>
                <w:sz w:val="18"/>
                <w:szCs w:val="18"/>
                <w:color w:val="auto"/>
                <w:w w:val="98"/>
              </w:rPr>
              <w:t>101.CAL*</w:t>
            </w:r>
          </w:p>
        </w:tc>
        <w:tc>
          <w:tcPr>
            <w:tcW w:w="5720" w:type="dxa"/>
            <w:vAlign w:val="bottom"/>
            <w:gridSpan w:val="3"/>
          </w:tcPr>
          <w:p>
            <w:pPr>
              <w:ind w:left="100"/>
              <w:spacing w:after="0"/>
              <w:rPr>
                <w:sz w:val="20"/>
                <w:szCs w:val="20"/>
                <w:color w:val="auto"/>
              </w:rPr>
            </w:pPr>
            <w:r>
              <w:rPr>
                <w:rFonts w:ascii="Arial" w:cs="Arial" w:eastAsia="Arial" w:hAnsi="Arial"/>
                <w:sz w:val="18"/>
                <w:szCs w:val="18"/>
                <w:color w:val="auto"/>
              </w:rPr>
              <w:t>XBRL Taxonomy Extension Calculation Linkbase</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860" w:type="dxa"/>
            <w:vAlign w:val="bottom"/>
            <w:gridSpan w:val="3"/>
          </w:tcPr>
          <w:p>
            <w:pPr>
              <w:jc w:val="center"/>
              <w:ind w:right="100"/>
              <w:spacing w:after="0"/>
              <w:rPr>
                <w:sz w:val="20"/>
                <w:szCs w:val="20"/>
                <w:color w:val="auto"/>
              </w:rPr>
            </w:pPr>
            <w:r>
              <w:rPr>
                <w:rFonts w:ascii="Arial" w:cs="Arial" w:eastAsia="Arial" w:hAnsi="Arial"/>
                <w:sz w:val="18"/>
                <w:szCs w:val="18"/>
                <w:color w:val="auto"/>
                <w:w w:val="99"/>
              </w:rPr>
              <w:t>101.LAB*</w:t>
            </w:r>
          </w:p>
        </w:tc>
        <w:tc>
          <w:tcPr>
            <w:tcW w:w="5720" w:type="dxa"/>
            <w:vAlign w:val="bottom"/>
            <w:gridSpan w:val="3"/>
          </w:tcPr>
          <w:p>
            <w:pPr>
              <w:ind w:left="100"/>
              <w:spacing w:after="0"/>
              <w:rPr>
                <w:sz w:val="20"/>
                <w:szCs w:val="20"/>
                <w:color w:val="auto"/>
              </w:rPr>
            </w:pPr>
            <w:r>
              <w:rPr>
                <w:rFonts w:ascii="Arial" w:cs="Arial" w:eastAsia="Arial" w:hAnsi="Arial"/>
                <w:sz w:val="18"/>
                <w:szCs w:val="18"/>
                <w:color w:val="auto"/>
              </w:rPr>
              <w:t>XBRL Taxonomy Extension Labels Linkbase</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860" w:type="dxa"/>
            <w:vAlign w:val="bottom"/>
            <w:gridSpan w:val="3"/>
          </w:tcPr>
          <w:p>
            <w:pPr>
              <w:jc w:val="center"/>
              <w:ind w:right="140"/>
              <w:spacing w:after="0"/>
              <w:rPr>
                <w:sz w:val="20"/>
                <w:szCs w:val="20"/>
                <w:color w:val="auto"/>
              </w:rPr>
            </w:pPr>
            <w:r>
              <w:rPr>
                <w:rFonts w:ascii="Arial" w:cs="Arial" w:eastAsia="Arial" w:hAnsi="Arial"/>
                <w:sz w:val="18"/>
                <w:szCs w:val="18"/>
                <w:color w:val="auto"/>
                <w:w w:val="91"/>
              </w:rPr>
              <w:t>101.PRE*</w:t>
            </w:r>
          </w:p>
        </w:tc>
        <w:tc>
          <w:tcPr>
            <w:tcW w:w="5720" w:type="dxa"/>
            <w:vAlign w:val="bottom"/>
            <w:gridSpan w:val="3"/>
          </w:tcPr>
          <w:p>
            <w:pPr>
              <w:ind w:left="100"/>
              <w:spacing w:after="0"/>
              <w:rPr>
                <w:sz w:val="20"/>
                <w:szCs w:val="20"/>
                <w:color w:val="auto"/>
              </w:rPr>
            </w:pPr>
            <w:r>
              <w:rPr>
                <w:rFonts w:ascii="Arial" w:cs="Arial" w:eastAsia="Arial" w:hAnsi="Arial"/>
                <w:sz w:val="18"/>
                <w:szCs w:val="18"/>
                <w:color w:val="auto"/>
              </w:rPr>
              <w:t>XBRL Taxonomy Extension Presentation Linkbase</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860" w:type="dxa"/>
            <w:vAlign w:val="bottom"/>
            <w:gridSpan w:val="3"/>
          </w:tcPr>
          <w:p>
            <w:pPr>
              <w:jc w:val="center"/>
              <w:ind w:right="120"/>
              <w:spacing w:after="0"/>
              <w:rPr>
                <w:sz w:val="20"/>
                <w:szCs w:val="20"/>
                <w:color w:val="auto"/>
              </w:rPr>
            </w:pPr>
            <w:r>
              <w:rPr>
                <w:rFonts w:ascii="Arial" w:cs="Arial" w:eastAsia="Arial" w:hAnsi="Arial"/>
                <w:sz w:val="18"/>
                <w:szCs w:val="18"/>
                <w:color w:val="auto"/>
                <w:w w:val="94"/>
              </w:rPr>
              <w:t>101.DEF*</w:t>
            </w:r>
          </w:p>
        </w:tc>
        <w:tc>
          <w:tcPr>
            <w:tcW w:w="5720" w:type="dxa"/>
            <w:vAlign w:val="bottom"/>
            <w:gridSpan w:val="3"/>
          </w:tcPr>
          <w:p>
            <w:pPr>
              <w:ind w:left="100"/>
              <w:spacing w:after="0"/>
              <w:rPr>
                <w:sz w:val="20"/>
                <w:szCs w:val="20"/>
                <w:color w:val="auto"/>
              </w:rPr>
            </w:pPr>
            <w:r>
              <w:rPr>
                <w:rFonts w:ascii="Arial" w:cs="Arial" w:eastAsia="Arial" w:hAnsi="Arial"/>
                <w:sz w:val="18"/>
                <w:szCs w:val="18"/>
                <w:color w:val="auto"/>
              </w:rPr>
              <w:t>XBRL Taxonomy Extension Definition Linkbase</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Filed</w:t>
      </w:r>
    </w:p>
    <w:p>
      <w:pPr>
        <w:spacing w:after="0" w:line="2" w:lineRule="exact"/>
        <w:rPr>
          <w:sz w:val="20"/>
          <w:szCs w:val="20"/>
          <w:color w:val="auto"/>
        </w:rPr>
      </w:pPr>
    </w:p>
    <w:p>
      <w:pPr>
        <w:jc w:val="center"/>
        <w:ind w:right="100"/>
        <w:spacing w:after="0"/>
        <w:rPr>
          <w:sz w:val="20"/>
          <w:szCs w:val="20"/>
          <w:color w:val="auto"/>
        </w:rPr>
      </w:pPr>
      <w:r>
        <w:rPr>
          <w:rFonts w:ascii="Arial" w:cs="Arial" w:eastAsia="Arial" w:hAnsi="Arial"/>
          <w:sz w:val="12"/>
          <w:szCs w:val="12"/>
          <w:b w:val="1"/>
          <w:bCs w:val="1"/>
          <w:u w:val="single" w:color="auto"/>
          <w:color w:val="auto"/>
        </w:rPr>
        <w: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X</w:t>
      </w:r>
    </w:p>
    <w:p>
      <w:pPr>
        <w:spacing w:after="0" w:line="33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X</w:t>
      </w:r>
    </w:p>
    <w:p>
      <w:pPr>
        <w:spacing w:after="0" w:line="33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X</w:t>
      </w:r>
    </w:p>
    <w:p>
      <w:pPr>
        <w:spacing w:after="0" w:line="157" w:lineRule="exact"/>
        <w:rPr>
          <w:sz w:val="20"/>
          <w:szCs w:val="20"/>
          <w:color w:val="auto"/>
        </w:rPr>
      </w:pPr>
    </w:p>
    <w:p>
      <w:pPr>
        <w:sectPr>
          <w:pgSz w:w="11900" w:h="16838" w:orient="portrait"/>
          <w:cols w:equalWidth="0" w:num="2">
            <w:col w:w="10460" w:space="320"/>
            <w:col w:w="640"/>
          </w:cols>
          <w:pgMar w:left="240" w:top="459" w:right="239" w:bottom="1440" w:gutter="0" w:footer="0" w:header="0"/>
          <w:type w:val="continuous"/>
        </w:sectPr>
      </w:pPr>
    </w:p>
    <w:p>
      <w:pPr>
        <w:ind w:left="220" w:hanging="212"/>
        <w:spacing w:after="0" w:line="290" w:lineRule="auto"/>
        <w:tabs>
          <w:tab w:leader="none" w:pos="2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Attached as Exhibit 101 to this report are documents formatted in XBRL (Extensible Business Reporting Language). Pursuant to applicable securities laws and regulations, we are deemed to have complied with the reporting obligation relating to the submission of interactive data files in such exhibits and are not subject to liability under any anti-fraud provisions of the federal securities laws as long as we have made a good faith attempt to comply with the submission requirements and promptly amend the interactive data files after becoming aware that the interactive data files fail to comply with the submission requirements. Users of this data are advised that, pursuant to Rule 406T of Regulation S-T, these interactive data files are deemed not filed for purposes of Section 18 of the Securities Exchange Act of 1934, as amended, are deemed not filed or part of any registration statement or prospectus for purposes of Sections 11 or 12 of the Securities Act of 1933, as amended, and are otherwise not subject to liability under these sections.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type w:val="continuous"/>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 PURSUANT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Mark D. Dankberg, Chief Executive Officer of ViaSat, Inc., certify that:</w:t>
      </w:r>
    </w:p>
    <w:p>
      <w:pPr>
        <w:spacing w:after="0" w:line="90"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ViaSat,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 February 8, 2012</w:t>
      </w:r>
      <w:r>
        <w:rPr>
          <w:sz w:val="20"/>
          <w:szCs w:val="20"/>
          <w:color w:val="auto"/>
        </w:rPr>
        <w:tab/>
      </w:r>
      <w:r>
        <w:rPr>
          <w:rFonts w:ascii="Arial" w:cs="Arial" w:eastAsia="Arial" w:hAnsi="Arial"/>
          <w:sz w:val="16"/>
          <w:szCs w:val="16"/>
          <w:color w:val="auto"/>
        </w:rPr>
        <w:t>/s/ M</w:t>
      </w:r>
      <w:r>
        <w:rPr>
          <w:rFonts w:ascii="Arial" w:cs="Arial" w:eastAsia="Arial" w:hAnsi="Arial"/>
          <w:sz w:val="13"/>
          <w:szCs w:val="13"/>
          <w:color w:val="auto"/>
        </w:rPr>
        <w:t>ARK</w:t>
      </w:r>
      <w:r>
        <w:rPr>
          <w:rFonts w:ascii="Arial" w:cs="Arial" w:eastAsia="Arial" w:hAnsi="Arial"/>
          <w:sz w:val="16"/>
          <w:szCs w:val="16"/>
          <w:color w:val="auto"/>
        </w:rPr>
        <w:t xml:space="preserve"> D. D</w:t>
      </w:r>
      <w:r>
        <w:rPr>
          <w:rFonts w:ascii="Arial" w:cs="Arial" w:eastAsia="Arial" w:hAnsi="Arial"/>
          <w:sz w:val="13"/>
          <w:szCs w:val="13"/>
          <w:color w:val="auto"/>
        </w:rPr>
        <w:t>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Mark D. Dankberg</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 PURSUANT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Ronald G. Wangerin, Chief Financial Officer of ViaSat, Inc., certify that:</w:t>
      </w:r>
    </w:p>
    <w:p>
      <w:pPr>
        <w:spacing w:after="0" w:line="90"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ViaSat,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 February 8, 2012</w:t>
      </w:r>
      <w:r>
        <w:rPr>
          <w:sz w:val="20"/>
          <w:szCs w:val="20"/>
          <w:color w:val="auto"/>
        </w:rPr>
        <w:tab/>
      </w:r>
      <w:r>
        <w:rPr>
          <w:rFonts w:ascii="Arial" w:cs="Arial" w:eastAsia="Arial" w:hAnsi="Arial"/>
          <w:sz w:val="16"/>
          <w:szCs w:val="16"/>
          <w:color w:val="auto"/>
        </w:rPr>
        <w:t>/s/ R</w:t>
      </w:r>
      <w:r>
        <w:rPr>
          <w:rFonts w:ascii="Arial" w:cs="Arial" w:eastAsia="Arial" w:hAnsi="Arial"/>
          <w:sz w:val="13"/>
          <w:szCs w:val="13"/>
          <w:color w:val="auto"/>
        </w:rPr>
        <w:t>ONALD</w:t>
      </w:r>
      <w:r>
        <w:rPr>
          <w:rFonts w:ascii="Arial" w:cs="Arial" w:eastAsia="Arial" w:hAnsi="Arial"/>
          <w:sz w:val="16"/>
          <w:szCs w:val="16"/>
          <w:color w:val="auto"/>
        </w:rPr>
        <w:t xml:space="preserve"> G. W</w:t>
      </w:r>
      <w:r>
        <w:rPr>
          <w:rFonts w:ascii="Arial" w:cs="Arial" w:eastAsia="Arial" w:hAnsi="Arial"/>
          <w:sz w:val="13"/>
          <w:szCs w:val="13"/>
          <w:color w:val="auto"/>
        </w:rPr>
        <w:t>ANGERIN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Ronald G. Wangerin</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32.1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171"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ViaSat, Inc. (the “Company”) hereby certifies, to such officer’s knowledge, that:</w:t>
      </w:r>
    </w:p>
    <w:p>
      <w:pPr>
        <w:spacing w:after="0" w:line="132" w:lineRule="exact"/>
        <w:rPr>
          <w:sz w:val="20"/>
          <w:szCs w:val="20"/>
          <w:color w:val="auto"/>
        </w:rPr>
      </w:pPr>
    </w:p>
    <w:p>
      <w:pPr>
        <w:ind w:right="60" w:firstLine="464"/>
        <w:spacing w:after="0" w:line="268" w:lineRule="auto"/>
        <w:tabs>
          <w:tab w:leader="none" w:pos="6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December 30, 2011 (the “Report”) fully complies with the requirements of Section 13(a) or Section 15(d), as applicable, of the Securities Exchange Act of 1934, as amended; and</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 February 8, 2012</w:t>
      </w:r>
      <w:r>
        <w:rPr>
          <w:sz w:val="20"/>
          <w:szCs w:val="20"/>
          <w:color w:val="auto"/>
        </w:rPr>
        <w:tab/>
      </w:r>
      <w:r>
        <w:rPr>
          <w:rFonts w:ascii="Arial" w:cs="Arial" w:eastAsia="Arial" w:hAnsi="Arial"/>
          <w:sz w:val="16"/>
          <w:szCs w:val="16"/>
          <w:color w:val="auto"/>
        </w:rPr>
        <w:t>/s/ M</w:t>
      </w:r>
      <w:r>
        <w:rPr>
          <w:rFonts w:ascii="Arial" w:cs="Arial" w:eastAsia="Arial" w:hAnsi="Arial"/>
          <w:sz w:val="13"/>
          <w:szCs w:val="13"/>
          <w:color w:val="auto"/>
        </w:rPr>
        <w:t>ARK</w:t>
      </w:r>
      <w:r>
        <w:rPr>
          <w:rFonts w:ascii="Arial" w:cs="Arial" w:eastAsia="Arial" w:hAnsi="Arial"/>
          <w:sz w:val="16"/>
          <w:szCs w:val="16"/>
          <w:color w:val="auto"/>
        </w:rPr>
        <w:t xml:space="preserve"> D. D</w:t>
      </w:r>
      <w:r>
        <w:rPr>
          <w:rFonts w:ascii="Arial" w:cs="Arial" w:eastAsia="Arial" w:hAnsi="Arial"/>
          <w:sz w:val="13"/>
          <w:szCs w:val="13"/>
          <w:color w:val="auto"/>
        </w:rPr>
        <w:t>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Mark D. Dankberg</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17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ViaSat, Inc. (the “Company”) hereby certifies, to such officer’s knowledge, that:</w:t>
      </w:r>
    </w:p>
    <w:p>
      <w:pPr>
        <w:spacing w:after="0" w:line="132" w:lineRule="exact"/>
        <w:rPr>
          <w:sz w:val="20"/>
          <w:szCs w:val="20"/>
          <w:color w:val="auto"/>
        </w:rPr>
      </w:pPr>
    </w:p>
    <w:p>
      <w:pPr>
        <w:ind w:right="60" w:firstLine="464"/>
        <w:spacing w:after="0" w:line="268" w:lineRule="auto"/>
        <w:tabs>
          <w:tab w:leader="none" w:pos="6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December 30, 2011 (the “Report”) fully complies with the requirements of Section 13(a) or Section 15(d), as applicable, of the Securities Exchange Act of 1934, as amended; and</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 February 8, 2012</w:t>
      </w:r>
      <w:r>
        <w:rPr>
          <w:sz w:val="20"/>
          <w:szCs w:val="20"/>
          <w:color w:val="auto"/>
        </w:rPr>
        <w:tab/>
      </w:r>
      <w:r>
        <w:rPr>
          <w:rFonts w:ascii="Arial" w:cs="Arial" w:eastAsia="Arial" w:hAnsi="Arial"/>
          <w:sz w:val="16"/>
          <w:szCs w:val="16"/>
          <w:color w:val="auto"/>
        </w:rPr>
        <w:t>/s/ R</w:t>
      </w:r>
      <w:r>
        <w:rPr>
          <w:rFonts w:ascii="Arial" w:cs="Arial" w:eastAsia="Arial" w:hAnsi="Arial"/>
          <w:sz w:val="13"/>
          <w:szCs w:val="13"/>
          <w:color w:val="auto"/>
        </w:rPr>
        <w:t>ONALD</w:t>
      </w:r>
      <w:r>
        <w:rPr>
          <w:rFonts w:ascii="Arial" w:cs="Arial" w:eastAsia="Arial" w:hAnsi="Arial"/>
          <w:sz w:val="16"/>
          <w:szCs w:val="16"/>
          <w:color w:val="auto"/>
        </w:rPr>
        <w:t xml:space="preserve"> G. W</w:t>
      </w:r>
      <w:r>
        <w:rPr>
          <w:rFonts w:ascii="Arial" w:cs="Arial" w:eastAsia="Arial" w:hAnsi="Arial"/>
          <w:sz w:val="13"/>
          <w:szCs w:val="13"/>
          <w:color w:val="auto"/>
        </w:rPr>
        <w:t>ANGERIN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Ronald G. Wangerin</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1)"/>
      <w:numFmt w:val="decimal"/>
      <w:start w:val="3"/>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1)"/>
      <w:numFmt w:val="lowerRoman"/>
      <w:start w:val="2"/>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lowerLetter"/>
      <w:start w:val="1"/>
    </w:lvl>
  </w:abstractNum>
  <w:abstractNum w:abstractNumId="15">
    <w:nsid w:val="6B68079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2019-12-09T08:54:51Z</dcterms:created>
  <dcterms:modified xsi:type="dcterms:W3CDTF">2019-12-09T08:54:51Z</dcterms:modified>
</cp:coreProperties>
</file>