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October 3,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6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680" w:type="dxa"/>
            <w:vAlign w:val="bottom"/>
            <w:tcBorders>
              <w:bottom w:val="single" w:sz="8" w:color="auto"/>
            </w:tcBorders>
          </w:tcPr>
          <w:p>
            <w:pPr>
              <w:spacing w:after="0"/>
              <w:rPr>
                <w:sz w:val="17"/>
                <w:szCs w:val="17"/>
                <w:color w:val="auto"/>
              </w:rPr>
            </w:pPr>
          </w:p>
        </w:tc>
        <w:tc>
          <w:tcPr>
            <w:tcW w:w="174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2010"/>
              <w:spacing w:after="0"/>
              <w:rPr>
                <w:sz w:val="20"/>
                <w:szCs w:val="20"/>
                <w:color w:val="auto"/>
              </w:rPr>
            </w:pPr>
            <w:r>
              <w:rPr>
                <w:rFonts w:ascii="Arial" w:cs="Arial" w:eastAsia="Arial" w:hAnsi="Arial"/>
                <w:sz w:val="18"/>
                <w:szCs w:val="18"/>
                <w:b w:val="1"/>
                <w:bCs w:val="1"/>
                <w:color w:val="auto"/>
                <w:w w:val="91"/>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00"/>
          </w:cols>
          <w:pgMar w:left="240" w:top="122" w:right="279" w:bottom="1440" w:gutter="0" w:footer="0" w:header="0"/>
          <w:type w:val="continuous"/>
        </w:sectPr>
      </w:pPr>
    </w:p>
    <w:p>
      <w:pPr>
        <w:ind w:left="220" w:right="1860" w:firstLine="3"/>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November 6, 2008 was 30,837,049.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gridSpan w:val="3"/>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600" w:type="dxa"/>
            <w:vAlign w:val="bottom"/>
            <w:gridSpan w:val="2"/>
            <w:vMerge w:val="restart"/>
          </w:tcPr>
          <w:p>
            <w:pPr>
              <w:spacing w:after="0"/>
              <w:rPr>
                <w:sz w:val="14"/>
                <w:szCs w:val="14"/>
                <w:color w:val="auto"/>
              </w:rPr>
            </w:pPr>
          </w:p>
        </w:tc>
        <w:tc>
          <w:tcPr>
            <w:tcW w:w="9820" w:type="dxa"/>
            <w:vAlign w:val="bottom"/>
            <w:gridSpan w:val="1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4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9820" w:type="dxa"/>
            <w:vAlign w:val="bottom"/>
            <w:gridSpan w:val="17"/>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gridSpan w:val="2"/>
          </w:tcPr>
          <w:p>
            <w:pPr>
              <w:spacing w:after="0"/>
              <w:rPr>
                <w:sz w:val="24"/>
                <w:szCs w:val="24"/>
                <w:color w:val="auto"/>
              </w:rPr>
            </w:pPr>
          </w:p>
        </w:tc>
        <w:tc>
          <w:tcPr>
            <w:tcW w:w="600" w:type="dxa"/>
            <w:vAlign w:val="bottom"/>
            <w:gridSpan w:val="2"/>
          </w:tcPr>
          <w:p>
            <w:pPr>
              <w:spacing w:after="0"/>
              <w:rPr>
                <w:sz w:val="24"/>
                <w:szCs w:val="24"/>
                <w:color w:val="auto"/>
              </w:rPr>
            </w:pP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40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880" w:type="dxa"/>
            <w:vAlign w:val="bottom"/>
            <w:gridSpan w:val="8"/>
          </w:tcPr>
          <w:p>
            <w:pPr>
              <w:spacing w:after="0"/>
              <w:rPr>
                <w:sz w:val="17"/>
                <w:szCs w:val="17"/>
                <w:color w:val="auto"/>
              </w:rPr>
            </w:pPr>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160" w:type="dxa"/>
            <w:vAlign w:val="bottom"/>
            <w:gridSpan w:val="7"/>
          </w:tcPr>
          <w:p>
            <w:pPr>
              <w:spacing w:after="0"/>
              <w:rPr>
                <w:sz w:val="17"/>
                <w:szCs w:val="17"/>
                <w:color w:val="auto"/>
              </w:rPr>
            </w:pPr>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100" w:type="dxa"/>
            <w:vAlign w:val="bottom"/>
            <w:gridSpan w:val="6"/>
          </w:tcPr>
          <w:p>
            <w:pPr>
              <w:spacing w:after="0"/>
              <w:rPr>
                <w:sz w:val="17"/>
                <w:szCs w:val="17"/>
                <w:color w:val="auto"/>
              </w:rPr>
            </w:pPr>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Stockholders’ Equity</w:t>
              </w:r>
            </w:hyperlink>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20" w:type="dxa"/>
            <w:vAlign w:val="bottom"/>
            <w:tcBorders>
              <w:top w:val="single" w:sz="8" w:color="0000EE"/>
            </w:tcBorders>
          </w:tcPr>
          <w:p>
            <w:pPr>
              <w:spacing w:after="0"/>
              <w:rPr>
                <w:sz w:val="17"/>
                <w:szCs w:val="17"/>
                <w:color w:val="auto"/>
              </w:rPr>
            </w:pPr>
          </w:p>
        </w:tc>
        <w:tc>
          <w:tcPr>
            <w:tcW w:w="5500" w:type="dxa"/>
            <w:vAlign w:val="bottom"/>
            <w:gridSpan w:val="3"/>
          </w:tcPr>
          <w:p>
            <w:pPr>
              <w:spacing w:after="0"/>
              <w:rPr>
                <w:sz w:val="17"/>
                <w:szCs w:val="17"/>
                <w:color w:val="auto"/>
              </w:rPr>
            </w:pPr>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70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tcPr>
          <w:p>
            <w:pPr>
              <w:spacing w:after="0"/>
              <w:rPr>
                <w:sz w:val="17"/>
                <w:szCs w:val="17"/>
                <w:color w:val="auto"/>
              </w:rPr>
            </w:pPr>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700" w:type="dxa"/>
            <w:vAlign w:val="bottom"/>
            <w:gridSpan w:val="3"/>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5460" w:type="dxa"/>
            <w:vAlign w:val="bottom"/>
            <w:gridSpan w:val="2"/>
          </w:tcPr>
          <w:p>
            <w:pPr>
              <w:spacing w:after="0"/>
              <w:rPr>
                <w:sz w:val="17"/>
                <w:szCs w:val="17"/>
                <w:color w:val="auto"/>
              </w:rPr>
            </w:pPr>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720" w:type="dxa"/>
            <w:vAlign w:val="bottom"/>
            <w:gridSpan w:val="4"/>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9820" w:type="dxa"/>
            <w:vAlign w:val="bottom"/>
            <w:gridSpan w:val="1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7800" w:type="dxa"/>
            <w:vAlign w:val="bottom"/>
            <w:gridSpan w:val="11"/>
          </w:tcPr>
          <w:p>
            <w:pPr>
              <w:spacing w:after="0"/>
              <w:rPr>
                <w:sz w:val="24"/>
                <w:szCs w:val="24"/>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982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4.</w:t>
              </w:r>
            </w:hyperlink>
          </w:p>
        </w:tc>
        <w:tc>
          <w:tcPr>
            <w:tcW w:w="10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20" w:type="dxa"/>
            <w:vAlign w:val="bottom"/>
            <w:tcBorders>
              <w:top w:val="single" w:sz="8" w:color="0000EE"/>
            </w:tcBorders>
          </w:tcPr>
          <w:p>
            <w:pPr>
              <w:spacing w:after="0"/>
              <w:rPr>
                <w:sz w:val="17"/>
                <w:szCs w:val="17"/>
                <w:color w:val="auto"/>
              </w:rPr>
            </w:pPr>
          </w:p>
        </w:tc>
        <w:tc>
          <w:tcPr>
            <w:tcW w:w="70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3160" w:type="dxa"/>
            <w:vAlign w:val="bottom"/>
            <w:tcBorders>
              <w:top w:val="single" w:sz="8" w:color="0000EE"/>
            </w:tcBorders>
            <w:gridSpan w:val="11"/>
          </w:tcPr>
          <w:p>
            <w:pPr>
              <w:spacing w:after="0"/>
              <w:rPr>
                <w:sz w:val="17"/>
                <w:szCs w:val="17"/>
                <w:color w:val="auto"/>
              </w:rPr>
            </w:pPr>
          </w:p>
        </w:tc>
        <w:tc>
          <w:tcPr>
            <w:tcW w:w="6060" w:type="dxa"/>
            <w:vAlign w:val="bottom"/>
            <w:gridSpan w:val="5"/>
          </w:tcPr>
          <w:p>
            <w:pPr>
              <w:spacing w:after="0"/>
              <w:rPr>
                <w:sz w:val="17"/>
                <w:szCs w:val="17"/>
                <w:color w:val="auto"/>
              </w:rPr>
            </w:pPr>
          </w:p>
        </w:tc>
        <w:tc>
          <w:tcPr>
            <w:tcW w:w="3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Signatures</w:t>
              </w:r>
            </w:hyperlink>
          </w:p>
        </w:tc>
        <w:tc>
          <w:tcPr>
            <w:tcW w:w="9060" w:type="dxa"/>
            <w:vAlign w:val="bottom"/>
            <w:gridSpan w:val="15"/>
          </w:tcPr>
          <w:p>
            <w:pPr>
              <w:spacing w:after="0"/>
              <w:rPr>
                <w:sz w:val="24"/>
                <w:szCs w:val="24"/>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1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October 3,</w:t>
            </w:r>
          </w:p>
        </w:tc>
        <w:tc>
          <w:tcPr>
            <w:tcW w:w="3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28,</w:t>
            </w: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90,790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125,176</w:t>
            </w: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157,844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155,484</w:t>
            </w: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59,760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60,326</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18,685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18,664</w:t>
            </w: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17,131</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344,210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375,626</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Property, equipment and satellite, net</w:t>
            </w: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111,922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64,693</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20,797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66,407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66,407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19,954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563,290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551,094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55,323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52,317</w:t>
            </w: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57,248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73,957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former stockholders of acquired business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112,571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127,375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18,585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r>
      <w:tr>
        <w:trPr>
          <w:trHeight w:val="230"/>
        </w:trPr>
        <w:tc>
          <w:tcPr>
            <w:tcW w:w="20" w:type="dxa"/>
            <w:vAlign w:val="bottom"/>
          </w:tcPr>
          <w:p>
            <w:pPr>
              <w:spacing w:after="0"/>
              <w:rPr>
                <w:sz w:val="20"/>
                <w:szCs w:val="20"/>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131,156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144,665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Minority interest in consolidated subsidiary</w:t>
            </w: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3,904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264,915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255,856</w:t>
            </w: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164,689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149,140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held in treasury</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428,230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404,140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563,290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551,094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October 3,</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28,</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w w:val="99"/>
              </w:rPr>
              <w:t>October 3,</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159,280</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146,625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312,241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115,551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104,513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223,571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25,430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20,424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49,034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16,496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2,391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4,680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18,460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19,553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3,479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3,908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earnings of subsidiary, net of tax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4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30,633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32,138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32,231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31,890</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32,229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7"/>
              </w:rPr>
              <w:t>Six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October 3,</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15,549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8,878</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5,754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5,049</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200"/>
              <w:spacing w:after="0" w:line="201" w:lineRule="exact"/>
              <w:rPr>
                <w:sz w:val="20"/>
                <w:szCs w:val="20"/>
                <w:color w:val="auto"/>
              </w:rPr>
            </w:pPr>
            <w:r>
              <w:rPr>
                <w:rFonts w:ascii="Arial" w:cs="Arial" w:eastAsia="Arial" w:hAnsi="Arial"/>
                <w:sz w:val="18"/>
                <w:szCs w:val="18"/>
                <w:color w:val="auto"/>
                <w:w w:val="97"/>
              </w:rPr>
              <w:t>Increase (decrease) in cash resulting from changes in operating assets and liabilities, net of the effect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(2,461)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(2,611)</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(11,989)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1,295</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18,403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equipment and satellite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(50,556)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Payment related to acquisitions of businesses, net of cash acquired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short-term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Cash paid for patents and other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(1,445)</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(52,926)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3,464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Payment on secured borrowing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(4,720)</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stock of majority-owned subsidiary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(34,386)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125,176</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90,790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128,001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in satisfaction of a payable to former stockholders of an acquired business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Issuance of payable in connection with acquisition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4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in Treasury</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Retained</w:t>
            </w:r>
          </w:p>
        </w:tc>
        <w:tc>
          <w:tcPr>
            <w:tcW w:w="10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Shares Issued</w:t>
            </w:r>
          </w:p>
        </w:tc>
        <w:tc>
          <w:tcPr>
            <w:tcW w:w="860" w:type="dxa"/>
            <w:vAlign w:val="bottom"/>
            <w:gridSpan w:val="3"/>
            <w:vMerge w:val="continue"/>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2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March 28,</w:t>
            </w: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30,500,605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$ 255,856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$ 149,140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(33,238)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(1,034)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$ 404,140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20"/>
              <w:spacing w:after="0"/>
              <w:rPr>
                <w:sz w:val="20"/>
                <w:szCs w:val="20"/>
                <w:color w:val="auto"/>
              </w:rPr>
            </w:pPr>
            <w:r>
              <w:rPr>
                <w:rFonts w:ascii="Arial" w:cs="Arial" w:eastAsia="Arial" w:hAnsi="Arial"/>
                <w:sz w:val="18"/>
                <w:szCs w:val="18"/>
                <w:color w:val="auto"/>
              </w:rPr>
              <w:t>options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216,966</w:t>
            </w:r>
          </w:p>
        </w:tc>
        <w:tc>
          <w:tcPr>
            <w:tcW w:w="24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1,941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1,941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options and release of</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 awards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Issuance of stock under</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20"/>
              <w:spacing w:after="0"/>
              <w:rPr>
                <w:sz w:val="20"/>
                <w:szCs w:val="20"/>
                <w:color w:val="auto"/>
              </w:rPr>
            </w:pPr>
            <w:r>
              <w:rPr>
                <w:rFonts w:ascii="Arial" w:cs="Arial" w:eastAsia="Arial" w:hAnsi="Arial"/>
                <w:sz w:val="18"/>
                <w:szCs w:val="18"/>
                <w:color w:val="auto"/>
              </w:rPr>
              <w:t>Employee Stock</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20"/>
              <w:spacing w:after="0"/>
              <w:rPr>
                <w:sz w:val="20"/>
                <w:szCs w:val="20"/>
                <w:color w:val="auto"/>
              </w:rPr>
            </w:pPr>
            <w:r>
              <w:rPr>
                <w:rFonts w:ascii="Arial" w:cs="Arial" w:eastAsia="Arial" w:hAnsi="Arial"/>
                <w:sz w:val="18"/>
                <w:szCs w:val="18"/>
                <w:color w:val="auto"/>
              </w:rPr>
              <w:t>Purchase Plan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88,681</w:t>
            </w:r>
          </w:p>
        </w:tc>
        <w:tc>
          <w:tcPr>
            <w:tcW w:w="24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1,523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5,049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15,549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15,549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net of tax</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October 3,</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30,806,252</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$ 264,915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$ 164,689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(33,238)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(1,034)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$ 428,230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160" w:firstLine="222"/>
        <w:spacing w:after="0" w:line="270" w:lineRule="auto"/>
        <w:rPr>
          <w:sz w:val="20"/>
          <w:szCs w:val="20"/>
          <w:color w:val="auto"/>
        </w:rPr>
      </w:pPr>
      <w:r>
        <w:rPr>
          <w:rFonts w:ascii="Arial" w:cs="Arial" w:eastAsia="Arial" w:hAnsi="Arial"/>
          <w:sz w:val="17"/>
          <w:szCs w:val="17"/>
          <w:color w:val="auto"/>
        </w:rPr>
        <w:t>The accompanying condensed consolidated balance sheet at October 3, 2008, the condensed consolidated statements of operations for the three and six months ended October 3, 2008 and September 28, 2007, the condensed consolidated statements of cash flows for the six months ended October 3, 2008 and September 28, 2007 and the condensed consolidated statement of stockholders’ equity for the six months ended October 3, 2008 have been prepared by the management of ViaSat, Inc. (the Company), and have not been audited. These financial statements have been prepared on the same basis as the audited consolidated financial statements for the fiscal year ended March 28, 2008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fiscal year ended March 28, 2008 included in the Company’s Annual Report on Form 10-K. Interim operating results are not necessarily indicative of operating results for the full year. The year-end condensed balance sheet data were derived from audited financial statements, but do not include all disclosures required by accounting principles generally accepted in the United States of America.</w:t>
      </w:r>
    </w:p>
    <w:p>
      <w:pPr>
        <w:spacing w:after="0" w:line="7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TrellisWare Technologies, Inc. (TrellisWare), a majority-owned subsidiary of the Company. All significant intercompany amounts have been eliminated.</w:t>
      </w:r>
    </w:p>
    <w:p>
      <w:pPr>
        <w:spacing w:after="0" w:line="62"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Company’s fiscal year is the 52 or 53 weeks ending on the Friday closest to March 31 of the specified year. For example, references to fiscal year 2009 refer to the fiscal year ending on April 3, 2009. The Company’s quarters for fiscal year 2009 end on June 27, 2008, October 3, 2008, January 2, 2009 and April 3, 2009. This results in a 53 week fiscal year approximately every four to five years. Fiscal year 2009 is a 53 week year, compared with a 52 week year in fiscal year 2008. As a result of the shift in the fiscal calendar, the second quarter of fiscal year 2009 includes an additional week. The Company does not believe that the extra week results in any material impact on its financial results.</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the Company’s second quarter of fiscal year 2008, the Company completed the acquisition of JAST, S.A. (JAST), a company based in Switzerland. The acquisition was accounted for as a purchase and accordingly, the operating results of JAST have been included from the date of acquisition in the Company’s condensed consolidated financial statements.</w:t>
      </w:r>
    </w:p>
    <w:p>
      <w:pPr>
        <w:spacing w:after="0" w:line="73"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valuation of derivatives, long-lived assets and valuation allowance on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Equipment, computers and software, furniture and fixtures and the Company’s satellite are recorded at cost, net of accumulated depreciation. The Company generally computes depreciation using the straight-line method over the estimated useful lives of the assets ranging between one to eleven years. Leasehold improvements are capitalized and amortized on the straight-line method over the shorter of the lease term or the life of the improvement. Additions to property and equipment,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85"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Satellite construction costs, including launch services and insurance, are generally procured under long-term contracts that provide for payments over the contract periods. Satellite construction and launch services costs are capitalized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Payables to Former Shareholders of Acquired Businesses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August 2007, in connection with the terms of the Company’s JAST acquisition, the Company recorded an obligation to pay the remaining portion of the initial purchase price of approximately $0.8 million on the first anniversary of the closing date. Accordingly, in August 2008, the Company paid approximately $0.8 million in cash to the former stockholders of JAST.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 recorded self-insurance liabilities as of October 3, 2008 and March 28, 2008 of $1.3 million and $1.1 million,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Occasionally, the Company enters into secured borrowing arrangements in connection with customer financing in order to provide additional sources of funding. As of October 3, 2008, the Company had no secured borrowing arrangements. As of March 28, 2008, the Company had one secured borrowing arrangement, under which the Company pledged a note receivable from a customer to serve as collateral for the obligation under the borrowing arrangement. In the first quarter of fiscal year 2009, the Company paid all obligations related to its secured borrowing totaling $4.7 million plus accrued interest.</w:t>
      </w:r>
    </w:p>
    <w:p>
      <w:pPr>
        <w:spacing w:after="0" w:line="4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During the third quarter of fiscal year 2008, due to a payment default, the Company wrote down the note receivable by approximately $5.3 million related to the principal and interest accrued to date. Pursuant to a notes receivable insurance arrangement which provides for the recovery of certain principal and interest amounts on the note, the Company has recorded a current asset of approximately $4.5 million as of March 28, 2008 and October 3,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 party intellectual property claims. Historically,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indemnifies, the Company could incur substantial legal costs and damages. A claim would be accrued when a loss is considered probable and the amount can be reasonably estimated. At October 3, 2008 and March 28, 2008, no such amounts were accrued.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Minority interest represents the proportionate share of the equity of the Company’s consolidated majority-owned subsidiary owned by minority shareholders in that subsidiary. This proportionate share of the equity changes when additional shares of common or preferred stock are issued or purchased back by the majority-owned subsidiary. Such changes result in a decrease or increase of the Company’s ownership proportion, which results in the Company recording losses or gains on investment. Minority interest is adjusted for earnings (losses) net of tax attributable to the minority interest shareholders of the consolidated subsidiary. All earnings (losses), net of tax, are allocated to the shareholders of the consolidated subsidiary in proportion to their share of the equity ownership of the consolidated subsidiary. Earnings (losses), net of tax, allocated to such minority interest shareholders are recorded as minority interest in net earnings of subsidiary, net of tax, in the accompanying consolidated statements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2008, the Company’s majority-owned subsidiary, TrellisWare, issued additional shares of preferred stock in which the Company invested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in order to retain a constant ownership interest. As a result of the transaction, TrellisWare also received $1.5 million in cash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 to its other principal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During the third quarter of fiscal year 2008, the Company delivered 94,165 shares of common stock-based on the vesting terms of certain restricted stock unit agreements. In order for employees to satisfy minimum statutory employee tax withholding requirements related to the delivery of common stock underlying these restricted stock unit agreements, the Company repurchased 33,238 shares of common stock with a total value of $1.0 million during fiscal year 2008. These repurchased shares of common stock were held in treasury as of October 3, 2008 and March 28,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enters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5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the three and six months ended October 3, 2008, the Company settled certain foreign exchange contracts and in connection therewith recognized a loss of approximately $0.3 million, recorded in cost of revenues based on the nature of the underlying transactions. During the three and six months ended September 28, 2007, the Company settled certain foreign exchange contracts and in connection therewith recognized a gain of less than $0.1 million, recorded in cost of revenues based on the nature of the underlying transactions. The Company had no foreign currency forward contracts outstanding as of October 3, 2008 or March 28,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records compensation expense associated with stock options, restricted stock unit awards and other equity based compensation in accordance with SFAS No. 123 (revised 2004), “Share-Based Payment” (SFAS 123R). The Company recognizes these compensation costs on a straight-line basis over the requisite service period of the award. The Company recognized $2.9 million and $5.0 million of stock-based compensation expense for the three and six months ended October 3, 2008, respectively, and $1.9 million and $3.7 million of stock-based compensation expense for the three and six months ended September 28, 2007, respectively.</w:t>
      </w:r>
    </w:p>
    <w:p>
      <w:pPr>
        <w:spacing w:after="0" w:line="80" w:lineRule="exact"/>
        <w:rPr>
          <w:sz w:val="20"/>
          <w:szCs w:val="20"/>
          <w:color w:val="auto"/>
        </w:rPr>
      </w:pPr>
    </w:p>
    <w:p>
      <w:pPr>
        <w:ind w:right="100" w:firstLine="222"/>
        <w:spacing w:after="0" w:line="286" w:lineRule="auto"/>
        <w:rPr>
          <w:sz w:val="20"/>
          <w:szCs w:val="20"/>
          <w:color w:val="auto"/>
        </w:rPr>
      </w:pPr>
      <w:r>
        <w:rPr>
          <w:rFonts w:ascii="Arial" w:cs="Arial" w:eastAsia="Arial" w:hAnsi="Arial"/>
          <w:sz w:val="16"/>
          <w:szCs w:val="16"/>
          <w:color w:val="auto"/>
        </w:rPr>
        <w:t>The Company recorded incremental tax benefits from stock options exercised and restricted stock unit awards vesting of $0.4 million and $0.6 million for the six months ended October 3, 2008 and September 28, 2007, respectively, which is classified as part of cash flows from financing activities in the condensed consolidated statements of cash flows. At October 3, 2008, the total unrecognized estimated compensation cost, net of estimated forfeitures, related to unvested stock options, restricted stock units, and the employee stock purchase plan was approximately $8.5 million, $15.7 million and</w:t>
      </w:r>
    </w:p>
    <w:p>
      <w:pPr>
        <w:spacing w:after="0" w:line="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$0.3 million, respectively. These costs are expected to be recognized over a weighted average period of 2.5 years, 3.1 years and less than six months,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March 31, 2007, the Company adopted the provisions of Financial Accounting Standards Board (FASB) Interpretation No. 48 (FIN 48), “Accounting for Uncertainty in Income Taxes — an interpretation of FASB Statement No. 109.” FIN 48 clarifies the accounting for uncertainty in income taxes recognized in an enterprise’s financial statements in accordance with SFAS No. 109, “Accounting for Income Taxes”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more-likely-than-not to be sustained upon examination by taxing authorities. The amount recognized is measured as the largest amount of benefit that is greater than fifty percent likely of being realized upon ultimate settlement. The Company’s policy is to recognize interest expense and penalties related to income tax matters as a component of income tax expense.</w:t>
      </w:r>
    </w:p>
    <w:p>
      <w:pPr>
        <w:spacing w:after="0" w:line="7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September 2006, the FASB issued Statement No. 157 (SFAS 157), “Fair Value Measurements.” SFAS 157 defines fair value, establishes a framework and gives guidance regarding the methods used for measuring fair value, and expands disclosures about fair value measurements. In February 2008, the FASB issued FASB Staff Position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first quarter of fiscal year 2010 for 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was effective for financial assets and liabilities, beginning in fiscal year 2009. Adoption of this statement for non-financial assets and liabilities is required for an entity’s first fiscal year that begins after November 15, 2008 (fiscal year 2010 for the Company). The Company adopted this standard for financial assets and liabilities in the current year without any material impact to its consolidated financial statements. The Company is currently evaluating the impact that SFAS 157 will have on its consolidated financial statements and disclosures when it is applied to non-financial assets and non-financial liabilities that are not measured at fair value on a recurring basis beginning in the first quarter of fiscal year 2010.</w:t>
      </w:r>
    </w:p>
    <w:p>
      <w:pPr>
        <w:spacing w:after="0" w:line="7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October 2008, the FASB issued FSP SFAS 157-3 (FSP 157-3), “Determining the Fair Value of a Financial Asset When the Market for That Asset Is Not Active,” to clarify how an entity would determine fair value in an inactive market. FSP 157-3 is effective immediately and applies to the Company’s financial statements for the quarter ended October 3, 2008. The application of the provisions of FSP 157-3 did not materially impact the Company’s consolidated financial statement disclosures for the period ended October 3, 2008.</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February 2007, the FASB issued Statement No. 159 (SFAS 159), “The Fair Value Option for Financial Assets and Financial Liabilities,” which permits entities to choose to measure many financial instruments and certain other items at fair value that are not currently required to be measured at fair value. As the Company did not elect to fair value any of its financial instruments under the provisions of SFAS 159, the adoption of this statement effective March 29, 2008 did not have an impact on the Company’s consolidated financial statements.</w:t>
      </w:r>
    </w:p>
    <w:p>
      <w:pPr>
        <w:spacing w:after="0" w:line="7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In June 2007, the FASB ratified Emerging Issues Task Force (EITF) Issue No. 07-3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The Company adopted this standard in the current year without any material impact to its consolidated financial statements.</w:t>
      </w:r>
    </w:p>
    <w:p>
      <w:pPr>
        <w:spacing w:after="0" w:line="8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December 2007, the FASB issued SFAS No. 141 (revised 2007), “Business Combinations” (SFAS 141R).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will be effective for the Company in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The Company is currently evaluating the impact that SFAS 141R will have on its consolidated financial statements and disclosures.</w:t>
      </w:r>
    </w:p>
    <w:p>
      <w:pPr>
        <w:spacing w:after="0" w:line="7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December 2007, the FASB issued SFAS No. 160 (SFAS 160), “Noncontrolling Interests in Consolidated Financial Statements — an amendment of ARB No. 51.” SFAS 160, which changed the accounting and reporting for business acquisitions and non-controlling interests in subsidiaries. The standard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the Company in fiscal year 2010. The Company is currently evaluating the impact that SFAS 160 will have on its consolidated financial statements and disclosures.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March 2008, the FASB issued SFAS No. 161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our financial position, financial performance, and cash flows. SFAS 161 is effective for interim periods beginning subsequent to November 15, 2008, commencing for the Company with respect to its fourth quarter of fiscal year 2009. The Company is currently evaluating the impact that SFAS 161 will have on its consolidated financial statements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October 3, 2008 and September 28, 2007, the Company recorded losses of approximately $0.2 million and $2.6 million, respectively, related to loss contracts. During the six months ended October 3, 2008 and September 28, 2007, the Company recorded losses of approximately $1.5 million and $3.5 million, respectively, related to loss contracts.</w:t>
      </w:r>
    </w:p>
    <w:p>
      <w:pPr>
        <w:spacing w:after="0" w:line="59"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also has contracts and purchase orders where revenue is recorded on delivery of products in accordance with Staff Accounting Bulletin No. 104 (SAB 104), “Revenue Recognition.”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has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85"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7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Collections in excess of revenues represent cash collected from customers in advance of revenue recognition and are recorded as an accrued liability.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Contract costs on United States government contracts, including indirect costs, are subject to audit and negotiations with United States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2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Effective March 29, 2008, the Company adopted SFAS 157 for financial assets and liabilities measured at fair value on a recurring basis. SFAS 157 defines fair value, establishes a framework for measuring fair value and establishes a hierarchy that categorizes and prioritizes the sources to be used to estimate fair value. As a basis for categorizing inputs, SFAS 157 establishes the following hierarchy which prioritizes the inputs used to measure fair value from market based assumptions to entity specific assumptions:</w:t>
      </w:r>
    </w:p>
    <w:p>
      <w:pPr>
        <w:spacing w:after="0" w:line="7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b w:val="1"/>
          <w:bCs w:val="1"/>
          <w:color w:val="auto"/>
        </w:rPr>
      </w:pPr>
    </w:p>
    <w:p>
      <w:pPr>
        <w:ind w:left="460" w:right="28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b w:val="1"/>
          <w:bCs w:val="1"/>
          <w:color w:val="auto"/>
        </w:rPr>
      </w:pPr>
    </w:p>
    <w:p>
      <w:pPr>
        <w:ind w:left="460" w:right="30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3 — Inputs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October 3, 2008: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October 3, 2008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1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71,934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71,826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71,934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71,826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The Company’s cash equivalents consist of money market funds, repurchase agreements with a one day term collateralized by AAA-rated United States government securities and certified deposit investments. Certain money market funds are valued using quoted prices for identical assets in an active market with sufficient volume and frequency of transactions (Level 1). The remaining portion of money market funds, repurchase agreements and certified deposit investments are valued based on quoted prices for similar assets or liabilities,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had no foreign currency forward exchange contracts outstanding at October 3,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Potential common stock of 1,394,686 and 2,035,595 shares for the three months ended October 3, 2008 and September 28, 2007, respectively, and 1,256,262 and 2,152,570 shares for the six months ended October 3, 2008 and September 28, 2007, respectively, were included in the calculation of diluted earnings per share. Antidilutive shares excluded from the calculation were 1,652,275 and 927,616 shares for the three months ended October 3, 2008 and September 28, 2007, respectively, and 1,781,726 and 893,659 shares for the six months ended October 3, 2008 and September 28, 2007, respectively. Potential common stock includes options granted and restricted stock units awarded under the Company’s equity compensation plan which are included in the earnings per share calculations using the treasury stock method and common shares expected to be issued under the Company’s employee stock purchase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October 3,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Billed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82,816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Unbilled</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75,206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157,844</w:t>
            </w: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26,869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13,249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19,642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59,760</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8,048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9,083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17,131</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Machinery and equipment (estimated useful life 2-5 years)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55,636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 equipment and software (estimated useful life 3 years)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46,172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Furniture and fixtures (estimated useful life 7 years)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9,907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 (estimated useful life 1-11 years)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16,107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Satellite under construction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51,010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187,459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(75,537)</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111,922</w:t>
            </w: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Contracts and relationships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18,898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9,076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81,689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(60,892)</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20,797</w:t>
            </w: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software costs, net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Patents, orbital slots and other licenses, net</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3,487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11,027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19,954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warranty reserve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Secured borrowing and accrued interest</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vacation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9,805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Accrued wages and performance compensation</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9,462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in excess of revenues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22,009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57,248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73,957</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warranty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5,479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Unrecognized tax position liabilities</w:t>
            </w:r>
          </w:p>
        </w:tc>
        <w:tc>
          <w:tcPr>
            <w:tcW w:w="2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5,974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 long-term portion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4,895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18,585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0" w:gutter="0" w:footer="0" w:header="0"/>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19" w:right="239" w:bottom="0"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Accounting for Goodwill and Intangible Assets</w:t>
      </w:r>
    </w:p>
    <w:p>
      <w:pPr>
        <w:spacing w:after="0" w:line="121"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Company accounts for its goodwill under SFAS No. 142 (SFAS 142), “Goodwill and Other Intangible Assets.” The SFAS 142 goodwill impairment model is a two-step process. First, it requires a comparison of the book value of net assets to the fair value of the reporting units that have goodwill assigned to them. Reporting units within the Company’s government systems and commercial network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operations used in the first step, and is compared to its carrying value. The shortfall of the fair value below carrying value, if any, represents the amount of goodwill impairment.</w:t>
      </w:r>
    </w:p>
    <w:p>
      <w:pPr>
        <w:spacing w:after="0" w:line="59"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The technology intangible asset has several components with estimated useful lives of five to nine years, contracts and relationships intangible asset has several components with estimated useful lives of three to ten years, non-compete agreements have useful lives of three to five years and other amortizable assets have several components with original estimated useful lives of eight months to ten years. Amortization expense was $2.3 million and $2.4 million for the three months ended October 3, 2008 and September 28, 2007, respectively, and $4.7 million and $4.8 million for the six months ended October 3, 2008 and September 28, 2007, respectively.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and expected amortization expense for each of the following periods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3, 2008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4,680</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12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On January 31, 2005, the Company entered into a three-year, $60.0 million revolving credit facility (the Prior Facility) in the form of the Second Amended and Restated Revolving Loan Agreement. On September 25, 2008, the Company signed the Sixth Amendment to the Second Amended and Restated Revolving Loan Agreement reducing the Prior Facility’s size to $40.0 million and extending the current term to October 31, 2008. At October 3, 2008, the Company had $5.2 million outstanding under standby letters of credit, leaving borrowing availability under the Prior Facility of $34.8 million. The Company was in compliance with its financial loan covenants under the Prior Facility as of October 3, 2008.</w:t>
      </w:r>
    </w:p>
    <w:p>
      <w:pPr>
        <w:spacing w:after="0" w:line="64"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On October 31, 2008, the Company entered into a three-year, $85.0 million revolving credit facility (the New Facility) in the form of the Third Amended and Restated Revolving Loan Agreement. The New Facility amends and restates the Prior Facility. Borrowings under the New Facility are permitted up to a maximum amount of $85.0 million, including up to $25.0 million of letters of credit, and bear interest, at the Company’s option, at either (a) the higher of the Federal Funds rate plus 0.50% or the administrative agent’s prime rate as announced from time to time, or (b) at the London interbank offered rate plus, in the case of each of (a) and (b), an applicable margin that is based on the ratio of the Company’s debt to EBITDA. As with the Prior Facility, the New Facility is collateralized by substantially all of the Company’s personal property.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New Facility contains financial covenants regarding a maximum leverage ratio and a minimum interest coverage ratio. In addition the New Facility contains covenants that restrict, among other things, the Company’s ability to incur additional debt, sell assets, make investments and acquisitions, make capital expenditures, grant liens, pay dividends and make certain other restricted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right="160" w:firstLine="222"/>
        <w:spacing w:after="0" w:line="272" w:lineRule="auto"/>
        <w:rPr>
          <w:sz w:val="20"/>
          <w:szCs w:val="20"/>
          <w:color w:val="auto"/>
        </w:rPr>
      </w:pPr>
      <w:r>
        <w:rPr>
          <w:rFonts w:ascii="Arial" w:cs="Arial" w:eastAsia="Arial" w:hAnsi="Arial"/>
          <w:sz w:val="17"/>
          <w:szCs w:val="17"/>
          <w:color w:val="auto"/>
        </w:rPr>
        <w:t>The Company provides limited warranties on most of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 current liability.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October 3, 2008 and September 28, 2007.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3"/>
              </w:rPr>
              <w:t>For the six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13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October 3, 2008</w:t>
            </w:r>
          </w:p>
        </w:tc>
        <w:tc>
          <w:tcPr>
            <w:tcW w:w="30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4,828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(3,975)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jc w:val="both"/>
        <w:ind w:right="300" w:firstLine="222"/>
        <w:spacing w:after="0" w:line="259" w:lineRule="auto"/>
        <w:rPr>
          <w:sz w:val="20"/>
          <w:szCs w:val="20"/>
          <w:color w:val="auto"/>
        </w:rPr>
      </w:pPr>
      <w:r>
        <w:rPr>
          <w:rFonts w:ascii="Arial" w:cs="Arial" w:eastAsia="Arial" w:hAnsi="Arial"/>
          <w:sz w:val="18"/>
          <w:szCs w:val="18"/>
          <w:color w:val="auto"/>
        </w:rPr>
        <w:t>The Company is subject to legal proceedings, claims, and litigation arising in the ordinary course of business. While the outcome of such matters is not presently determinable, the Company believes that the resolution of such matters will not have a material adverse effect on its financial position, results of operations or liquidity; however, there can be no assurance that the ultimate resolution of these matters will not have a material impact on its consolidated financial position, results of operations or liquidity in any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The Company currently estimates its annual effective income tax rate to be approximately 22.3% for fiscal year 2009, as compared to the actual 28.1% effective income tax rate in fiscal year 2008. The income tax provision of approximately 5.2% for the second quarter of fiscal year 2009 was lower than the expected annual effective tax rate primarily due to the recording of research and development tax credits allowed for in the second quarter of fiscal year 2009 by the Emergency Economic Stabilization Act of 2008, enacted on October 3, 2008, extending the research and development tax credit from January 1, 2008 to December 31, 2009. In the first quarter of fiscal year 2009, the Company’s estimated annual effective income tax rate did not include the effect of the extension of the research and development tax credit, which resulted in a catch-up adjustment of approximately $0.9 million in the second quarter of fiscal year 2009. Also as a result of the extension of the research and development tax credit, approximately $0.9 million of research and development tax credit generated in the fourth quarter of fiscal year 2008 was recognized as a discrete tax benefit in the second quarter of fiscal year 2009.</w:t>
      </w:r>
    </w:p>
    <w:p>
      <w:pPr>
        <w:spacing w:after="0" w:line="58"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For the three and six months ended October 3, 2008, the Company’s gross unrecognized tax benefits increased by $1.6 million and $1.8 million, respectively. In the next 12 months it is reasonably possible that the amount of unrecognized tax benefits will decrease by $0.9 million as a result of the expiration of the statute of limitations for previously filed tax returns.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segments. During the third and fourth quarters of fiscal year 2008, the Company made management and organizational structure changes due to a shift in product marketing and development strategies and consequently realigned the way management organizes and evaluates financial information internally for making operating decisions and assessing performance. The Company’s satellite services segment is comprised of its expanding maritime and airline broadband and enterprise VSAT services plus its ViaSat-1 satellite. The Company’s commercial networks segment comprises its former satellite networks and antenna systems segments, except for the satellite services segment. The Company’s reporting segments, comprised of the government systems, commercial networks and satellite services segments, are determined consistently with the way management currently organizes and evaluates financial information internally for making operating decisions and assessing performance. The following segment information reflects prior periods recast to this organizational and reporting structure: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October 3,</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28,</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w w:val="99"/>
              </w:rPr>
              <w:t>October 3,</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97,302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79,848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185,947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59,208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122,156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4,138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159,280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146,625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312,241</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13,286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11,865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25,383</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(2,825)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23,102</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(2,340)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(4,680)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18,460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by segment for the three and six months ended October 3, 2008 and September 28, 2007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3, 2008</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September 28, 2007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 2008</w:t>
            </w:r>
          </w:p>
        </w:tc>
        <w:tc>
          <w:tcPr>
            <w:tcW w:w="28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Commercial Networks</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2,119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October 3, 2008 and March 28, 2008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October 3,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Government Systems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150,527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139,979</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Networks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152,460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166,858</w:t>
            </w: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Satellite Systems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304,721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307,853</w:t>
            </w: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Corporate assets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258,569</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563,290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551,094</w:t>
            </w: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acquired intangible assets and goodwill included in segment assets as of October 3, 2008 and March 28,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Net intangible assets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w w:val="94"/>
              </w:rPr>
              <w:t>Goodwill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660" w:type="dxa"/>
            <w:vAlign w:val="bottom"/>
          </w:tcPr>
          <w:p>
            <w:pPr>
              <w:spacing w:after="0"/>
              <w:rPr>
                <w:sz w:val="10"/>
                <w:szCs w:val="10"/>
                <w:color w:val="auto"/>
              </w:rPr>
            </w:pPr>
          </w:p>
        </w:tc>
        <w:tc>
          <w:tcPr>
            <w:tcW w:w="7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w:t>
            </w: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22,191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22,191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17,462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21,597</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44,216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44,216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20,797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25,477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66,407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66,407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Revenue information by geographic area for the three and six months ended October 3, 2008 and September 28, 2007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7"/>
              </w:rPr>
              <w:t>Six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3, 2008</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September 28, 2007</w:t>
            </w:r>
          </w:p>
        </w:tc>
        <w:tc>
          <w:tcPr>
            <w:tcW w:w="58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 2008</w:t>
            </w:r>
          </w:p>
        </w:tc>
        <w:tc>
          <w:tcPr>
            <w:tcW w:w="28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121,830</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262,494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224,032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color w:val="auto"/>
              </w:rPr>
              <w:t>13,140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6,537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21,997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18,987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5,604</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15,502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4,909</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8,430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13,834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159,280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146,625</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312,241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net book value of long-lived assets located outside the United States was $0.3 million at October 3, 2008 and $0.4 million at March 28,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in October 2007 also became a director of Telesat Holdings Inc., a new entity formed in connection with Loral’s acquisition of Telesat Canada described below. John Stenbit, a director of ViaSat since August 2004, also currently serves on the board of directors of Loral.</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October 2007, Loral and its Canadian partner, Public Sector Pension Investment Board (PSP), through Telesat Holdings Inc., a joint venture formed by Loral and PSP, completed the acquisition of 100% of the stock of Telesat Canada from BCE Inc. Loral acquired equity interests in Telesat Holdings Inc. representing 64% of the economic interests and 33 1/3% of the voting interests. PSP acquired 36% of the economic interests and 66 2/3% of the voting interests in Telesat Holdings Inc. (except with respect to the election of directors as to which it held a 30% voting interest). In connection with this transaction, Michael Targoff became a director on the board of the newly formed entity, Telesat Holdings Inc.</w:t>
      </w:r>
    </w:p>
    <w:p>
      <w:pPr>
        <w:spacing w:after="0" w:line="64"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the Company entered into several agreements with SS/L, Loral and Telesat Canada related to the Company’s anticipated high capacity satellite system. Under the satellite construction contract with SS/L, the Company will purchase a new broadband satellite (ViaSat-1) designed by the Company and to be constructed by SS/L for approximately $209.1 million, subject to purchase price adjustments based on satellite performance. In addition, the Company entered into a beam sharing agreement with Loral, whereby Loral is responsible for contributing 15% of the total costs (estimated at approximately $60.0 million) associated with the ViaSat-1 satellite project. The Company’s construction contract of the ViaSat-1 satellite with SS/L was approved by the disinterested members of the Company’s Board of Directors, after a determination by the disinterested members of the Company’s Board that the terms and conditions of the purchase were fair to the Company and in the best interests of the Company and its stockholders.</w:t>
      </w:r>
    </w:p>
    <w:p>
      <w:pPr>
        <w:spacing w:after="0" w:line="59"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During the six months ended October 3, 2008, related to the construction of the Company’s anticipated high capacity satellite system, the Company paid $36.1 million to SS/L and had an outstanding payable as of October 3, 2008 of $10.2 million. As of March 28, 2008, the Company had a $3.8 million outstanding payable related to SS/L. In the normal course of business, the Company recognized $0.9 million and $3.7 million of revenue related to Telesat Canada for the three months ended October 3, 2008 and September 28, 2007, respectively, and $1.7 million and $6.2 million for the six months ended October 3, 2008 and September 28, 2007. Accounts receivable to Telesat Canada as of October 3, 2008 and March 28, 2008 were $3.0 million and $3.1 million,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67"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Therefore, actual results may differ materially and adversely from those expressed in any forward-looking statements. Factors that might cause such a difference include, but are not limited to, product design flaws or defects; our ability to successfully integrate acquired companies; our ability to perform under existing contracts and obtain additional contracts; our ability to develop new products that gain market acceptance; changes in product supply, pricing and customer or end user demand; changes in relationships with, or the financial condition of, key customers or suppliers; changes in government regulations; changes in economic conditions globally and in the communications markets in particular; increased competition; potential product liability, infringement and other claims; risks associated with owning and operating satellites (including ViaSat-1, our first broadband satellite); factors affecting the communications industry generally; and other factors identified elsewhere in this Quarterly Report and in our most recent reports on Forms 10-K, 10-Q and 8-K. We undertake no obligation to revise or update any forward-looking statements for any reason.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Based on our history and extensive experience in complex defense communications systems, we have developed the capability to design and implement innovative communications solutions, which enhance bandwidth utilization by applying our sophisticated networking and digital signal processing techniques. Our goal is to leverage our advanced technology and capabilities to capture a considerable share of the networking and global satellite communications equipment and services segment for both government and commercial customers.</w:t>
      </w:r>
    </w:p>
    <w:p>
      <w:pPr>
        <w:spacing w:after="0" w:line="7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w:t>
      </w:r>
    </w:p>
    <w:p>
      <w:pPr>
        <w:spacing w:after="0" w:line="73"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fiscal year 2008, we announced a change in the composition of our segments to reflect the realignment of the organization with our recent strategic initiatives. We conduct our business through three segments: government systems, commercial networks and satellite services. Prior fiscal year information has been recast to facilitate comparisons to the newly established reportable segments.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Government Systems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government systems business encompasses specialized products principally serving defense customers and includes:</w:t>
      </w:r>
    </w:p>
    <w:p>
      <w:pPr>
        <w:spacing w:after="0" w:line="117" w:lineRule="exact"/>
        <w:rPr>
          <w:sz w:val="20"/>
          <w:szCs w:val="20"/>
          <w:color w:val="auto"/>
        </w:rPr>
      </w:pPr>
    </w:p>
    <w:p>
      <w:pPr>
        <w:ind w:left="660" w:right="6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Data links, including Multifunctional Information Distribution System (MIDS) terminals, MIDS Joint Tactical Radio System (MIDS JTRS) development and Unmanned Aerial Vehicle (UAV) technologies,</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and services, which enable military and government users to communicate secure information over secure and non-secure networks, and</w:t>
      </w:r>
    </w:p>
    <w:p>
      <w:pPr>
        <w:spacing w:after="0" w:line="75" w:lineRule="exact"/>
        <w:rPr>
          <w:rFonts w:ascii="Arial" w:cs="Arial" w:eastAsia="Arial" w:hAnsi="Arial"/>
          <w:sz w:val="18"/>
          <w:szCs w:val="18"/>
          <w:b w:val="1"/>
          <w:bCs w:val="1"/>
          <w:color w:val="auto"/>
        </w:rPr>
      </w:pPr>
    </w:p>
    <w:p>
      <w:pPr>
        <w:ind w:left="660" w:right="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7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Serving government customers with cost-effective products and solutions continues to be a critical and core element of our overall business strategy.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 Networks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commercial networks segment offers an end-to-end capability to provide customers with a broad range of satellite communication and other wireless communications equipment solutions, including:</w:t>
      </w:r>
    </w:p>
    <w:p>
      <w:pPr>
        <w:spacing w:after="0" w:line="6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 to customers based on DOCSIS® or DVB-RCS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Mobile broadband products and systems for airborne, maritime and ground mobile broadband applications,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Antenna systems for commercial and defense applications.</w:t>
      </w:r>
    </w:p>
    <w:p>
      <w:pPr>
        <w:spacing w:after="0" w:line="117"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 In addition, based on our advanced satellite technology and systems integration experience, we have developed products addressing five key broadband markets: enterprise, consumer, in-flight, maritime and ground mobile applications.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Satellite Services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satellite services segment encompasses three primary areas: managed broadband services, mobile broadband services and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or our network management center. In 2008, we began construction of a high speed Ka-band satellite system in order to provide wholesale broadband and other services over North America. We currently plan to launch this satellite in early 2011 and introduce service later in 2011.</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Sources of Revenues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products are provided primarily through three types of contracts: fixed-price, time-and-materials and cost-reimbursement contracts. Fixed-price contracts, which require us to provide products and services under a contract at a specified price, comprised approximately 85.3% and 85.8% of our revenues for the three months ended October 3, 2008 and September 28, 2007, respectively, and 85.7% and 84.2% of our revenues for the six months ended October 3, 2008 and September 28, 2007, respectively. The remainder of our annual revenue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Historically, a significant portion of our revenues has been derived from contracts for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were approximately $35.5 million or 22.3% and $28.2 million or 19.2% of our revenues in the three months ended October 3, 2008 and September 28, 2007, respectively. Revenues for our funded research and development were approximately $64.4 million or 20.6% and $59.7 million or 21.7% of our revenues in the six months ended October 3, 2008 and September 28, 2007,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222"/>
        <w:spacing w:after="0" w:line="255" w:lineRule="auto"/>
        <w:rPr>
          <w:sz w:val="20"/>
          <w:szCs w:val="20"/>
          <w:color w:val="auto"/>
        </w:rPr>
      </w:pPr>
      <w:r>
        <w:rPr>
          <w:rFonts w:ascii="Arial" w:cs="Arial" w:eastAsia="Arial" w:hAnsi="Arial"/>
          <w:sz w:val="18"/>
          <w:szCs w:val="18"/>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4.2% and 5.8% of revenues during the three months ended October 3, 2008 and September 28, 2007, respectively, and 5.3% and 5.7% of revenues during the six months ended October 3, 2008 and September 28, 2007, respectively. As a government contractor, we are able to recover a portion of our independent research and development expenses pursuant to our government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us to make judgments, assumptions, and estimates that affect the amounts reported in our condensed consolidated financial statements and accompanying notes.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the best estimates routinely require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firstLine="215"/>
        <w:spacing w:after="0" w:line="276" w:lineRule="auto"/>
        <w:rPr>
          <w:sz w:val="20"/>
          <w:szCs w:val="20"/>
          <w:color w:val="auto"/>
        </w:rPr>
      </w:pPr>
      <w:r>
        <w:rPr>
          <w:rFonts w:ascii="Arial" w:cs="Arial" w:eastAsia="Arial" w:hAnsi="Arial"/>
          <w:sz w:val="17"/>
          <w:szCs w:val="17"/>
          <w:color w:val="auto"/>
        </w:rPr>
        <w:t>A substantial portion of our revenues are derived from long-term contracts requiring development and delivery of complex equipment built to customer specifications. Certain of these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based on the ratio of actual costs incurred to date to total estimated costs expected to be incurred related to the contract or as products are shipped under the units-of-delivery method.</w:t>
      </w:r>
    </w:p>
    <w:p>
      <w:pPr>
        <w:spacing w:after="0" w:line="64"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Anticipated losses on contracts are recognized in full in the period in which losses become probable and estimable. During the three months ended October 3, 2008 and September 28, 2007, we recorded losses of approximately $0.2 million and $2.6 million, respectively, related to loss contracts. During the six months ended October 3, 2008 and September 28, 2007, we recorded losses of approximately $1.5 million and $3.5 million, respectively, related to loss contracts.</w:t>
      </w:r>
    </w:p>
    <w:p>
      <w:pPr>
        <w:spacing w:after="0" w:line="6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October 3, 2008 would change our income before income taxes by approximately $0.4 million.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We also have contracts and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has been met. The amount of product and service revenue recognized is impacted by our judgments as to whether an arrangement includes multiple elements and, if so, what sufficient objective and reliable evidence of fair value exists for those elements. Changes to the elements in an arrangement and our ability to establish evidence for those elements could affect the timing of revenue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revised SFAS 123R, “Share-Based Payment.” Stock-based compensation expense recognized under SFAS 123R for the three months ended October 3, 2008 and September 28, 2007 was $2.9 million and $1.9 million, respectively. Stock-based compensation expense recognized under SFAS 123R for the six months ended October 3, 2008 and September 28, 2007 was $5.0 million and $3.7 million, respectively. At October 3, 2008, total unrecognized estimated compensation cost including estimated forfeitures related to non-vested stock options and restricted stock units granted prior to that date, and the employee stock purchase plan was $8.5 million, $15.7 million and $0.3 million, respectively, which are expected to be recognized over a weighted average period of 2.5 years, 3.1 years and less than six months,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make estimates of the collectibility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 United States government. More recently, commercial customers have comprised a larger part of our revenues. Our accounts receivable balance was $157.8 million, net of allowance for doubtful accounts of $0.2 million, and $155.5 million, net of allowance for doubtful accounts of $0.3 million, as of October 3, 2008 and March 28, 2008,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reserves</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provide limited warranties on a majority of our products for periods of up to five years. We record a liability for our warranty obligations when we ship the products based upon an estimate of expected warranty costs. We classify the amounts we expect to incur within 12 months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 that may occur. It is possible that our underlying assumptions will not reflect the actual experience, and in that case, we will make future adjustments to the recorded warranty obligation.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We account for our goodwill under SFAS 142, “Goodwill and Other Intangible Assets.” The SFAS 142 goodwill impairment model is a two-step process. First, it requires a comparison of the book value of net assets to the fair value of the reporting units that have goodwill assigned to them. Reporting units within the Company’s government systems and commercial network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a goodwill impairment needs to be recorded. We adjust the cash flow forecasts by an appropriate discount rate derived from our market capitalization plus a suitable control premium at the date of evaluation.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satellite</w:t>
      </w:r>
    </w:p>
    <w:p>
      <w:pPr>
        <w:spacing w:after="0" w:line="117" w:lineRule="exact"/>
        <w:rPr>
          <w:sz w:val="20"/>
          <w:szCs w:val="20"/>
          <w:color w:val="auto"/>
        </w:rPr>
      </w:pPr>
    </w:p>
    <w:p>
      <w:pPr>
        <w:jc w:val="both"/>
        <w:ind w:right="8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our satellite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Satellite construction and launch services costs are capitalized to reflect progress toward completion, which typically coincides with contract milestone payment schedules. Insurance premiums related to satellite launches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(Property and equipment and other intangible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SFAS No. 144 (SFAS 144) “Accounting for the Impairment or Disposal of Long-Lived Assets,” we assess potential impairments to our long-lived assets, including property and equipment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SFAS 109, “Accounting for Income Taxes,” net deferred tax assets are reduced by a valuation allowance if, based on all the available evidence, it is more likely than not that some or all of the deferred tax assets will not be realized.</w:t>
      </w:r>
    </w:p>
    <w:p>
      <w:pPr>
        <w:spacing w:after="0" w:line="7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On March 31, 2007, we adopted the provisions of FIN 48, “Accounting for Uncertainty in Income Taxes-an interpretation of FASB Statement No. 109.” FIN 48 clarifies the accounting for uncertainty in income taxes recognized in an enterprise’s financial statements in accordance with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more-likely-than-not to be sustained upon examination by taxing authorities. The amount recognized is measured as the largest amount of benefit that is greater than fifty percent likely of being realized upon ultimate settlement.</w:t>
      </w:r>
    </w:p>
    <w:p>
      <w:pPr>
        <w:spacing w:after="0" w:line="57"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October 3, 2008</w:t>
            </w:r>
          </w:p>
        </w:tc>
        <w:tc>
          <w:tcPr>
            <w:tcW w:w="42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September 28, 2007</w:t>
            </w:r>
          </w:p>
        </w:tc>
        <w:tc>
          <w:tcPr>
            <w:tcW w:w="40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October 3, 2008</w:t>
            </w:r>
          </w:p>
        </w:tc>
        <w:tc>
          <w:tcPr>
            <w:tcW w:w="40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September 28,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100.0%</w:t>
            </w:r>
          </w:p>
        </w:tc>
        <w:tc>
          <w:tcPr>
            <w:tcW w:w="1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62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100.0%</w:t>
            </w:r>
          </w:p>
        </w:tc>
        <w:tc>
          <w:tcPr>
            <w:tcW w:w="1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2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72.5</w:t>
            </w:r>
          </w:p>
        </w:tc>
        <w:tc>
          <w:tcPr>
            <w:tcW w:w="18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71.3</w:t>
            </w:r>
          </w:p>
        </w:tc>
        <w:tc>
          <w:tcPr>
            <w:tcW w:w="162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71.6</w:t>
            </w:r>
          </w:p>
        </w:tc>
        <w:tc>
          <w:tcPr>
            <w:tcW w:w="18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gridSpan w:val="3"/>
          </w:tcPr>
          <w:p>
            <w:pPr>
              <w:jc w:val="right"/>
              <w:ind w:right="328"/>
              <w:spacing w:after="0"/>
              <w:rPr>
                <w:sz w:val="20"/>
                <w:szCs w:val="20"/>
                <w:color w:val="auto"/>
              </w:rPr>
            </w:pPr>
            <w:r>
              <w:rPr>
                <w:rFonts w:ascii="Arial" w:cs="Arial" w:eastAsia="Arial" w:hAnsi="Arial"/>
                <w:sz w:val="18"/>
                <w:szCs w:val="18"/>
                <w:color w:val="auto"/>
              </w:rPr>
              <w:t>16.0</w:t>
            </w:r>
          </w:p>
        </w:tc>
        <w:tc>
          <w:tcPr>
            <w:tcW w:w="1840" w:type="dxa"/>
            <w:vAlign w:val="bottom"/>
            <w:gridSpan w:val="4"/>
          </w:tcPr>
          <w:p>
            <w:pPr>
              <w:jc w:val="right"/>
              <w:ind w:right="520"/>
              <w:spacing w:after="0"/>
              <w:rPr>
                <w:sz w:val="20"/>
                <w:szCs w:val="20"/>
                <w:color w:val="auto"/>
              </w:rPr>
            </w:pPr>
            <w:r>
              <w:rPr>
                <w:rFonts w:ascii="Arial" w:cs="Arial" w:eastAsia="Arial" w:hAnsi="Arial"/>
                <w:sz w:val="18"/>
                <w:szCs w:val="18"/>
                <w:color w:val="auto"/>
              </w:rPr>
              <w:t>13.9</w:t>
            </w:r>
          </w:p>
        </w:tc>
        <w:tc>
          <w:tcPr>
            <w:tcW w:w="1620" w:type="dxa"/>
            <w:vAlign w:val="bottom"/>
            <w:gridSpan w:val="4"/>
          </w:tcPr>
          <w:p>
            <w:pPr>
              <w:jc w:val="right"/>
              <w:ind w:right="328"/>
              <w:spacing w:after="0"/>
              <w:rPr>
                <w:sz w:val="20"/>
                <w:szCs w:val="20"/>
                <w:color w:val="auto"/>
              </w:rPr>
            </w:pPr>
            <w:r>
              <w:rPr>
                <w:rFonts w:ascii="Arial" w:cs="Arial" w:eastAsia="Arial" w:hAnsi="Arial"/>
                <w:sz w:val="18"/>
                <w:szCs w:val="18"/>
                <w:color w:val="auto"/>
              </w:rPr>
              <w:t>15.7</w:t>
            </w:r>
          </w:p>
        </w:tc>
        <w:tc>
          <w:tcPr>
            <w:tcW w:w="1840" w:type="dxa"/>
            <w:vAlign w:val="bottom"/>
            <w:gridSpan w:val="4"/>
          </w:tcPr>
          <w:p>
            <w:pPr>
              <w:jc w:val="right"/>
              <w:ind w:right="5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4.2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5.3</w:t>
            </w:r>
          </w:p>
        </w:tc>
        <w:tc>
          <w:tcPr>
            <w:tcW w:w="18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1.5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1620" w:type="dxa"/>
            <w:vAlign w:val="bottom"/>
            <w:gridSpan w:val="4"/>
          </w:tcPr>
          <w:p>
            <w:pPr>
              <w:jc w:val="right"/>
              <w:ind w:right="328"/>
              <w:spacing w:after="0"/>
              <w:rPr>
                <w:sz w:val="20"/>
                <w:szCs w:val="20"/>
                <w:color w:val="auto"/>
              </w:rPr>
            </w:pPr>
            <w:r>
              <w:rPr>
                <w:rFonts w:ascii="Arial" w:cs="Arial" w:eastAsia="Arial" w:hAnsi="Arial"/>
                <w:sz w:val="18"/>
                <w:szCs w:val="18"/>
                <w:color w:val="auto"/>
              </w:rPr>
              <w:t>1.5</w:t>
            </w:r>
          </w:p>
        </w:tc>
        <w:tc>
          <w:tcPr>
            <w:tcW w:w="1840" w:type="dxa"/>
            <w:vAlign w:val="bottom"/>
            <w:gridSpan w:val="4"/>
          </w:tcPr>
          <w:p>
            <w:pPr>
              <w:jc w:val="right"/>
              <w:ind w:right="5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5.9</w:t>
            </w:r>
          </w:p>
        </w:tc>
        <w:tc>
          <w:tcPr>
            <w:tcW w:w="18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gridSpan w:val="3"/>
          </w:tcPr>
          <w:p>
            <w:pPr>
              <w:jc w:val="right"/>
              <w:ind w:right="328"/>
              <w:spacing w:after="0"/>
              <w:rPr>
                <w:sz w:val="20"/>
                <w:szCs w:val="20"/>
                <w:color w:val="auto"/>
              </w:rPr>
            </w:pPr>
            <w:r>
              <w:rPr>
                <w:rFonts w:ascii="Arial" w:cs="Arial" w:eastAsia="Arial" w:hAnsi="Arial"/>
                <w:sz w:val="18"/>
                <w:szCs w:val="18"/>
                <w:color w:val="auto"/>
              </w:rPr>
              <w:t>6.1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8"/>
                <w:szCs w:val="18"/>
                <w:color w:val="auto"/>
              </w:rPr>
            </w:pPr>
          </w:p>
        </w:tc>
        <w:tc>
          <w:tcPr>
            <w:tcW w:w="1620" w:type="dxa"/>
            <w:vAlign w:val="bottom"/>
            <w:gridSpan w:val="4"/>
          </w:tcPr>
          <w:p>
            <w:pPr>
              <w:jc w:val="right"/>
              <w:ind w:right="328"/>
              <w:spacing w:after="0"/>
              <w:rPr>
                <w:sz w:val="20"/>
                <w:szCs w:val="20"/>
                <w:color w:val="auto"/>
              </w:rPr>
            </w:pPr>
            <w:r>
              <w:rPr>
                <w:rFonts w:ascii="Arial" w:cs="Arial" w:eastAsia="Arial" w:hAnsi="Arial"/>
                <w:sz w:val="18"/>
                <w:szCs w:val="18"/>
                <w:color w:val="auto"/>
              </w:rPr>
              <w:t>6.3</w:t>
            </w:r>
          </w:p>
        </w:tc>
        <w:tc>
          <w:tcPr>
            <w:tcW w:w="1840" w:type="dxa"/>
            <w:vAlign w:val="bottom"/>
            <w:gridSpan w:val="4"/>
          </w:tcPr>
          <w:p>
            <w:pPr>
              <w:jc w:val="right"/>
              <w:ind w:right="5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5.8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5.0</w:t>
            </w:r>
          </w:p>
        </w:tc>
        <w:tc>
          <w:tcPr>
            <w:tcW w:w="18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40"/>
        <w:spacing w:after="0" w:line="407" w:lineRule="auto"/>
        <w:rPr>
          <w:sz w:val="20"/>
          <w:szCs w:val="20"/>
          <w:color w:val="auto"/>
        </w:rPr>
      </w:pPr>
      <w:r>
        <w:rPr>
          <w:rFonts w:ascii="Arial" w:cs="Arial" w:eastAsia="Arial" w:hAnsi="Arial"/>
          <w:sz w:val="18"/>
          <w:szCs w:val="18"/>
          <w:b w:val="1"/>
          <w:bCs w:val="1"/>
          <w:color w:val="auto"/>
        </w:rPr>
        <w:t xml:space="preserve">Three Months Ended October 3, 2008 vs. Three Months Ended September 28, 2007 </w:t>
      </w:r>
      <w:r>
        <w:rPr>
          <w:rFonts w:ascii="Arial" w:cs="Arial" w:eastAsia="Arial" w:hAnsi="Arial"/>
          <w:sz w:val="18"/>
          <w:szCs w:val="18"/>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74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0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2008</w:t>
            </w:r>
          </w:p>
        </w:tc>
        <w:tc>
          <w:tcPr>
            <w:tcW w:w="166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78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$159.3</w:t>
            </w:r>
          </w:p>
        </w:tc>
        <w:tc>
          <w:tcPr>
            <w:tcW w:w="500" w:type="dxa"/>
            <w:vAlign w:val="bottom"/>
          </w:tcPr>
          <w:p>
            <w:pPr>
              <w:spacing w:after="0"/>
              <w:rPr>
                <w:sz w:val="19"/>
                <w:szCs w:val="19"/>
                <w:color w:val="auto"/>
              </w:rPr>
            </w:pPr>
          </w:p>
        </w:tc>
        <w:tc>
          <w:tcPr>
            <w:tcW w:w="116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$146.6</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8.6%</w:t>
            </w:r>
          </w:p>
        </w:tc>
      </w:tr>
    </w:tbl>
    <w:p>
      <w:pPr>
        <w:spacing w:after="0" w:line="79" w:lineRule="exact"/>
        <w:rPr>
          <w:sz w:val="20"/>
          <w:szCs w:val="20"/>
          <w:color w:val="auto"/>
        </w:rPr>
      </w:pPr>
    </w:p>
    <w:p>
      <w:pPr>
        <w:jc w:val="both"/>
        <w:ind w:right="20" w:firstLine="222"/>
        <w:spacing w:after="0" w:line="286" w:lineRule="auto"/>
        <w:rPr>
          <w:sz w:val="20"/>
          <w:szCs w:val="20"/>
          <w:color w:val="auto"/>
        </w:rPr>
      </w:pPr>
      <w:r>
        <w:rPr>
          <w:rFonts w:ascii="Arial" w:cs="Arial" w:eastAsia="Arial" w:hAnsi="Arial"/>
          <w:sz w:val="16"/>
          <w:szCs w:val="16"/>
          <w:color w:val="auto"/>
        </w:rPr>
        <w:t>The increase in revenues from $146.6 million to $159.3 million during the second quarter of fiscal year 2009 when compared to the same period last year was due to higher customer awards received during the second quarter of fiscal year 2009 of $255.5 million compared to $189.5 million in the second quarter of fiscal year 2008, and the conversion of a portion of those awards into revenues. Revenue increases in our government systems segment, which increased by $17.5 million and our satellite service segment, which increased by $1.1 million, were offset by decreases in our commercial networks segment of</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$5.9 million. The revenue increase in our government systems segment was primarily derived from higher sales of $12.7 million from information assurance products and related development programs and $4.0 million in next generation military satellite communication systems. Our commercial networks segment revenue decrease was primarily due to a reduction in sales of consumer broadband products of $10.3 million and a $2.3 million decrease in sales of our enterprise VSAT products, offset by an increase in sales of $6.7 million related to our mobile satellite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480" w:type="dxa"/>
            <w:vAlign w:val="bottom"/>
          </w:tcPr>
          <w:p>
            <w:pPr>
              <w:spacing w:after="0"/>
              <w:rPr>
                <w:sz w:val="10"/>
                <w:szCs w:val="10"/>
                <w:color w:val="auto"/>
              </w:rPr>
            </w:pPr>
          </w:p>
        </w:tc>
        <w:tc>
          <w:tcPr>
            <w:tcW w:w="116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64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78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$115.6</w:t>
            </w:r>
          </w:p>
        </w:tc>
        <w:tc>
          <w:tcPr>
            <w:tcW w:w="480" w:type="dxa"/>
            <w:vAlign w:val="bottom"/>
          </w:tcPr>
          <w:p>
            <w:pPr>
              <w:spacing w:after="0"/>
              <w:rPr>
                <w:sz w:val="16"/>
                <w:szCs w:val="16"/>
                <w:color w:val="auto"/>
              </w:rPr>
            </w:pPr>
          </w:p>
        </w:tc>
        <w:tc>
          <w:tcPr>
            <w:tcW w:w="11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$104.5</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$11.0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10.6%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72.5%</w:t>
            </w:r>
          </w:p>
        </w:tc>
        <w:tc>
          <w:tcPr>
            <w:tcW w:w="1640" w:type="dxa"/>
            <w:vAlign w:val="bottom"/>
            <w:gridSpan w:val="2"/>
          </w:tcPr>
          <w:p>
            <w:pPr>
              <w:jc w:val="right"/>
              <w:ind w:right="142"/>
              <w:spacing w:after="0"/>
              <w:rPr>
                <w:sz w:val="20"/>
                <w:szCs w:val="20"/>
                <w:color w:val="auto"/>
              </w:rPr>
            </w:pPr>
            <w:r>
              <w:rPr>
                <w:rFonts w:ascii="Arial" w:cs="Arial" w:eastAsia="Arial" w:hAnsi="Arial"/>
                <w:sz w:val="18"/>
                <w:szCs w:val="18"/>
                <w:color w:val="auto"/>
              </w:rPr>
              <w:t>71.3%</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increase in quarterly cost of revenues from $104.5 million to $115.6 million was primarily due to our increased revenues. We also experienced an increase in cost of revenues as a percentage of revenues from 71.3% to 72.5%. This increase was primarily due to product cost increases of $1.6 million in our government systems segment spread across various products groups and an increase in cost of revenues of approximately $1.7 million in our consumer broadband products principally from lower margin broadband development programs, offset by product cost reductions of $0.8 million in our antenna products through improved overall program performance year over year. Cost of revenues for the three months ended October 3, 2008 and September 28, 2007 included approximately $0.7 million and $0.5 million respectively, in stock-based compensation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4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282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408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16"/>
                <w:szCs w:val="16"/>
                <w:color w:val="auto"/>
              </w:rPr>
            </w:pPr>
          </w:p>
        </w:tc>
        <w:tc>
          <w:tcPr>
            <w:tcW w:w="1000" w:type="dxa"/>
            <w:vAlign w:val="bottom"/>
            <w:tcBorders>
              <w:top w:val="single" w:sz="8" w:color="auto"/>
            </w:tcBorders>
          </w:tcPr>
          <w:p>
            <w:pPr>
              <w:jc w:val="right"/>
              <w:ind w:right="264"/>
              <w:spacing w:after="0" w:line="195" w:lineRule="exact"/>
              <w:rPr>
                <w:sz w:val="20"/>
                <w:szCs w:val="20"/>
                <w:color w:val="auto"/>
              </w:rPr>
            </w:pPr>
            <w:r>
              <w:rPr>
                <w:rFonts w:ascii="Arial" w:cs="Arial" w:eastAsia="Arial" w:hAnsi="Arial"/>
                <w:sz w:val="18"/>
                <w:szCs w:val="18"/>
                <w:color w:val="auto"/>
              </w:rPr>
              <w:t>$25.4</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$20.4</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$5.0</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24.5%</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820" w:type="dxa"/>
            <w:vAlign w:val="bottom"/>
            <w:gridSpan w:val="2"/>
          </w:tcPr>
          <w:p>
            <w:pPr>
              <w:jc w:val="right"/>
              <w:ind w:right="124"/>
              <w:spacing w:after="0"/>
              <w:rPr>
                <w:sz w:val="20"/>
                <w:szCs w:val="20"/>
                <w:color w:val="auto"/>
              </w:rPr>
            </w:pPr>
            <w:r>
              <w:rPr>
                <w:rFonts w:ascii="Arial" w:cs="Arial" w:eastAsia="Arial" w:hAnsi="Arial"/>
                <w:sz w:val="18"/>
                <w:szCs w:val="18"/>
                <w:color w:val="auto"/>
              </w:rPr>
              <w:t>16.0%</w:t>
            </w:r>
          </w:p>
        </w:tc>
        <w:tc>
          <w:tcPr>
            <w:tcW w:w="1580" w:type="dxa"/>
            <w:vAlign w:val="bottom"/>
            <w:gridSpan w:val="2"/>
          </w:tcPr>
          <w:p>
            <w:pPr>
              <w:jc w:val="right"/>
              <w:ind w:right="142"/>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4080" w:type="dxa"/>
            <w:vAlign w:val="bottom"/>
          </w:tcPr>
          <w:p>
            <w:pPr>
              <w:spacing w:after="0"/>
              <w:rPr>
                <w:sz w:val="24"/>
                <w:szCs w:val="24"/>
                <w:color w:val="auto"/>
              </w:rPr>
            </w:pP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40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The increase in selling, general and administrative (SG&amp;A) expenses from $20.4 million to $25.4 million during the second quarter of fiscal year 2009 when compared to the second quarter of fiscal year 2008 was primarily attributable to higher support costs of approximately $1.4 million and higher selling and proposal costs of approximately $3.0 million for new contract awards. In addition, approximately $1.9 million in stock-based compensation expense was recorded for the three months ended October 3, 2008 versus $1.3 million for the same period in the prior fiscal year.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6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28,</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96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$6.7</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$8.4</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$(1.8)</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(21.1)%</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900" w:type="dxa"/>
            <w:vAlign w:val="bottom"/>
          </w:tcPr>
          <w:p>
            <w:pPr>
              <w:jc w:val="right"/>
              <w:ind w:right="102"/>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142"/>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94"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decrease in independent research and development (IR&amp;D) expenses reflected a year over year decrease from the commercial networks segment of approximately $1.7 million and the government systems segment of approximately $0.1 million. The lower IR&amp;D expenses were principally due to a shift of some of our efforts from internal development projects to customer funded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amortize our intangible assets from prior acquisitions over their estimated useful lives ranging from eight months to ten years. Amortization of intangible assets will decrease each year as the intangible assets with shorter lives become fully amortized. Current and expected amortization expense for each of the following periods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3, 2008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4,680</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Interest income decreased to $0.6 million for the three months ended October 3, 2008 from $1.5 million for the three months ended September 28, 2007 due to lower interest rates on our investments and lower average invested cash balances for the second quarter of fiscal year 2009 compared to the second quarter of fiscal year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400" w:firstLine="225"/>
        <w:spacing w:after="0" w:line="264" w:lineRule="auto"/>
        <w:rPr>
          <w:sz w:val="20"/>
          <w:szCs w:val="20"/>
          <w:color w:val="auto"/>
        </w:rPr>
      </w:pPr>
      <w:r>
        <w:rPr>
          <w:rFonts w:ascii="Arial" w:cs="Arial" w:eastAsia="Arial" w:hAnsi="Arial"/>
          <w:sz w:val="18"/>
          <w:szCs w:val="18"/>
          <w:color w:val="auto"/>
        </w:rPr>
        <w:t>Interest expense decreased to less than $0.1 million for the three months ended October 3, 2008 compared to $0.2 million for the three months ended September 28, 2007. Commitment fees on our line of credit availability remained relatively the same for each period. We had no outstanding borrowings under our line of credit at October 3, 2008 or September 28,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We currently estimate our annual effective income tax rate to be approximately 22.3% for fiscal year 2009, as compared to the actual 28.1% effective income tax rate in fiscal year 2008. The income tax provision of approximately 5.2% for the second quarter of fiscal year 2009 was lower than the expected annual effective tax rate primarily due to the recording of research and development tax credits allowed for in the second quarter of fiscal year 2009 by the Emergency Economic Stabilization Act of 2008, enacted on October 3, 2008, extending the research and development tax credit from January 1, 2008 to December 31, 2009. In the first quarter of fiscal year 2009, our estimated annual effective income tax rate did not include the effect of the extension of the research and development tax credit, which resulted in a catch-up adjustment of approximately $0.9 million in the second quarter of fiscal year 2009. Also as a result of the extension of the research and development tax credit, approximately $0.9 million of research and development tax credit generated in the fourth quarter of fiscal year 2008 was recognized as a discrete item in the second quarter of fiscal year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for the Three Months Ended October 3, 2008 vs. Three Months Ended September 28,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40" w:type="dxa"/>
            <w:vAlign w:val="bottom"/>
          </w:tcPr>
          <w:p>
            <w:pPr>
              <w:spacing w:after="0"/>
              <w:rPr>
                <w:sz w:val="10"/>
                <w:szCs w:val="10"/>
                <w:color w:val="auto"/>
              </w:rPr>
            </w:pP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84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$97.3</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$79.8</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$17.5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21.9%</w:t>
            </w:r>
          </w:p>
        </w:tc>
      </w:tr>
    </w:tbl>
    <w:p>
      <w:pPr>
        <w:spacing w:after="0" w:line="79"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Our government systems segment revenues increased in the second quarter of fiscal year 2009 when compared to the same period last year primarily due to higher customer awards of $157.3 million in second quarter of fiscal year 2009 compared to $122.3 million in second quarter of fiscal year 2008, and the conversion of a portion of those awards into revenues. The $17.5 million revenue increase was comprised of higher sales of $12.7 million of information assurance products and development programs and $4.0 million in next generation military satellite communication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$13.3</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$11.9</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$1.4</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12.0%</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13.7%</w:t>
            </w:r>
          </w:p>
        </w:tc>
        <w:tc>
          <w:tcPr>
            <w:tcW w:w="1580" w:type="dxa"/>
            <w:vAlign w:val="bottom"/>
            <w:gridSpan w:val="2"/>
          </w:tcPr>
          <w:p>
            <w:pPr>
              <w:jc w:val="right"/>
              <w:ind w:right="142"/>
              <w:spacing w:after="0"/>
              <w:rPr>
                <w:sz w:val="20"/>
                <w:szCs w:val="20"/>
                <w:color w:val="auto"/>
              </w:rPr>
            </w:pPr>
            <w:r>
              <w:rPr>
                <w:rFonts w:ascii="Arial" w:cs="Arial" w:eastAsia="Arial" w:hAnsi="Arial"/>
                <w:sz w:val="18"/>
                <w:szCs w:val="18"/>
                <w:color w:val="auto"/>
              </w:rPr>
              <w:t>14.9%</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380" w:firstLine="225"/>
        <w:spacing w:after="0" w:line="312" w:lineRule="auto"/>
        <w:rPr>
          <w:sz w:val="20"/>
          <w:szCs w:val="20"/>
          <w:color w:val="auto"/>
        </w:rPr>
      </w:pPr>
      <w:r>
        <w:rPr>
          <w:rFonts w:ascii="Arial" w:cs="Arial" w:eastAsia="Arial" w:hAnsi="Arial"/>
          <w:sz w:val="16"/>
          <w:szCs w:val="16"/>
          <w:color w:val="auto"/>
        </w:rPr>
        <w:t>Our government systems segment operating profits increased in the second quarter of fiscal year 2009 when compared to the same period last year primarily due to increased revenues of $17.5 million offset by growth in SG&amp;A expense of approximately $2.6 million from selling and support costs, product cost increases of $1.6 million spread across various products groups, and additional non-cash stock-based compensation expense of $0.5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80" w:type="dxa"/>
            <w:vAlign w:val="bottom"/>
          </w:tcPr>
          <w:p>
            <w:pPr>
              <w:spacing w:after="0"/>
              <w:rPr>
                <w:sz w:val="10"/>
                <w:szCs w:val="10"/>
                <w:color w:val="auto"/>
              </w:rPr>
            </w:pP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88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$59.2</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$65.1</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$(5.9)</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(9.1)%</w:t>
            </w:r>
          </w:p>
        </w:tc>
      </w:tr>
    </w:tbl>
    <w:p>
      <w:pPr>
        <w:spacing w:after="0" w:line="79"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Our commercial networks segment revenues decreased in the second quarter of fiscal year 2009 when compared to the same period of fiscal year 2008 primarily due to a $10.3 million reduction in consumer broadband product sales and a $2.3 million decrease in sales from our enterprise VSAT products, offset by increased sales of $6.7 million related to mobile satellite systems.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9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148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Operating profit (loss)</w:t>
            </w:r>
          </w:p>
        </w:tc>
        <w:tc>
          <w:tcPr>
            <w:tcW w:w="980" w:type="dxa"/>
            <w:vAlign w:val="bottom"/>
            <w:tcBorders>
              <w:top w:val="single" w:sz="8" w:color="auto"/>
            </w:tcBorders>
          </w:tcPr>
          <w:p>
            <w:pPr>
              <w:jc w:val="right"/>
              <w:ind w:right="202"/>
              <w:spacing w:after="0" w:line="195" w:lineRule="exact"/>
              <w:rPr>
                <w:sz w:val="20"/>
                <w:szCs w:val="20"/>
                <w:color w:val="auto"/>
              </w:rPr>
            </w:pPr>
            <w:r>
              <w:rPr>
                <w:rFonts w:ascii="Arial" w:cs="Arial" w:eastAsia="Arial" w:hAnsi="Arial"/>
                <w:sz w:val="18"/>
                <w:szCs w:val="18"/>
                <w:color w:val="auto"/>
              </w:rPr>
              <w:t>$(0.9)</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$2.3</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$(3.2)</w:t>
            </w:r>
          </w:p>
        </w:tc>
        <w:tc>
          <w:tcPr>
            <w:tcW w:w="520" w:type="dxa"/>
            <w:vAlign w:val="bottom"/>
          </w:tcPr>
          <w:p>
            <w:pPr>
              <w:spacing w:after="0"/>
              <w:rPr>
                <w:sz w:val="16"/>
                <w:szCs w:val="16"/>
                <w:color w:val="auto"/>
              </w:rPr>
            </w:pPr>
          </w:p>
        </w:tc>
        <w:tc>
          <w:tcPr>
            <w:tcW w:w="110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(139.9)%</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ind w:right="142"/>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94"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Our commercial networks segment operating profit decreased to a loss in the second quarter of fiscal year 2009 when compared to the same period of fiscal year 2008 primarily due to lower revenue and associated margins, product cost increases of $1.7 million in our consumer broadband products from lower margin broadband development programs, offset by product cost reductions of $0.8 million in our antenna products through improved overall program performance year over year. Our commercial networks segment experienced growth in SG&amp;A expense of approximately $2.5 million primarily due to higher selling and support costs and recorded additional non-cash stock-based compensation expense of $0.4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5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0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25"/>
              <w:spacing w:after="0"/>
              <w:rPr>
                <w:sz w:val="20"/>
                <w:szCs w:val="20"/>
                <w:color w:val="auto"/>
              </w:rPr>
            </w:pPr>
            <w:r>
              <w:rPr>
                <w:rFonts w:ascii="Arial" w:cs="Arial" w:eastAsia="Arial" w:hAnsi="Arial"/>
                <w:sz w:val="14"/>
                <w:szCs w:val="14"/>
                <w:b w:val="1"/>
                <w:bCs w:val="1"/>
                <w:color w:val="auto"/>
              </w:rPr>
              <w:t>2008</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6040" w:type="dxa"/>
            <w:vAlign w:val="bottom"/>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9"/>
                <w:szCs w:val="19"/>
                <w:color w:val="auto"/>
              </w:rPr>
            </w:pPr>
          </w:p>
        </w:tc>
        <w:tc>
          <w:tcPr>
            <w:tcW w:w="9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69.9%</w:t>
            </w:r>
          </w:p>
        </w:tc>
      </w:tr>
    </w:tbl>
    <w:p>
      <w:pPr>
        <w:spacing w:after="0" w:line="79"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Our satellite services segment revenues increased during the second quarter of fiscal year 2009 when compared to the same period of fiscal year 2008 due to growth in our service arrangements supporting both the mobile broadband and enterprise managed networks services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12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62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88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(0.8)</w:t>
            </w:r>
          </w:p>
        </w:tc>
        <w:tc>
          <w:tcPr>
            <w:tcW w:w="500" w:type="dxa"/>
            <w:vAlign w:val="bottom"/>
          </w:tcPr>
          <w:p>
            <w:pPr>
              <w:spacing w:after="0"/>
              <w:rPr>
                <w:sz w:val="16"/>
                <w:szCs w:val="16"/>
                <w:color w:val="auto"/>
              </w:rPr>
            </w:pPr>
          </w:p>
        </w:tc>
        <w:tc>
          <w:tcPr>
            <w:tcW w:w="11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 (0.8)</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$0.0</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(4.8)%</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(27.7)%</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(49.4)%</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jc w:val="both"/>
        <w:ind w:right="300" w:firstLine="225"/>
        <w:spacing w:after="0" w:line="342" w:lineRule="auto"/>
        <w:rPr>
          <w:sz w:val="20"/>
          <w:szCs w:val="20"/>
          <w:color w:val="auto"/>
        </w:rPr>
      </w:pPr>
      <w:r>
        <w:rPr>
          <w:rFonts w:ascii="Arial" w:cs="Arial" w:eastAsia="Arial" w:hAnsi="Arial"/>
          <w:sz w:val="16"/>
          <w:szCs w:val="16"/>
          <w:color w:val="auto"/>
        </w:rPr>
        <w:t>Our satellite services segment operating losses remained relatively flat in the second quarter of fiscal year 2009 when compared to the same period last year. This was driven by an increase in revenue of $1.1 million offset by a $0.7 million increase in SG&amp;A expense due to higher selling and support costs.</w:t>
      </w:r>
    </w:p>
    <w:p>
      <w:pPr>
        <w:spacing w:after="0" w:line="120" w:lineRule="exact"/>
        <w:rPr>
          <w:sz w:val="20"/>
          <w:szCs w:val="20"/>
          <w:color w:val="auto"/>
        </w:rPr>
      </w:pPr>
    </w:p>
    <w:p>
      <w:pPr>
        <w:ind w:right="5480"/>
        <w:spacing w:after="0" w:line="407" w:lineRule="auto"/>
        <w:rPr>
          <w:sz w:val="20"/>
          <w:szCs w:val="20"/>
          <w:color w:val="auto"/>
        </w:rPr>
      </w:pPr>
      <w:r>
        <w:rPr>
          <w:rFonts w:ascii="Arial" w:cs="Arial" w:eastAsia="Arial" w:hAnsi="Arial"/>
          <w:sz w:val="18"/>
          <w:szCs w:val="18"/>
          <w:b w:val="1"/>
          <w:bCs w:val="1"/>
          <w:color w:val="auto"/>
        </w:rPr>
        <w:t xml:space="preserve">Six Months Ended October 3, 2008 vs. Six Months Ended September 28, 2007 </w:t>
      </w:r>
      <w:r>
        <w:rPr>
          <w:rFonts w:ascii="Arial" w:cs="Arial" w:eastAsia="Arial" w:hAnsi="Arial"/>
          <w:sz w:val="18"/>
          <w:szCs w:val="18"/>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48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2008</w:t>
            </w:r>
          </w:p>
        </w:tc>
        <w:tc>
          <w:tcPr>
            <w:tcW w:w="164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$312.2</w:t>
            </w:r>
          </w:p>
        </w:tc>
        <w:tc>
          <w:tcPr>
            <w:tcW w:w="480" w:type="dxa"/>
            <w:vAlign w:val="bottom"/>
          </w:tcPr>
          <w:p>
            <w:pPr>
              <w:spacing w:after="0"/>
              <w:rPr>
                <w:sz w:val="19"/>
                <w:szCs w:val="19"/>
                <w:color w:val="auto"/>
              </w:rPr>
            </w:pPr>
          </w:p>
        </w:tc>
        <w:tc>
          <w:tcPr>
            <w:tcW w:w="1160" w:type="dxa"/>
            <w:vAlign w:val="bottom"/>
            <w:tcBorders>
              <w:top w:val="single" w:sz="8" w:color="auto"/>
            </w:tcBorders>
          </w:tcPr>
          <w:p>
            <w:pPr>
              <w:jc w:val="right"/>
              <w:ind w:right="282"/>
              <w:spacing w:after="0"/>
              <w:rPr>
                <w:sz w:val="20"/>
                <w:szCs w:val="20"/>
                <w:color w:val="auto"/>
              </w:rPr>
            </w:pPr>
            <w:r>
              <w:rPr>
                <w:rFonts w:ascii="Arial" w:cs="Arial" w:eastAsia="Arial" w:hAnsi="Arial"/>
                <w:sz w:val="18"/>
                <w:szCs w:val="18"/>
                <w:color w:val="auto"/>
              </w:rPr>
              <w:t>$275.2</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$37.1</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13.5%</w:t>
            </w:r>
          </w:p>
        </w:tc>
      </w:tr>
    </w:tbl>
    <w:p>
      <w:pPr>
        <w:spacing w:after="0" w:line="79"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increase in revenues from $275.2 million during the first six months of fiscal year 2008 to $312.2 million for the same period in fiscal year 2009 was due to higher customer awards received during the first six months of fiscal year 2009 of $461.4 million compared to $325.5 million in the same period of fiscal year 2008, and the conversion of a portion of those awards into revenues. Increased revenues were experienced in all three of our segments: our government systems segment, which increased by $35.5 million, our commercial networks segment, which increased by $0.8 million and our satellite services segments, which increased by $0.8 million. The revenue increase in our government systems segment was primarily derived from higher sales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$24.2 million in information assurance products and development programs, $10.3 million in next generation military satellite communication systems,</w:t>
      </w:r>
    </w:p>
    <w:p>
      <w:pPr>
        <w:spacing w:after="0" w:line="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$5.3 million in video data link systems and $1.1 million from our majority-owned subsidiary, Trellisware. The revenue increases were offset by a decrease in sales of $5.4 million in next generation tactical data link development. Our commercial networks segment revenue increase was primarily derived from higher sales of $11.9 million related to mobile satellite systems and $2.2 million in higher sales from our antenna systems product groups, offset by a $13.3 million reduction in sales of consumer broadband products. Our satellite services segment revenue increase of approximately $0.8 million was primarily derived from service arrangements supporting both the mobile broadband and enterprise managed networks services markets.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480" w:type="dxa"/>
            <w:vAlign w:val="bottom"/>
          </w:tcPr>
          <w:p>
            <w:pPr>
              <w:spacing w:after="0"/>
              <w:rPr>
                <w:sz w:val="10"/>
                <w:szCs w:val="10"/>
                <w:color w:val="auto"/>
              </w:rPr>
            </w:pPr>
          </w:p>
        </w:tc>
        <w:tc>
          <w:tcPr>
            <w:tcW w:w="116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64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78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$223.6</w:t>
            </w:r>
          </w:p>
        </w:tc>
        <w:tc>
          <w:tcPr>
            <w:tcW w:w="480" w:type="dxa"/>
            <w:vAlign w:val="bottom"/>
          </w:tcPr>
          <w:p>
            <w:pPr>
              <w:spacing w:after="0"/>
              <w:rPr>
                <w:sz w:val="16"/>
                <w:szCs w:val="16"/>
                <w:color w:val="auto"/>
              </w:rPr>
            </w:pPr>
          </w:p>
        </w:tc>
        <w:tc>
          <w:tcPr>
            <w:tcW w:w="11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$200.9</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$22.7</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11.3%</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71.6%</w:t>
            </w:r>
          </w:p>
        </w:tc>
        <w:tc>
          <w:tcPr>
            <w:tcW w:w="1640" w:type="dxa"/>
            <w:vAlign w:val="bottom"/>
            <w:gridSpan w:val="2"/>
          </w:tcPr>
          <w:p>
            <w:pPr>
              <w:jc w:val="right"/>
              <w:ind w:right="142"/>
              <w:spacing w:after="0"/>
              <w:rPr>
                <w:sz w:val="20"/>
                <w:szCs w:val="20"/>
                <w:color w:val="auto"/>
              </w:rPr>
            </w:pPr>
            <w:r>
              <w:rPr>
                <w:rFonts w:ascii="Arial" w:cs="Arial" w:eastAsia="Arial" w:hAnsi="Arial"/>
                <w:sz w:val="18"/>
                <w:szCs w:val="18"/>
                <w:color w:val="auto"/>
              </w:rPr>
              <w:t>73.0%</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ind w:right="60" w:firstLine="222"/>
        <w:spacing w:after="0" w:line="284" w:lineRule="auto"/>
        <w:rPr>
          <w:sz w:val="20"/>
          <w:szCs w:val="20"/>
          <w:color w:val="auto"/>
        </w:rPr>
      </w:pPr>
      <w:r>
        <w:rPr>
          <w:rFonts w:ascii="Arial" w:cs="Arial" w:eastAsia="Arial" w:hAnsi="Arial"/>
          <w:sz w:val="16"/>
          <w:szCs w:val="16"/>
          <w:color w:val="auto"/>
        </w:rPr>
        <w:t>The increase in cost of revenues from $200.9 million during the first six months of fiscal year 2008 to $223.6 million for the same period in fiscal year 2009 was primarily due to our increased revenues. However, we did experience a slight decrease in cost of revenues as a percentage of revenues from 73.0% for the first six months of fiscal year 2008 to 71.6% for the same period in the current year. This improvement was primarily due to product cost reductions of approximately $2.2 million related to better program performance in our government systems segment spread across various product groups and better program performance in our antenna systems product group totaling approximately $2.4 million for the first six months of fiscal year 2009 compared to the same period last year. Cost of revenues for the six months ended October 3, 2008 and September 28, 2007 included approximately $1.2 million and</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$1.0 million respectively, in stock-based compensation expense. Cost of revenues may fluctuate in future quarters depending on the mix of products sold and services provided, competition, new product introduction costs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4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84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$49.0</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$38.2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$10.9</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28.5%</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02"/>
              <w:spacing w:after="0"/>
              <w:rPr>
                <w:sz w:val="20"/>
                <w:szCs w:val="20"/>
                <w:color w:val="auto"/>
              </w:rPr>
            </w:pPr>
            <w:r>
              <w:rPr>
                <w:rFonts w:ascii="Arial" w:cs="Arial" w:eastAsia="Arial" w:hAnsi="Arial"/>
                <w:sz w:val="18"/>
                <w:szCs w:val="18"/>
                <w:color w:val="auto"/>
              </w:rPr>
              <w:t>15.7%</w:t>
            </w:r>
          </w:p>
        </w:tc>
        <w:tc>
          <w:tcPr>
            <w:tcW w:w="1580" w:type="dxa"/>
            <w:vAlign w:val="bottom"/>
            <w:gridSpan w:val="2"/>
          </w:tcPr>
          <w:p>
            <w:pPr>
              <w:jc w:val="right"/>
              <w:ind w:right="142"/>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increase in SG&amp;A expenses in the first six months of fiscal year 2009 compared to the same period of fiscal year 2008 was primarily attributable to higher support costs of approximately $6.6 million, higher selling and proposal costs of approximately $3.4 million for new contract awards and an increase of approximately $0.8 million in stock-based compensation expense.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0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600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$16.5</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$15.8</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$0.7</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5.3%</w:t>
            </w:r>
          </w:p>
        </w:tc>
        <w:tc>
          <w:tcPr>
            <w:tcW w:w="1580" w:type="dxa"/>
            <w:vAlign w:val="bottom"/>
            <w:gridSpan w:val="2"/>
          </w:tcPr>
          <w:p>
            <w:pPr>
              <w:jc w:val="right"/>
              <w:ind w:right="142"/>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The increase in IR&amp;D expenses reflects a year-over-year increase in the government systems segment of approximately $1.3 million for the first six months of fiscal year 2009 when compared to the same period of fiscal year 2008 offset by a decrease in the commercial networks segment of $0.6 million. The higher IR&amp;D expenses were principally for the development of next generation information assurance, data link and unmanned aerial vehicle (UAV) technologies, next generation broadband equipment, and our recognition of certain opportunities in these markets and the desire to invest in the development of new technologies to meet these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jc w:val="both"/>
        <w:ind w:right="240" w:firstLine="447"/>
        <w:spacing w:after="0" w:line="264" w:lineRule="auto"/>
        <w:rPr>
          <w:sz w:val="20"/>
          <w:szCs w:val="20"/>
          <w:color w:val="auto"/>
        </w:rPr>
      </w:pPr>
      <w:r>
        <w:rPr>
          <w:rFonts w:ascii="Arial" w:cs="Arial" w:eastAsia="Arial" w:hAnsi="Arial"/>
          <w:sz w:val="18"/>
          <w:szCs w:val="18"/>
          <w:color w:val="auto"/>
        </w:rPr>
        <w:t>The intangible assets from prior acquisitions are being amortized over estimated useful lives ranging from eight months to ten years. Amortization of intangible assets will decrease each year as the intangible assets with shorter lives become fully amortized. Current and expected amortization expense for each of the following periods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w w:val="93"/>
              </w:rPr>
              <w:t>Amortization</w:t>
            </w:r>
          </w:p>
        </w:tc>
      </w:tr>
      <w:tr>
        <w:trPr>
          <w:trHeight w:val="210"/>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3, 2008</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4,680</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1062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0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20,797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40"/>
          </w:cols>
          <w:pgMar w:left="240" w:top="419" w:right="219" w:bottom="1440" w:gutter="0" w:footer="0" w:header="0"/>
        </w:sect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Interest income decreased to $1.3 million for the first six months of fiscal year 2009 from $2.9 million for the same period in fiscal year 2008 due to lower interest rates on our investments and lower average invested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Interest expense decreased to $0.2 million for the six months ended October 3, 2008 from $0.3 million for the same period in fiscal year 2008. Commitment fees on our line of credit availability remained relatively the same for each period. We had no outstanding borrowings under our line of credit at October 3, 2008 or September 28,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currently estimate our annual effective income tax rate to be approximately 22.3% for fiscal year 2009, as compared to the actual 28.1% effective income tax rate in fiscal year 2008. The income tax provision of approximately 20.0% for the first six months of fiscal year 2009 was lower than the expected annual effective tax rate primarily due to approximately $0.9 million of research and development tax credit generated in the fourth quarter of fiscal year 2008 recognized as a discrete tax benefit in the six-month period ended October 3,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for the Six Months Ended October 3, 2008 vs. Six Months Ended September 28,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48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2008</w:t>
            </w:r>
          </w:p>
        </w:tc>
        <w:tc>
          <w:tcPr>
            <w:tcW w:w="164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$185.9</w:t>
            </w:r>
          </w:p>
        </w:tc>
        <w:tc>
          <w:tcPr>
            <w:tcW w:w="480" w:type="dxa"/>
            <w:vAlign w:val="bottom"/>
          </w:tcPr>
          <w:p>
            <w:pPr>
              <w:spacing w:after="0"/>
              <w:rPr>
                <w:sz w:val="19"/>
                <w:szCs w:val="19"/>
                <w:color w:val="auto"/>
              </w:rPr>
            </w:pPr>
          </w:p>
        </w:tc>
        <w:tc>
          <w:tcPr>
            <w:tcW w:w="1160" w:type="dxa"/>
            <w:vAlign w:val="bottom"/>
            <w:tcBorders>
              <w:top w:val="single" w:sz="8" w:color="auto"/>
            </w:tcBorders>
          </w:tcPr>
          <w:p>
            <w:pPr>
              <w:jc w:val="right"/>
              <w:ind w:right="282"/>
              <w:spacing w:after="0"/>
              <w:rPr>
                <w:sz w:val="20"/>
                <w:szCs w:val="20"/>
                <w:color w:val="auto"/>
              </w:rPr>
            </w:pPr>
            <w:r>
              <w:rPr>
                <w:rFonts w:ascii="Arial" w:cs="Arial" w:eastAsia="Arial" w:hAnsi="Arial"/>
                <w:sz w:val="18"/>
                <w:szCs w:val="18"/>
                <w:color w:val="auto"/>
              </w:rPr>
              <w:t>$150.5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$35.5</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23.6%</w:t>
            </w:r>
          </w:p>
        </w:tc>
      </w:tr>
    </w:tbl>
    <w:p>
      <w:pPr>
        <w:spacing w:after="0" w:line="79"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Our government systems segment revenues increased primarily due to higher customer awards of $307.2 million in the first six months of fiscal year 2009 compared to $194.0 million in same period of fiscal year 2008, and the conversion of a portion of those awards into revenues. The $35.5 million revenue increase was comprised of higher sales of $24.2 million in information assurance products and development programs, $10.3 million in next generation military satellite communication systems, $5.3 million in video data link systems and $1.1 million from our majority-owned subsidiary, Trellisware. The revenue increases were offset by a decrease in sales of $5.4 million in next generation tactical data link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$25.4</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$18.0</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$7.3</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40.7%</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13.7%</w:t>
            </w:r>
          </w:p>
        </w:tc>
        <w:tc>
          <w:tcPr>
            <w:tcW w:w="1580" w:type="dxa"/>
            <w:vAlign w:val="bottom"/>
            <w:gridSpan w:val="2"/>
          </w:tcPr>
          <w:p>
            <w:pPr>
              <w:jc w:val="right"/>
              <w:ind w:right="142"/>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Government systems segment operating profits increased in the first six months of fiscal year 2009 when compared to the same period of fiscal year 2008 primarily due to increased revenues of $35.5 million and product cost reduction of approximately $2.2 million spread across various products groups, offset by growth in SG&amp;A expense of approximately $4.3 million from higher selling and support costs and additional non-cash stock-based compensation expense of $0.7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05"/>
              <w:spacing w:after="0"/>
              <w:rPr>
                <w:sz w:val="20"/>
                <w:szCs w:val="20"/>
                <w:color w:val="auto"/>
              </w:rPr>
            </w:pPr>
            <w:r>
              <w:rPr>
                <w:rFonts w:ascii="Arial" w:cs="Arial" w:eastAsia="Arial" w:hAnsi="Arial"/>
                <w:sz w:val="14"/>
                <w:szCs w:val="14"/>
                <w:b w:val="1"/>
                <w:bCs w:val="1"/>
                <w:color w:val="auto"/>
              </w:rPr>
              <w:t>2008</w:t>
            </w:r>
          </w:p>
        </w:tc>
        <w:tc>
          <w:tcPr>
            <w:tcW w:w="168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8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$122.2</w:t>
            </w:r>
          </w:p>
        </w:tc>
        <w:tc>
          <w:tcPr>
            <w:tcW w:w="500" w:type="dxa"/>
            <w:vAlign w:val="bottom"/>
          </w:tcPr>
          <w:p>
            <w:pPr>
              <w:spacing w:after="0"/>
              <w:rPr>
                <w:sz w:val="19"/>
                <w:szCs w:val="19"/>
                <w:color w:val="auto"/>
              </w:rPr>
            </w:pPr>
          </w:p>
        </w:tc>
        <w:tc>
          <w:tcPr>
            <w:tcW w:w="11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$121.3</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0.7%</w:t>
            </w:r>
          </w:p>
        </w:tc>
      </w:tr>
    </w:tbl>
    <w:p>
      <w:pPr>
        <w:spacing w:after="0" w:line="79"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growth in our commercial networks segment revenues in the first six months of fiscal year 2009 when compared to the same period of fiscal year 2008 was primarily derived from higher sales of $11.9 million related to mobile satellite systems and $2.2 million from our antenna systems product groups, offset by a $13.3 million reduction in sales of consumer broadband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6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28,</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96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$0.6</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$3.8</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$(3.2)</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(85.3)%</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900" w:type="dxa"/>
            <w:vAlign w:val="bottom"/>
          </w:tcPr>
          <w:p>
            <w:pPr>
              <w:jc w:val="right"/>
              <w:ind w:right="102"/>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ind w:right="142"/>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94"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Our commercial networks segment operating profit decreased in the first six months of fiscal year 2009 when compared to the same period of fiscal year 2008 due to higher selling and support costs of $5.1 million and recorded additional non-cash stock-based compensation expense of $0.6 million, offset by better program performance in our antenna systems product group totaling approximately $2.4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5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0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25"/>
              <w:spacing w:after="0"/>
              <w:rPr>
                <w:sz w:val="20"/>
                <w:szCs w:val="20"/>
                <w:color w:val="auto"/>
              </w:rPr>
            </w:pPr>
            <w:r>
              <w:rPr>
                <w:rFonts w:ascii="Arial" w:cs="Arial" w:eastAsia="Arial" w:hAnsi="Arial"/>
                <w:sz w:val="14"/>
                <w:szCs w:val="14"/>
                <w:b w:val="1"/>
                <w:bCs w:val="1"/>
                <w:color w:val="auto"/>
              </w:rPr>
              <w:t>2008</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6040" w:type="dxa"/>
            <w:vAlign w:val="bottom"/>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9"/>
                <w:szCs w:val="19"/>
                <w:color w:val="auto"/>
              </w:rPr>
            </w:pPr>
          </w:p>
        </w:tc>
        <w:tc>
          <w:tcPr>
            <w:tcW w:w="9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23.0%</w:t>
            </w:r>
          </w:p>
        </w:tc>
      </w:tr>
    </w:tbl>
    <w:p>
      <w:pPr>
        <w:spacing w:after="0" w:line="7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Our satellite services segment revenues increased in the first six months of fiscal year 2009 when compared to the same period last year by approximately $0.8 million. These revenues were primarily derived from a growth in service arrangement awards supporting both the mobile broadband and enterprise managed networks services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6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480" w:type="dxa"/>
            <w:vAlign w:val="bottom"/>
          </w:tcPr>
          <w:p>
            <w:pPr>
              <w:spacing w:after="0"/>
              <w:rPr>
                <w:sz w:val="10"/>
                <w:szCs w:val="10"/>
                <w:color w:val="auto"/>
              </w:rPr>
            </w:pPr>
          </w:p>
        </w:tc>
        <w:tc>
          <w:tcPr>
            <w:tcW w:w="11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September 28,</w:t>
            </w:r>
          </w:p>
        </w:tc>
        <w:tc>
          <w:tcPr>
            <w:tcW w:w="4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62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76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(2.8)</w:t>
            </w:r>
          </w:p>
        </w:tc>
        <w:tc>
          <w:tcPr>
            <w:tcW w:w="480" w:type="dxa"/>
            <w:vAlign w:val="bottom"/>
          </w:tcPr>
          <w:p>
            <w:pPr>
              <w:spacing w:after="0"/>
              <w:rPr>
                <w:sz w:val="16"/>
                <w:szCs w:val="16"/>
                <w:color w:val="auto"/>
              </w:rPr>
            </w:pPr>
          </w:p>
        </w:tc>
        <w:tc>
          <w:tcPr>
            <w:tcW w:w="11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 (1.3)</w:t>
            </w:r>
          </w:p>
        </w:tc>
        <w:tc>
          <w:tcPr>
            <w:tcW w:w="48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$(1.6)</w:t>
            </w:r>
          </w:p>
        </w:tc>
        <w:tc>
          <w:tcPr>
            <w:tcW w:w="48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121.6%</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(68.3)%</w:t>
            </w:r>
          </w:p>
        </w:tc>
        <w:tc>
          <w:tcPr>
            <w:tcW w:w="1620" w:type="dxa"/>
            <w:vAlign w:val="bottom"/>
            <w:gridSpan w:val="2"/>
          </w:tcPr>
          <w:p>
            <w:pPr>
              <w:jc w:val="right"/>
              <w:ind w:right="102"/>
              <w:spacing w:after="0"/>
              <w:rPr>
                <w:sz w:val="20"/>
                <w:szCs w:val="20"/>
                <w:color w:val="auto"/>
              </w:rPr>
            </w:pPr>
            <w:r>
              <w:rPr>
                <w:rFonts w:ascii="Arial" w:cs="Arial" w:eastAsia="Arial" w:hAnsi="Arial"/>
                <w:sz w:val="18"/>
                <w:szCs w:val="18"/>
                <w:color w:val="auto"/>
              </w:rPr>
              <w:t>(37.9)%</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94"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increase in satellite services segment operating losses of $1.6 million in the first six months of fiscal year 2009 when compared to the same period last year was primarily driven by a $1.7 million increase in SG&amp;A expense from higher selling and support costs, offset by an increase in revenue of approximately $0.8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reflected in the table below, both funded and firm backlog increased during the first six months of fiscal year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860" w:type="dxa"/>
            <w:vAlign w:val="bottom"/>
            <w:gridSpan w:val="5"/>
          </w:tcPr>
          <w:p>
            <w:pPr>
              <w:ind w:left="3340"/>
              <w:spacing w:after="0"/>
              <w:rPr>
                <w:sz w:val="20"/>
                <w:szCs w:val="20"/>
                <w:color w:val="auto"/>
              </w:rPr>
            </w:pPr>
            <w:r>
              <w:rPr>
                <w:rFonts w:ascii="Arial" w:cs="Arial" w:eastAsia="Arial" w:hAnsi="Arial"/>
                <w:sz w:val="14"/>
                <w:szCs w:val="14"/>
                <w:b w:val="1"/>
                <w:bCs w:val="1"/>
                <w:color w:val="auto"/>
              </w:rPr>
              <w:t>October 3, 2008</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2"/>
              </w:rPr>
              <w:t>March 28,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600" w:type="dxa"/>
            <w:vAlign w:val="bottom"/>
            <w:gridSpan w:val="2"/>
          </w:tcPr>
          <w:p>
            <w:pPr>
              <w:ind w:left="3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r>
              <w:rPr>
                <w:rFonts w:ascii="Arial" w:cs="Arial" w:eastAsia="Arial" w:hAnsi="Arial"/>
                <w:sz w:val="18"/>
                <w:szCs w:val="18"/>
                <w:u w:val="single" w:color="auto"/>
                <w:color w:val="auto"/>
              </w:rPr>
              <w:t>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60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60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firm backlog does not include contract options. Of the $523.6 million in firm backlog, approximately $214.9 million is expected to be delivered during the remaining six months of fiscal year 2009, and the balance is expected to be delivered in fiscal year 2010 and thereafter. We include in our backlog only those orders for which we have accepted purchase orders. Compared to the last fiscal year, as more of our products have been placed into market, we have seen a greater percentage of awards from book and ship-type orders, resulting in backlog growth rate that is relatively lower than the previous three fiscal years.</w:t>
      </w:r>
    </w:p>
    <w:p>
      <w:pPr>
        <w:spacing w:after="0" w:line="80" w:lineRule="exact"/>
        <w:rPr>
          <w:sz w:val="20"/>
          <w:szCs w:val="20"/>
          <w:color w:val="auto"/>
        </w:rPr>
      </w:pPr>
    </w:p>
    <w:p>
      <w:pPr>
        <w:ind w:right="160" w:firstLine="222"/>
        <w:spacing w:after="0" w:line="342" w:lineRule="auto"/>
        <w:rPr>
          <w:sz w:val="20"/>
          <w:szCs w:val="20"/>
          <w:color w:val="auto"/>
        </w:rPr>
      </w:pPr>
      <w:r>
        <w:rPr>
          <w:rFonts w:ascii="Arial" w:cs="Arial" w:eastAsia="Arial" w:hAnsi="Arial"/>
          <w:sz w:val="16"/>
          <w:szCs w:val="16"/>
          <w:color w:val="auto"/>
        </w:rPr>
        <w:t>Total new awards for commercial, government and satellite services products were $255.5 million and $461.4 million for the three and six months ended October 3, 2008, respectively, compared to $189.5 million and $325.5 million for the three and six months ended September 28, 2007, respectively.</w:t>
      </w:r>
    </w:p>
    <w:p>
      <w:pPr>
        <w:spacing w:after="0" w:line="16"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purchase order.</w:t>
      </w:r>
    </w:p>
    <w:p>
      <w:pPr>
        <w:spacing w:after="0" w:line="79"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United States government or commercial, domestic or international) and the duration of the contract. In addition, for all three of our segments, program performance significantly impacts the timing and amount of cash flows. If a program is performing and meeting its contractual requirements, then the cash flow requirements are usually lower.</w:t>
      </w:r>
    </w:p>
    <w:p>
      <w:pPr>
        <w:spacing w:after="0" w:line="50"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cash needs of the government systems segment tend to be more a function of the type of contract rather than customer quality. Also, United States government procurement regulations tend to restrict the timing of cash payments on the contract. In the commercial networks and satellite services segments, our cash needs are driven primarily by the quality of the customer and the type of contract. The quality of the customer will typically affect the specific contract cash flow and whether financing instruments are required by the customer. In addition, the commercial networks and satellite services environment tends to provide for more flexible payment terms with customers, including advance payments. The satellite services segment is currently funding construction of a satellite and the related costs will require significant capital investment.</w:t>
      </w:r>
    </w:p>
    <w:p>
      <w:pPr>
        <w:spacing w:after="0" w:line="7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Cash provided by operating activities for the first six months of fiscal year 2009 was $18.4 million as compared to $37.7 million for the first six months of fiscal year 2008. The $19.3 million decrease in cash provided by operating activities for the first six months of fiscal year 2009 as compared to the first six months of fiscal year 2008 was primarily attributable to a year over year net increase in cash used for net operating assets of $22.9 million, offset by higher year over year net income of $2.8 million. Combined billed and unbilled accounts receivable, net, increased by $2.4 million due to collections made in our commercial networks segment spread across various consumer satellite networks customers, offset by new sales and increased unbilled accounts receivable in our government systems segment spread across various customers. Collections in excess of revenue included in accrued liabilities decreased approximately $15.2 million as we progress towards completion of certain larger development projects and as we record the related revenues, as well as the timing of any additional milestones billings.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Cash used in investing activities for the first six months of fiscal year 2009 was $52.9 million as compared to $19.1 million for the first six months of fiscal year 2008. The increase in cash used in investing activities primarily relates to capital expenditures related to the construction of our ViaSat-1 satellite of approximately $36.5 million and other additional capital expenditures for equipment of approximately $14.1 million for the first six months of fiscal year 2009 compared to approximately $9.3 million of capital expenditures for the same period of fiscal year 2008. In addition, cash used in investing activities for the first six months of fiscal year 2009 included, in connection with the terms of our JAST acquisition, the cash payment of the remaining portion of the initial purchase price of approximately $0.8 million on the first anniversary of the closing date. Cash used in investing activities for the first six months of fiscal year 2008 included $8.7 million paid in cash to certain former Efficient Channel Coding, Inc. (ECC) stockholders under the terms of the acquisition agreement for ECC, $0.9 million in cash paid for the acquisition of JAST on the closing date under the terms of the JAST acquisition agreement,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$0.3 million paid in cash to former stockholders of Enerdyne Technologies, Inc. (Enerdyne) under the terms of the Enerdyne acquisition agreement.</w:t>
      </w:r>
    </w:p>
    <w:p>
      <w:pPr>
        <w:spacing w:after="0" w:line="114"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Cash provided by financing activities for the first six months of fiscal year 2009 was $0.6 million as compared to cash provided by financing activities for the first six months of fiscal year 2008 of $5.8 million. The approximate $5.2 million decrease in cash inflows for the first six months of fiscal year 2009 compared to the same period of fiscal year 2008 is primarily related to the $4.7 million repayment of our secured borrowing at the beginning of the first quarter of fiscal year 2009, offset by $1.5 million in cash receipts related to the sale of stock in a majority-owned subsidiary. During April 2008, our majority-owned subsidiary, TrellisWare, issued additional shares of preferred stock and received $1.5 million in cash proceeds from other principal shareholders. We also invested $1.8 million in order to maintain the level of our percentage ownership interest. In addition, cash provided by financing activities for both periods included cash received from the exercise of employee stock options, stock purchases through our employee stock purchase plan and cash inflows related to the incremental tax benefit from stock option exercises.</w:t>
      </w:r>
    </w:p>
    <w:p>
      <w:pPr>
        <w:spacing w:after="0" w:line="7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(Telesat) related to our high capacity satellite system. Under the satellite construction contract with SS/L, we will purchase a new broadband satellite (ViaSat-1) designed by us and to be constructed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In addition, we entered into a beam sharing agreement with Loral, whereby Loral has agreed to reimburse us for 15% of the total costs associated with launch and launch insurance estimated to be approximately $23.1 million, and for in-orbit insurance and satellite operating costs post launch.</w:t>
      </w:r>
    </w:p>
    <w:p>
      <w:pPr>
        <w:spacing w:after="0" w:line="59"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projected total cost of the ViaSat-1 project, including the satellite, launch, insurance and related gateway infrastructure, through satellite launch is estimated to be approximately $400.0 million, and will depend on the timing of the gateway infrastructure roll-out. We have a current strategy that would limit our total required investment. Our equity participation would be similar to our current cash and cash equivalents and the remaining amount may be funded by equity contributions from outside parties and/or debt collateralized by the satellite. Alternatively, we believe we have adequate sources of funding for the project, which includes our cash on hand, available borrowing capacity and the cash we expect to generate over the next few years. We believe this provides us flexibility to execute this project in an appropriate manner and obtain outside equity in the range indicated under terms that we consider reasonable.</w:t>
      </w:r>
    </w:p>
    <w:p>
      <w:pPr>
        <w:spacing w:after="0" w:line="81"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At October 3, 2008, we had $90.8 million in cash, cash equivalents and short-term investments, $231.6 million in working capital and no outstanding borrowings under our line of credit. At March 28, 2008, we had $125.2 million in cash and cash equivalents and short-term investments, $248.3 million in working capital and no outstanding borrowings under our line of credit. Our cash and cash equivalents are held in accounts managed by third party financial institutions. To date, we have experienced no loss of access to our cash equivalents; however, there can be no assurance that access to our cash and cash equivalents will not be impacted by adverse conditions in the financial markets.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January 31, 2005, we entered into a three-year, $60.0 million revolving credit facility (the Prior Facility) in the form of the Second Amended and Restated Revolving Loan Agreement. On September 25, 2008, we signed the Sixth Amendment to the Second Amended and Restated Revolving Loan Agreement reducing the Prior Facility’s size to $40.0 million and extending the current term to October 31, 2008. At October 3, 2008, we had $5.2 million outstanding under standby letters of credit, leaving borrowing availability under the Prior Facility of $34.8 million. We were in compliance with our financial loan covenants under the Prior Facility as of October 3, 2008.</w:t>
      </w:r>
    </w:p>
    <w:p>
      <w:pPr>
        <w:spacing w:after="0" w:line="8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On October 31, 2008, we entered into a three-year, $85.0 million revolving credit facility (the New Facility) in the form of the Third Amended and Restated Revolving Loan Agreement. The New Facility amends and restates the Prior Facility. Borrowings under the New Facility are permitted up to a maximum amount of $85.0 million, including up to $25.0 million of letters of credit, and bear interest, at our option, at either (a) the higher of the Federal Funds rate plus 0.50% or the administrative agent’s prime rate as announced from time to time, or (b) at the London interbank offered rate plus, in the case of each of (a) and (b), an applicable margin that is based on the ratio of our debt to EBITDA. As with the Prior Facility, the New Facility is collateralized by substantially all of our personal property.</w:t>
      </w:r>
    </w:p>
    <w:p>
      <w:pPr>
        <w:spacing w:after="0" w:line="85"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New Facility contains financial covenants regarding a maximum leverage ratio and a minimum interest coverage ratio. In addition, the New Facility contains covenants that restrict, among other things, our ability to incur additional debt, sell assets, make investments and acquisitions, make capital expenditures, grant liens, pay dividends and make certain other restricted payments.</w:t>
      </w:r>
    </w:p>
    <w:p>
      <w:pPr>
        <w:spacing w:after="0" w:line="73"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In April 2007, we filed a new universal shelf registration statement with the Securities and Exchange Commission, or SEC, for the future sale of up to an additional $200 million of debt securities, common stock, preferred stock, depositary shares and warrants, bringing the aggregate available under our universal shelf registration statements to up to $400.0 million. The securities may be offered from time to time, separately or together, directly by us or through underwriters at amounts, prices, interest rates and other terms to be determined at the time of the offering.</w:t>
      </w:r>
    </w:p>
    <w:p>
      <w:pPr>
        <w:spacing w:after="0" w:line="63" w:lineRule="exact"/>
        <w:rPr>
          <w:sz w:val="20"/>
          <w:szCs w:val="20"/>
          <w:color w:val="auto"/>
        </w:rPr>
      </w:pPr>
    </w:p>
    <w:p>
      <w:pPr>
        <w:ind w:right="260" w:firstLine="225"/>
        <w:spacing w:after="0" w:line="291" w:lineRule="auto"/>
        <w:rPr>
          <w:sz w:val="20"/>
          <w:szCs w:val="20"/>
          <w:color w:val="auto"/>
        </w:rPr>
      </w:pPr>
      <w:r>
        <w:rPr>
          <w:rFonts w:ascii="Arial" w:cs="Arial" w:eastAsia="Arial" w:hAnsi="Arial"/>
          <w:sz w:val="16"/>
          <w:szCs w:val="16"/>
          <w:color w:val="auto"/>
        </w:rPr>
        <w:t>Our future capital requirements will depend upon many factors, including the timing of cash required for the ViaSat-1 satellite project and any future broadband satellite project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 12 months. However, we may sell additional debt or equity securities or obtain additional credit facilities to further enhance our liquidity position. The sale of additional securities could result in additional dilution of our stockholders. We invest our cash in excess of current operating requirements in short-term, interest-bearing, investment-grade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table sets forth a summary of our obligations under operating leases, irrevocable letters of credit, purchase commitments and other long-term liabilities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For the Remainder of</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4"/>
              </w:rPr>
              <w:t>For the Fiscal Years Ending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2010-2011</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2012-2013</w:t>
            </w:r>
          </w:p>
        </w:tc>
        <w:tc>
          <w:tcPr>
            <w:tcW w:w="640" w:type="dxa"/>
            <w:vAlign w:val="bottom"/>
          </w:tcPr>
          <w:p>
            <w:pPr>
              <w:spacing w:after="0"/>
              <w:rPr>
                <w:sz w:val="12"/>
                <w:szCs w:val="12"/>
                <w:color w:val="auto"/>
              </w:rPr>
            </w:pPr>
          </w:p>
        </w:tc>
        <w:tc>
          <w:tcPr>
            <w:tcW w:w="7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$ 135,004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29,750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5,231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commitments including satellite procurement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317,967</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118,756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151,641</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41,084</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$ 458,202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125,153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186,544</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36,393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and operation of our ViaSat-1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condensed consolidated balance sheets as of October 3, 2008 and March 28, 2008 included $18.6 million and $17.3 million, respectively, classified as “Other liabilities.” This caption primarily consists of our long-term warranty obligations, deferred lease credits and long-term unrecognized tax position liabilities. These remaining liabilities have been excluded from the above table as the timing and/or the amount of any cash payment is uncertain. See Note 10 of the notes to consolidated financial statements for additional information regarding our income taxes and related tax positions and Note 8 for a discussion of our product warranties.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September 2006, the FASB issued SFAS 157, “Fair Value Measurements.” SFAS 157 defines fair value, establishes guidelines for measuring fair value, and expands disclosures about fair value measurements. In February 2008, the FASB issued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first quarter of fiscal 2010 for 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was effective for financial assets and liabilities, beginning fiscal year 2009. Adoption of this statement for non-financial assets and liabilities is required for an entity’s first fiscal year that begins after November 15, 2008 (our fiscal year 2010). We adopted this standard for financial assets and liabilities in the current year without any material impact to our consolidated financial statements. We are currently evaluating the impact that SFAS 157 will have on our consolidated financial statements when it is applied to non-financial assets and non-financial liabilities that are not measured at fair value on a recurring basis beginning in first quarter of fiscal year 2010.</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October 2008, the FASB issued FSP SFAS 157-3 (FSP 157-3), “Determining the Fair Value of a Financial Asset When the Market for That Asset Is Not Active,” to clarify how an entity would determine fair value in an inactive market. FSP 157-3 is effective immediately and applies to our financial statements for the quarter ended October 3, 2008. The application of the provisions of FSP 157-3 did not materially impact our consolidated financial statement disclosures for the period ended October 3, 2008.</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 which permits entities to choose to measure many financial instruments and certain other items at fair value that are not currently required to be measured at fair value. As we did not elect to fair value any of our financial instruments under the provisions of SFAS 159, the adoption of this statement effective March 29, 2008 did not have an impact on our consolidated financial statements.</w:t>
      </w:r>
    </w:p>
    <w:p>
      <w:pPr>
        <w:spacing w:after="0" w:line="7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June 2007, the FASB ratified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EITF 07-3 is effective for us in fiscal year 2009. We adopted this standard in the current year without any material impact to the consolidated financial statements.</w:t>
      </w:r>
    </w:p>
    <w:p>
      <w:pPr>
        <w:spacing w:after="0" w:line="8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December 2007, the FASB issued SFAS 141R, “Business Combinations.”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will be effective for us in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We are currently evaluating the impact of SFAS 141R.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December 2007, the FASB issued SFAS 160, “Noncontrolling Interests in Consolidated Financial Statements — an amendment of ARB No. 51.” SFAS 160, which changed the accounting and reporting for business acquisitions and non-controlling interests in subsidiaries. The standard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us in fiscal year 2010. We are currently evaluating the impact that SFAS 160 will have on our consolidated financial statements and disclosures.</w:t>
      </w:r>
    </w:p>
    <w:p>
      <w:pPr>
        <w:spacing w:after="0" w:line="5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March 2008, the FASB issued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our financial position, financial performance, and cash flows. SFAS 161 is effective for interim periods beginning subsequent to November 15, 2008, commencing for us with respect to our fourth quarter of fiscal year 2009. We are currently assessing the potential impact that adoption of SFAS 161 may have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had no material off-balance sheet arrangements at October 3, 2008 as defined in Regulation S-K Item 303(a)(4) other than as discussed under Contractual Obligations above or disclosed in the notes to our financial statements included in this Quarterly Report or in our Annual Report on Form 10-K for the year ended March 28,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80" w:firstLine="225"/>
        <w:spacing w:after="0" w:line="302" w:lineRule="auto"/>
        <w:rPr>
          <w:sz w:val="20"/>
          <w:szCs w:val="20"/>
          <w:color w:val="auto"/>
        </w:rPr>
      </w:pPr>
      <w:r>
        <w:rPr>
          <w:rFonts w:ascii="Arial" w:cs="Arial" w:eastAsia="Arial" w:hAnsi="Arial"/>
          <w:sz w:val="16"/>
          <w:szCs w:val="16"/>
          <w:color w:val="auto"/>
        </w:rPr>
        <w:t>Our financial instruments consist of cash and cash equivalents, short-term investments, trade accounts receivable, accounts payable, and short-term obligations including the revolving line of credit. We consider investments in highly liquid instruments purchased with a remaining maturity of 90 days or less at the date of purchase to be cash equivalents. Our exposure to market risk for changes in interest rates relates primarily to short-term investments and short-term obligations. As a result, we do not expect fluctuations in interest rates to have a material impact on the fair value of these securities.</w:t>
      </w:r>
    </w:p>
    <w:p>
      <w:pPr>
        <w:spacing w:after="0" w:line="46"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As of October 3, 2008, there were no foreign currency exchange contracts outstanding. From time to time, we enter into foreign currency exchange contracts to reduce the foreign currency risk for amounts payable to vendors in Euros.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Securities and Exchange Commission’s rules and forms. We carried out an evaluation, with the participation of our management, including our Chief Executive Officer and Chief Financial Officer, of the effectiveness of our disclosure controls and procedures as of October 3, 2008, the end of the period covered by this Quarterly Report. Based on that evaluation, our Chief Executive Officer and Chief Financial Officer concluded that our disclosure controls and procedures were effective at the reasonable assurance level as of October 3, 2008.</w:t>
      </w:r>
    </w:p>
    <w:p>
      <w:pPr>
        <w:spacing w:after="0" w:line="85"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During the period covered by this Quarterly Report, there have been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not presently determinable, we believe that the resolution of such matters will not have a material adverse effect on our consolidated financial position, results of operations or liquidity; however, there can be no assurance that the ultimate resolution of these matters will not have a material impact on our consolidated financial position, results of operations or liquidity in any period.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In addition to the risk factors set forth in our Securities and Exchange Commission filings, including without limitation, our most recent Annual Report on Form 10-K and Quarterly Reports on Form 10-Q, we face new risks associated with the recent turbulence in the financial markets.</w:t>
      </w:r>
    </w:p>
    <w:p>
      <w:pPr>
        <w:spacing w:after="0" w:line="3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Recent U.S. and international market and economic conditions have been challenging, with tighter credit conditions and slower growth through the second quarter of fiscal 2009. Continued concerns about the systemic impact of inflation, increasing energy costs, geopolitical issues, the availability and cost of credit and other macro-economic factors have contributed to increased market volatility and diminished expectations for the global economy and increased market uncertainty and instability. Continued turbulence in U.S. and international markets and economies may adversely affect our liquidity and financial condition, and the liquidity and financial condition of our customers. If these market conditions continue, they may result in an adverse effect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At our 2008 annual meeting of stockholders held on October 2, 2008 the stockholders voted on the following three proposals and cast their votes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Proposal 1: To elect Mark D. Dankberg, Michael B. Targoff and Harvey P. White to serve as Class III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5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50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9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8"/>
              </w:rPr>
              <w:t>27,613,353</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741,588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Michael B. Targoff</w:t>
            </w:r>
          </w:p>
        </w:tc>
        <w:tc>
          <w:tcPr>
            <w:tcW w:w="1940" w:type="dxa"/>
            <w:vAlign w:val="bottom"/>
            <w:gridSpan w:val="2"/>
          </w:tcPr>
          <w:p>
            <w:pPr>
              <w:jc w:val="center"/>
              <w:ind w:left="410"/>
              <w:spacing w:after="0"/>
              <w:rPr>
                <w:sz w:val="20"/>
                <w:szCs w:val="20"/>
                <w:color w:val="auto"/>
              </w:rPr>
            </w:pPr>
            <w:r>
              <w:rPr>
                <w:rFonts w:ascii="Arial" w:cs="Arial" w:eastAsia="Arial" w:hAnsi="Arial"/>
                <w:sz w:val="18"/>
                <w:szCs w:val="18"/>
                <w:color w:val="auto"/>
                <w:w w:val="88"/>
              </w:rPr>
              <w:t>20,961,320</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7,393,621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19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8"/>
              </w:rPr>
              <w:t>27,650,936</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704,005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Proposal 2: To ratify the appointment of PricewaterhouseCoopers LLP as our independent registered public accounting firm for the fiscal year ending April 3,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Voted</w:t>
            </w:r>
          </w:p>
        </w:tc>
      </w:tr>
      <w:tr>
        <w:trPr>
          <w:trHeight w:val="426"/>
        </w:trPr>
        <w:tc>
          <w:tcPr>
            <w:tcW w:w="2420" w:type="dxa"/>
            <w:vAlign w:val="bottom"/>
          </w:tcPr>
          <w:p>
            <w:pPr>
              <w:jc w:val="right"/>
              <w:ind w:right="719"/>
              <w:spacing w:after="0"/>
              <w:rPr>
                <w:sz w:val="20"/>
                <w:szCs w:val="20"/>
                <w:color w:val="auto"/>
              </w:rPr>
            </w:pPr>
            <w:r>
              <w:rPr>
                <w:rFonts w:ascii="Arial" w:cs="Arial" w:eastAsia="Arial" w:hAnsi="Arial"/>
                <w:sz w:val="18"/>
                <w:szCs w:val="18"/>
                <w:color w:val="auto"/>
              </w:rPr>
              <w:t>28,206,267</w:t>
            </w:r>
          </w:p>
        </w:tc>
        <w:tc>
          <w:tcPr>
            <w:tcW w:w="3000" w:type="dxa"/>
            <w:vAlign w:val="bottom"/>
            <w:gridSpan w:val="2"/>
          </w:tcPr>
          <w:p>
            <w:pPr>
              <w:jc w:val="right"/>
              <w:ind w:right="848"/>
              <w:spacing w:after="0"/>
              <w:rPr>
                <w:sz w:val="20"/>
                <w:szCs w:val="20"/>
                <w:color w:val="auto"/>
              </w:rPr>
            </w:pPr>
            <w:r>
              <w:rPr>
                <w:rFonts w:ascii="Arial" w:cs="Arial" w:eastAsia="Arial" w:hAnsi="Arial"/>
                <w:sz w:val="18"/>
                <w:szCs w:val="18"/>
                <w:color w:val="auto"/>
              </w:rPr>
              <w:t>142,247</w:t>
            </w:r>
          </w:p>
        </w:tc>
        <w:tc>
          <w:tcPr>
            <w:tcW w:w="2980" w:type="dxa"/>
            <w:vAlign w:val="bottom"/>
            <w:gridSpan w:val="2"/>
          </w:tcPr>
          <w:p>
            <w:pPr>
              <w:jc w:val="right"/>
              <w:ind w:right="928"/>
              <w:spacing w:after="0"/>
              <w:rPr>
                <w:sz w:val="20"/>
                <w:szCs w:val="20"/>
                <w:color w:val="auto"/>
              </w:rPr>
            </w:pPr>
            <w:r>
              <w:rPr>
                <w:rFonts w:ascii="Arial" w:cs="Arial" w:eastAsia="Arial" w:hAnsi="Arial"/>
                <w:sz w:val="18"/>
                <w:szCs w:val="18"/>
                <w:color w:val="auto"/>
              </w:rPr>
              <w:t>6,427</w:t>
            </w:r>
          </w:p>
        </w:tc>
        <w:tc>
          <w:tcPr>
            <w:tcW w:w="3020" w:type="dxa"/>
            <w:vAlign w:val="bottom"/>
            <w:gridSpan w:val="2"/>
          </w:tcPr>
          <w:p>
            <w:pPr>
              <w:jc w:val="right"/>
              <w:ind w:right="1108"/>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3: To approve an amendment to the 1996 Equity Participation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Voted</w:t>
            </w:r>
          </w:p>
        </w:tc>
      </w:tr>
      <w:tr>
        <w:trPr>
          <w:trHeight w:val="426"/>
        </w:trPr>
        <w:tc>
          <w:tcPr>
            <w:tcW w:w="2420" w:type="dxa"/>
            <w:vAlign w:val="bottom"/>
          </w:tcPr>
          <w:p>
            <w:pPr>
              <w:jc w:val="right"/>
              <w:ind w:right="719"/>
              <w:spacing w:after="0"/>
              <w:rPr>
                <w:sz w:val="20"/>
                <w:szCs w:val="20"/>
                <w:color w:val="auto"/>
              </w:rPr>
            </w:pPr>
            <w:r>
              <w:rPr>
                <w:rFonts w:ascii="Arial" w:cs="Arial" w:eastAsia="Arial" w:hAnsi="Arial"/>
                <w:sz w:val="18"/>
                <w:szCs w:val="18"/>
                <w:color w:val="auto"/>
              </w:rPr>
              <w:t>18,848,790</w:t>
            </w:r>
          </w:p>
        </w:tc>
        <w:tc>
          <w:tcPr>
            <w:tcW w:w="3000" w:type="dxa"/>
            <w:vAlign w:val="bottom"/>
            <w:gridSpan w:val="2"/>
          </w:tcPr>
          <w:p>
            <w:pPr>
              <w:jc w:val="right"/>
              <w:ind w:right="788"/>
              <w:spacing w:after="0"/>
              <w:rPr>
                <w:sz w:val="20"/>
                <w:szCs w:val="20"/>
                <w:color w:val="auto"/>
              </w:rPr>
            </w:pPr>
            <w:r>
              <w:rPr>
                <w:rFonts w:ascii="Arial" w:cs="Arial" w:eastAsia="Arial" w:hAnsi="Arial"/>
                <w:sz w:val="18"/>
                <w:szCs w:val="18"/>
                <w:color w:val="auto"/>
              </w:rPr>
              <w:t>5,434,834</w:t>
            </w:r>
          </w:p>
        </w:tc>
        <w:tc>
          <w:tcPr>
            <w:tcW w:w="2980" w:type="dxa"/>
            <w:vAlign w:val="bottom"/>
            <w:gridSpan w:val="2"/>
          </w:tcPr>
          <w:p>
            <w:pPr>
              <w:jc w:val="right"/>
              <w:ind w:right="848"/>
              <w:spacing w:after="0"/>
              <w:rPr>
                <w:sz w:val="20"/>
                <w:szCs w:val="20"/>
                <w:color w:val="auto"/>
              </w:rPr>
            </w:pPr>
            <w:r>
              <w:rPr>
                <w:rFonts w:ascii="Arial" w:cs="Arial" w:eastAsia="Arial" w:hAnsi="Arial"/>
                <w:sz w:val="18"/>
                <w:szCs w:val="18"/>
                <w:color w:val="auto"/>
              </w:rPr>
              <w:t>207,216</w:t>
            </w:r>
          </w:p>
        </w:tc>
        <w:tc>
          <w:tcPr>
            <w:tcW w:w="3020" w:type="dxa"/>
            <w:vAlign w:val="bottom"/>
            <w:gridSpan w:val="2"/>
          </w:tcPr>
          <w:p>
            <w:pPr>
              <w:jc w:val="right"/>
              <w:ind w:right="788"/>
              <w:spacing w:after="0"/>
              <w:rPr>
                <w:sz w:val="20"/>
                <w:szCs w:val="20"/>
                <w:color w:val="auto"/>
              </w:rPr>
            </w:pPr>
            <w:r>
              <w:rPr>
                <w:rFonts w:ascii="Arial" w:cs="Arial" w:eastAsia="Arial" w:hAnsi="Arial"/>
                <w:sz w:val="18"/>
                <w:szCs w:val="18"/>
                <w:color w:val="auto"/>
              </w:rPr>
              <w:t>3,864,101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37 is incorporated herein by reference as the list of exhibits required as part of this Quarterly Report.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November 10, 2008</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42"/>
        </w:trPr>
        <w:tc>
          <w:tcPr>
            <w:tcW w:w="9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4"/>
              </w:rPr>
              <w:t>Number</w:t>
            </w:r>
          </w:p>
        </w:tc>
        <w:tc>
          <w:tcPr>
            <w:tcW w:w="390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Exhibit Description</w:t>
            </w:r>
          </w:p>
        </w:tc>
        <w:tc>
          <w:tcPr>
            <w:tcW w:w="7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Form</w:t>
            </w:r>
          </w:p>
        </w:tc>
        <w:tc>
          <w:tcPr>
            <w:tcW w:w="620" w:type="dxa"/>
            <w:vAlign w:val="bottom"/>
          </w:tcPr>
          <w:p>
            <w:pPr>
              <w:spacing w:after="0"/>
              <w:rPr>
                <w:sz w:val="12"/>
                <w:szCs w:val="12"/>
                <w:color w:val="auto"/>
              </w:rPr>
            </w:pPr>
          </w:p>
        </w:tc>
        <w:tc>
          <w:tcPr>
            <w:tcW w:w="1540" w:type="dxa"/>
            <w:vAlign w:val="bottom"/>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rPr>
              <w:t>File No.</w:t>
            </w:r>
          </w:p>
        </w:tc>
        <w:tc>
          <w:tcPr>
            <w:tcW w:w="132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Exhibit</w:t>
            </w:r>
          </w:p>
        </w:tc>
        <w:tc>
          <w:tcPr>
            <w:tcW w:w="9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Filing Date</w:t>
            </w: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r>
      <w:tr>
        <w:trPr>
          <w:trHeight w:val="195"/>
        </w:trPr>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Third Amended and Restated Revolving</w:t>
            </w:r>
          </w:p>
        </w:tc>
        <w:tc>
          <w:tcPr>
            <w:tcW w:w="5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Loan Agreement Dated as of October</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gridSpan w:val="2"/>
          </w:tcPr>
          <w:p>
            <w:pPr>
              <w:ind w:left="520"/>
              <w:spacing w:after="0"/>
              <w:rPr>
                <w:sz w:val="20"/>
                <w:szCs w:val="20"/>
                <w:color w:val="auto"/>
              </w:rPr>
            </w:pPr>
            <w:r>
              <w:rPr>
                <w:rFonts w:ascii="Arial" w:cs="Arial" w:eastAsia="Arial" w:hAnsi="Arial"/>
                <w:sz w:val="18"/>
                <w:szCs w:val="18"/>
                <w:color w:val="auto"/>
              </w:rPr>
              <w:t>31, 2008</w:t>
            </w:r>
          </w:p>
        </w:tc>
        <w:tc>
          <w:tcPr>
            <w:tcW w:w="54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8-K</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000-21767</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920" w:type="dxa"/>
            <w:vAlign w:val="bottom"/>
          </w:tcPr>
          <w:p>
            <w:pPr>
              <w:ind w:left="120"/>
              <w:spacing w:after="0"/>
              <w:rPr>
                <w:sz w:val="20"/>
                <w:szCs w:val="20"/>
                <w:color w:val="auto"/>
              </w:rPr>
            </w:pPr>
            <w:r>
              <w:rPr>
                <w:rFonts w:ascii="Arial" w:cs="Arial" w:eastAsia="Arial" w:hAnsi="Arial"/>
                <w:sz w:val="18"/>
                <w:szCs w:val="18"/>
                <w:color w:val="auto"/>
                <w:w w:val="86"/>
              </w:rPr>
              <w:t>11/05/2008</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1996 Equity Participation Plan of ViaSat,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Inc. (As Amended and Restated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Effective October 2, 2008)</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8-K</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000-21767</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10/02/2008</w:t>
            </w:r>
          </w:p>
        </w:tc>
        <w:tc>
          <w:tcPr>
            <w:tcW w:w="680" w:type="dxa"/>
            <w:vAlign w:val="bottom"/>
          </w:tcPr>
          <w:p>
            <w:pPr>
              <w:spacing w:after="0"/>
              <w:rPr>
                <w:sz w:val="18"/>
                <w:szCs w:val="18"/>
                <w:color w:val="auto"/>
              </w:rPr>
            </w:pPr>
          </w:p>
        </w:tc>
      </w:tr>
      <w:tr>
        <w:trPr>
          <w:trHeight w:val="216"/>
        </w:trPr>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Form of Stock Option Agreement for the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1996 Equity Participation Plan of</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ViaSat, Inc.</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8-K</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000-21767</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10.2</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10/02/2008</w:t>
            </w:r>
          </w:p>
        </w:tc>
        <w:tc>
          <w:tcPr>
            <w:tcW w:w="680" w:type="dxa"/>
            <w:vAlign w:val="bottom"/>
          </w:tcPr>
          <w:p>
            <w:pPr>
              <w:spacing w:after="0"/>
              <w:rPr>
                <w:sz w:val="18"/>
                <w:szCs w:val="18"/>
                <w:color w:val="auto"/>
              </w:rPr>
            </w:pPr>
          </w:p>
        </w:tc>
      </w:tr>
      <w:tr>
        <w:trPr>
          <w:trHeight w:val="216"/>
        </w:trPr>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Form of Restricted Stock Unit Award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Agreement for the 1996 Equity</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Participation Plan of ViaSat, Inc.</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8-K</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000-21767</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10.3</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10/02/2008</w:t>
            </w:r>
          </w:p>
        </w:tc>
        <w:tc>
          <w:tcPr>
            <w:tcW w:w="680" w:type="dxa"/>
            <w:vAlign w:val="bottom"/>
          </w:tcPr>
          <w:p>
            <w:pPr>
              <w:spacing w:after="0"/>
              <w:rPr>
                <w:sz w:val="18"/>
                <w:szCs w:val="18"/>
                <w:color w:val="auto"/>
              </w:rPr>
            </w:pPr>
          </w:p>
        </w:tc>
      </w:tr>
      <w:tr>
        <w:trPr>
          <w:trHeight w:val="216"/>
        </w:trPr>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Form of Executive Restricted Stock Unit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Award Agreement for the 1996 Equity</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Participation Plan of ViaSat, Inc.</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8-K</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000-21767</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10.4</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10/02/2008</w:t>
            </w:r>
          </w:p>
        </w:tc>
        <w:tc>
          <w:tcPr>
            <w:tcW w:w="680" w:type="dxa"/>
            <w:vAlign w:val="bottom"/>
          </w:tcPr>
          <w:p>
            <w:pPr>
              <w:spacing w:after="0"/>
              <w:rPr>
                <w:sz w:val="18"/>
                <w:szCs w:val="18"/>
                <w:color w:val="auto"/>
              </w:rPr>
            </w:pPr>
          </w:p>
        </w:tc>
      </w:tr>
      <w:tr>
        <w:trPr>
          <w:trHeight w:val="216"/>
        </w:trPr>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Pursuant to Section 302 of the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Sarbanes-Oxley Act of 2002</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16"/>
        </w:trPr>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31.2</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Pursuant to Section 302 of the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Sarbanes-Oxley Act of 2002</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16"/>
        </w:trPr>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Certifications Pursuant to 18 U.S.C.</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Section 1350, as Adopted Pursuant to</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Section 906 of the Sarbanes-Oxley Act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of 2002</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405"/>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9"/>
              </w:rPr>
              <w:t>37</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20"/>
          </w:cols>
          <w:pgMar w:left="240" w:top="41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0" w:firstLine="221"/>
        <w:spacing w:after="0" w:line="277" w:lineRule="auto"/>
        <w:tabs>
          <w:tab w:leader="none" w:pos="7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3, 2008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0" w:firstLine="221"/>
        <w:spacing w:after="0" w:line="277" w:lineRule="auto"/>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3, 2008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2019-12-13T17:09:49Z</dcterms:created>
  <dcterms:modified xsi:type="dcterms:W3CDTF">2019-12-13T17:09:49Z</dcterms:modified>
</cp:coreProperties>
</file>