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0"/>
          <w:szCs w:val="20"/>
          <w:color w:val="auto"/>
        </w:rPr>
      </w:pPr>
    </w:p>
    <w:p>
      <w:pPr>
        <w:ind w:left="1380" w:right="38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December 31, 2010.</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6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transition period from __________ to __________</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(000-21767)</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ViaSat, Inc.</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0"/>
          <w:szCs w:val="20"/>
          <w:color w:val="auto"/>
        </w:rPr>
      </w:pPr>
    </w:p>
    <w:tbl>
      <w:tblPr>
        <w:tblLayout w:type="fixed"/>
        <w:tblInd w:w="1540" w:type="dxa"/>
        <w:tblCellMar>
          <w:top w:w="0" w:type="dxa"/>
          <w:left w:w="0" w:type="dxa"/>
          <w:bottom w:w="0" w:type="dxa"/>
          <w:right w:w="0" w:type="dxa"/>
        </w:tblCellMar>
      </w:tblPr>
      <w:tr>
        <w:trPr>
          <w:trHeight w:val="216"/>
        </w:trPr>
        <w:tc>
          <w:tcPr>
            <w:tcW w:w="4400" w:type="dxa"/>
            <w:vAlign w:val="bottom"/>
          </w:tcPr>
          <w:p>
            <w:pPr>
              <w:jc w:val="center"/>
              <w:ind w:right="1950"/>
              <w:spacing w:after="0"/>
              <w:rPr>
                <w:sz w:val="20"/>
                <w:szCs w:val="20"/>
                <w:color w:val="auto"/>
              </w:rPr>
            </w:pPr>
            <w:r>
              <w:rPr>
                <w:rFonts w:ascii="Arial" w:cs="Arial" w:eastAsia="Arial" w:hAnsi="Arial"/>
                <w:sz w:val="18"/>
                <w:szCs w:val="18"/>
                <w:b w:val="1"/>
                <w:bCs w:val="1"/>
                <w:color w:val="auto"/>
                <w:w w:val="91"/>
              </w:rPr>
              <w:t>Delaware</w:t>
            </w:r>
          </w:p>
        </w:tc>
        <w:tc>
          <w:tcPr>
            <w:tcW w:w="3480" w:type="dxa"/>
            <w:vAlign w:val="bottom"/>
          </w:tcPr>
          <w:p>
            <w:pPr>
              <w:jc w:val="center"/>
              <w:ind w:left="1970"/>
              <w:spacing w:after="0"/>
              <w:rPr>
                <w:sz w:val="20"/>
                <w:szCs w:val="20"/>
                <w:color w:val="auto"/>
              </w:rPr>
            </w:pPr>
            <w:r>
              <w:rPr>
                <w:rFonts w:ascii="Arial" w:cs="Arial" w:eastAsia="Arial" w:hAnsi="Arial"/>
                <w:sz w:val="18"/>
                <w:szCs w:val="18"/>
                <w:b w:val="1"/>
                <w:bCs w:val="1"/>
                <w:color w:val="auto"/>
                <w:w w:val="89"/>
              </w:rPr>
              <w:t>33-0174996</w:t>
            </w:r>
          </w:p>
        </w:tc>
      </w:tr>
      <w:tr>
        <w:trPr>
          <w:trHeight w:val="216"/>
        </w:trPr>
        <w:tc>
          <w:tcPr>
            <w:tcW w:w="4400" w:type="dxa"/>
            <w:vAlign w:val="bottom"/>
          </w:tcPr>
          <w:p>
            <w:pPr>
              <w:jc w:val="center"/>
              <w:ind w:right="1950"/>
              <w:spacing w:after="0"/>
              <w:rPr>
                <w:sz w:val="20"/>
                <w:szCs w:val="20"/>
                <w:color w:val="auto"/>
              </w:rPr>
            </w:pPr>
            <w:r>
              <w:rPr>
                <w:rFonts w:ascii="Arial" w:cs="Arial" w:eastAsia="Arial" w:hAnsi="Arial"/>
                <w:sz w:val="18"/>
                <w:szCs w:val="18"/>
                <w:b w:val="1"/>
                <w:bCs w:val="1"/>
                <w:color w:val="auto"/>
                <w:w w:val="90"/>
              </w:rPr>
              <w:t>(State or other jurisdiction of</w:t>
            </w:r>
          </w:p>
        </w:tc>
        <w:tc>
          <w:tcPr>
            <w:tcW w:w="3480" w:type="dxa"/>
            <w:vAlign w:val="bottom"/>
          </w:tcPr>
          <w:p>
            <w:pPr>
              <w:jc w:val="center"/>
              <w:ind w:left="19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400" w:type="dxa"/>
            <w:vAlign w:val="bottom"/>
          </w:tcPr>
          <w:p>
            <w:pPr>
              <w:jc w:val="center"/>
              <w:ind w:right="1950"/>
              <w:spacing w:after="0"/>
              <w:rPr>
                <w:sz w:val="20"/>
                <w:szCs w:val="20"/>
                <w:color w:val="auto"/>
              </w:rPr>
            </w:pPr>
            <w:r>
              <w:rPr>
                <w:rFonts w:ascii="Arial" w:cs="Arial" w:eastAsia="Arial" w:hAnsi="Arial"/>
                <w:sz w:val="18"/>
                <w:szCs w:val="18"/>
                <w:b w:val="1"/>
                <w:bCs w:val="1"/>
                <w:color w:val="auto"/>
                <w:w w:val="91"/>
              </w:rPr>
              <w:t>incorporation or organization)</w:t>
            </w:r>
          </w:p>
        </w:tc>
        <w:tc>
          <w:tcPr>
            <w:tcW w:w="3480" w:type="dxa"/>
            <w:vAlign w:val="bottom"/>
          </w:tcPr>
          <w:p>
            <w:pPr>
              <w:jc w:val="center"/>
              <w:ind w:left="1970"/>
              <w:spacing w:after="0"/>
              <w:rPr>
                <w:sz w:val="20"/>
                <w:szCs w:val="20"/>
                <w:color w:val="auto"/>
              </w:rPr>
            </w:pPr>
            <w:r>
              <w:rPr>
                <w:rFonts w:ascii="Arial" w:cs="Arial" w:eastAsia="Arial" w:hAnsi="Arial"/>
                <w:sz w:val="18"/>
                <w:szCs w:val="18"/>
                <w:b w:val="1"/>
                <w:bCs w:val="1"/>
                <w:color w:val="auto"/>
                <w:w w:val="93"/>
              </w:rPr>
              <w:t>Identification No.)</w:t>
            </w:r>
          </w:p>
        </w:tc>
      </w:tr>
    </w:tbl>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6155 El Camino Real</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Carlsbad, California 92009</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(760) 476-2200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(Address of principal executive offices and telephone number)</w:t>
      </w:r>
    </w:p>
    <w:p>
      <w:pPr>
        <w:spacing w:after="0" w:line="103" w:lineRule="exact"/>
        <w:rPr>
          <w:sz w:val="20"/>
          <w:szCs w:val="20"/>
          <w:color w:val="auto"/>
        </w:rPr>
      </w:pPr>
    </w:p>
    <w:p>
      <w:pPr>
        <w:ind w:right="22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ind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200" w:firstLine="225"/>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122" w:right="259" w:bottom="1440" w:gutter="0" w:footer="0" w:header="0"/>
        </w:sectPr>
      </w:pPr>
    </w:p>
    <w:p>
      <w:pPr>
        <w:spacing w:after="0" w:line="91" w:lineRule="exact"/>
        <w:rPr>
          <w:sz w:val="20"/>
          <w:szCs w:val="20"/>
          <w:color w:val="auto"/>
        </w:rPr>
      </w:pPr>
    </w:p>
    <w:p>
      <w:pPr>
        <w:ind w:left="3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480" w:space="720"/>
            <w:col w:w="1420" w:space="720"/>
            <w:col w:w="3340" w:space="460"/>
            <w:col w:w="2260"/>
          </w:cols>
          <w:pgMar w:left="240" w:top="122" w:right="259" w:bottom="1440" w:gutter="0" w:footer="0" w:header="0"/>
          <w:type w:val="continuous"/>
        </w:sectPr>
      </w:pPr>
    </w:p>
    <w:p>
      <w:pPr>
        <w:ind w:left="2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number of shares outstanding of the registrant’s common stock, $0.0001 par value, as of February 1, 2011 was 41,598,623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584835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100" w:type="dxa"/>
            <w:vAlign w:val="bottom"/>
            <w:gridSpan w:val="3"/>
          </w:tcPr>
          <w:p>
            <w:pPr>
              <w:jc w:val="center"/>
              <w:ind w:right="4500"/>
              <w:spacing w:after="0"/>
              <w:rPr>
                <w:sz w:val="20"/>
                <w:szCs w:val="20"/>
                <w:color w:val="auto"/>
              </w:rPr>
            </w:pPr>
            <w:r>
              <w:rPr>
                <w:rFonts w:ascii="Arial" w:cs="Arial" w:eastAsia="Arial" w:hAnsi="Arial"/>
                <w:sz w:val="18"/>
                <w:szCs w:val="18"/>
                <w:b w:val="1"/>
                <w:bCs w:val="1"/>
                <w:color w:val="auto"/>
                <w:w w:val="99"/>
              </w:rPr>
              <w:t>VIASAT, INC.</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20" w:type="dxa"/>
            <w:vAlign w:val="bottom"/>
            <w:gridSpan w:val="4"/>
          </w:tcPr>
          <w:p>
            <w:pPr>
              <w:jc w:val="center"/>
              <w:ind w:right="3780"/>
              <w:spacing w:after="0"/>
              <w:rPr>
                <w:sz w:val="20"/>
                <w:szCs w:val="20"/>
                <w:color w:val="auto"/>
              </w:rPr>
            </w:pPr>
            <w:r>
              <w:rPr>
                <w:rFonts w:ascii="Arial" w:cs="Arial" w:eastAsia="Arial" w:hAnsi="Arial"/>
                <w:sz w:val="18"/>
                <w:szCs w:val="18"/>
                <w:b w:val="1"/>
                <w:bCs w:val="1"/>
                <w:color w:val="auto"/>
                <w:w w:val="98"/>
              </w:rPr>
              <w:t>TABLE OF CONTENTS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080" w:type="dxa"/>
            <w:vAlign w:val="bottom"/>
            <w:gridSpan w:val="11"/>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7940" w:type="dxa"/>
            <w:vAlign w:val="bottom"/>
            <w:gridSpan w:val="8"/>
            <w:vMerge w:val="restart"/>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74"/>
        </w:trPr>
        <w:tc>
          <w:tcPr>
            <w:tcW w:w="3080" w:type="dxa"/>
            <w:vAlign w:val="bottom"/>
            <w:tcBorders>
              <w:bottom w:val="single" w:sz="8" w:color="0000EE"/>
            </w:tcBorders>
            <w:gridSpan w:val="11"/>
            <w:vMerge w:val="continue"/>
          </w:tcPr>
          <w:p>
            <w:pPr>
              <w:spacing w:after="0"/>
              <w:rPr>
                <w:sz w:val="14"/>
                <w:szCs w:val="14"/>
                <w:color w:val="auto"/>
              </w:rPr>
            </w:pPr>
          </w:p>
        </w:tc>
        <w:tc>
          <w:tcPr>
            <w:tcW w:w="7940" w:type="dxa"/>
            <w:vAlign w:val="bottom"/>
            <w:gridSpan w:val="8"/>
            <w:vMerge w:val="continue"/>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020" w:type="dxa"/>
            <w:vAlign w:val="bottom"/>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 (Unaudited)</w:t>
              </w:r>
            </w:hyperlink>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6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Operations</w:t>
              </w:r>
            </w:hyperlink>
          </w:p>
        </w:tc>
        <w:tc>
          <w:tcPr>
            <w:tcW w:w="7140" w:type="dxa"/>
            <w:vAlign w:val="bottom"/>
            <w:gridSpan w:val="6"/>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4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 of Equity and Comprehensive Income</w:t>
              </w:r>
            </w:hyperlink>
          </w:p>
        </w:tc>
        <w:tc>
          <w:tcPr>
            <w:tcW w:w="5460" w:type="dxa"/>
            <w:vAlign w:val="bottom"/>
            <w:gridSpan w:val="2"/>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0" w:type="dxa"/>
            <w:vAlign w:val="bottom"/>
            <w:gridSpan w:val="17"/>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20" w:type="dxa"/>
            <w:vAlign w:val="bottom"/>
            <w:gridSpan w:val="6"/>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19"/>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2. Management’s Discussion and Analysis of Financial Condition and Results of Operations</w:t>
              </w:r>
            </w:hyperlink>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70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Item 3. Quantitative and Qualitative Disclosures About Market Risk</w:t>
              </w:r>
            </w:hyperlink>
          </w:p>
        </w:tc>
        <w:tc>
          <w:tcPr>
            <w:tcW w:w="4000" w:type="dxa"/>
            <w:vAlign w:val="bottom"/>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23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Item 4. Controls and Procedures</w:t>
              </w:r>
            </w:hyperlink>
          </w:p>
        </w:tc>
        <w:tc>
          <w:tcPr>
            <w:tcW w:w="2580" w:type="dxa"/>
            <w:vAlign w:val="bottom"/>
            <w:tcBorders>
              <w:top w:val="single" w:sz="8" w:color="0000EE"/>
            </w:tcBorders>
            <w:gridSpan w:val="8"/>
          </w:tcPr>
          <w:p>
            <w:pPr>
              <w:spacing w:after="0"/>
              <w:rPr>
                <w:sz w:val="17"/>
                <w:szCs w:val="17"/>
                <w:color w:val="auto"/>
              </w:rPr>
            </w:pPr>
          </w:p>
        </w:tc>
        <w:tc>
          <w:tcPr>
            <w:tcW w:w="6100" w:type="dxa"/>
            <w:vAlign w:val="bottom"/>
            <w:gridSpan w:val="3"/>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278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PART II. OTHER INFORMATION</w:t>
              </w:r>
            </w:hyperlink>
          </w:p>
        </w:tc>
        <w:tc>
          <w:tcPr>
            <w:tcW w:w="8240" w:type="dxa"/>
            <w:vAlign w:val="bottom"/>
            <w:gridSpan w:val="10"/>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0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Item 1. Legal Proceedings</w:t>
              </w:r>
            </w:hyperlink>
          </w:p>
        </w:tc>
        <w:tc>
          <w:tcPr>
            <w:tcW w:w="9120" w:type="dxa"/>
            <w:vAlign w:val="bottom"/>
            <w:gridSpan w:val="12"/>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55">
              <w:r>
                <w:rPr>
                  <w:rFonts w:ascii="Arial" w:cs="Arial" w:eastAsia="Arial" w:hAnsi="Arial"/>
                  <w:sz w:val="18"/>
                  <w:szCs w:val="18"/>
                  <w:color w:val="0000EE"/>
                  <w:w w:val="91"/>
                </w:rPr>
                <w:t>Item 1A. Risk Factors</w:t>
              </w:r>
            </w:hyperlink>
          </w:p>
        </w:tc>
        <w:tc>
          <w:tcPr>
            <w:tcW w:w="9420" w:type="dxa"/>
            <w:vAlign w:val="bottom"/>
            <w:gridSpan w:val="13"/>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1020" w:type="dxa"/>
            <w:vAlign w:val="bottom"/>
            <w:gridSpan w:val="19"/>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Item 6. Exhibits</w:t>
              </w:r>
            </w:hyperlink>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Signatures</w:t>
              </w:r>
            </w:hyperlink>
          </w:p>
        </w:tc>
        <w:tc>
          <w:tcPr>
            <w:tcW w:w="9860" w:type="dxa"/>
            <w:vAlign w:val="bottom"/>
            <w:gridSpan w:val="14"/>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60" w:type="dxa"/>
            <w:vAlign w:val="bottom"/>
            <w:tcBorders>
              <w:top w:val="single" w:sz="8" w:color="0000EE"/>
            </w:tcBorders>
          </w:tcPr>
          <w:p>
            <w:pPr>
              <w:spacing w:after="0"/>
              <w:rPr>
                <w:sz w:val="17"/>
                <w:szCs w:val="17"/>
                <w:color w:val="auto"/>
              </w:rPr>
            </w:pPr>
          </w:p>
        </w:tc>
        <w:tc>
          <w:tcPr>
            <w:tcW w:w="60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EX-10.1</w:t>
            </w:r>
          </w:p>
        </w:tc>
        <w:tc>
          <w:tcPr>
            <w:tcW w:w="100" w:type="dxa"/>
            <w:vAlign w:val="bottom"/>
            <w:tcBorders>
              <w:top w:val="single" w:sz="8" w:color="0000EE"/>
            </w:tcBorders>
          </w:tcPr>
          <w:p>
            <w:pPr>
              <w:spacing w:after="0"/>
              <w:rPr>
                <w:sz w:val="17"/>
                <w:szCs w:val="17"/>
                <w:color w:val="auto"/>
              </w:rPr>
            </w:pPr>
          </w:p>
        </w:tc>
        <w:tc>
          <w:tcPr>
            <w:tcW w:w="10260" w:type="dxa"/>
            <w:vAlign w:val="bottom"/>
            <w:gridSpan w:val="15"/>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EX-31.1</w:t>
            </w:r>
          </w:p>
        </w:tc>
        <w:tc>
          <w:tcPr>
            <w:tcW w:w="10360" w:type="dxa"/>
            <w:vAlign w:val="bottom"/>
            <w:gridSpan w:val="16"/>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EX-31.2</w:t>
            </w:r>
          </w:p>
        </w:tc>
        <w:tc>
          <w:tcPr>
            <w:tcW w:w="10360" w:type="dxa"/>
            <w:vAlign w:val="bottom"/>
            <w:gridSpan w:val="16"/>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DEFINITION LINKBASE DOCUMENT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3"/>
          </w:tcPr>
          <w:p>
            <w:pPr>
              <w:jc w:val="right"/>
              <w:ind w:right="1008"/>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1820" w:type="dxa"/>
            <w:vAlign w:val="bottom"/>
            <w:gridSpan w:val="5"/>
          </w:tcPr>
          <w:p>
            <w:pPr>
              <w:spacing w:after="0"/>
              <w:rPr>
                <w:sz w:val="20"/>
                <w:szCs w:val="20"/>
                <w:color w:val="auto"/>
              </w:rPr>
            </w:pPr>
            <w:r>
              <w:rPr>
                <w:rFonts w:ascii="Arial" w:cs="Arial" w:eastAsia="Arial" w:hAnsi="Arial"/>
                <w:sz w:val="14"/>
                <w:szCs w:val="14"/>
                <w:b w:val="1"/>
                <w:bCs w:val="1"/>
                <w:color w:val="auto"/>
              </w:rPr>
              <w:t>December 31, 2010</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April 2, 2010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(In</w:t>
            </w: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thousands)</w:t>
            </w: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72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45,364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175,949</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176,351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95,747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17,346</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25,329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28,857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359,735</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Satellites, net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532,345</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201,643</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155,804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Other acquired intangible assets, net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86,311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82,559</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75,024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93,308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1,355,901</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1,293,552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900"/>
              <w:spacing w:after="0"/>
              <w:rPr>
                <w:sz w:val="20"/>
                <w:szCs w:val="20"/>
                <w:color w:val="auto"/>
              </w:rPr>
            </w:pPr>
            <w:r>
              <w:rPr>
                <w:rFonts w:ascii="Arial" w:cs="Arial" w:eastAsia="Arial" w:hAnsi="Arial"/>
                <w:sz w:val="18"/>
                <w:szCs w:val="18"/>
                <w:b w:val="1"/>
                <w:bCs w:val="1"/>
                <w:color w:val="auto"/>
              </w:rPr>
              <w:t>LIABILITIES AND EQUITY</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55,023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122,178</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102,251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other long-term debt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177,961</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Senior Notes due 2016, net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272,172</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Other long-term debt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51,991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30,309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532,433</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536,802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Equity:</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ViaSat, Inc. stockholders’ equity</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Paid-in capital</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592,769</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242,578</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218,607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held in treasury</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rPr>
              <w:t>(17,532)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ViaSat, Inc. stockholders’ equity</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819,566</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753,005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Noncontrolling interest in subsidiary</w:t>
            </w: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3,902</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equity</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823,468</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756,750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Total liabilities and equity</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1,355,901</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1,293,552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w w:val="93"/>
              </w:rPr>
              <w:t>Three Months Ended</w:t>
            </w:r>
          </w:p>
        </w:tc>
        <w:tc>
          <w:tcPr>
            <w:tcW w:w="68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97"/>
              </w:rPr>
              <w:t>Nine Months Ended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December 31, 2010</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January 1, 2010</w:t>
            </w:r>
          </w:p>
        </w:tc>
        <w:tc>
          <w:tcPr>
            <w:tcW w:w="740" w:type="dxa"/>
            <w:vAlign w:val="bottom"/>
          </w:tcPr>
          <w:p>
            <w:pPr>
              <w:spacing w:after="0"/>
              <w:rPr>
                <w:sz w:val="12"/>
                <w:szCs w:val="12"/>
                <w:color w:val="auto"/>
              </w:rPr>
            </w:pPr>
          </w:p>
        </w:tc>
        <w:tc>
          <w:tcPr>
            <w:tcW w:w="17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December 31, 2010</w:t>
            </w: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January 1,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40" w:type="dxa"/>
            <w:vAlign w:val="bottom"/>
            <w:gridSpan w:val="5"/>
          </w:tcPr>
          <w:p>
            <w:pPr>
              <w:jc w:val="right"/>
              <w:ind w:right="860"/>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Product revenues</w:t>
            </w: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126,434</w:t>
            </w:r>
          </w:p>
        </w:tc>
        <w:tc>
          <w:tcPr>
            <w:tcW w:w="5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137,146</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379,022</w:t>
            </w:r>
          </w:p>
        </w:tc>
        <w:tc>
          <w:tcPr>
            <w:tcW w:w="56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437,889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 revenues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69,507</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19,218</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206,812</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37,549</w:t>
            </w:r>
          </w:p>
        </w:tc>
        <w:tc>
          <w:tcPr>
            <w:tcW w:w="0" w:type="dxa"/>
            <w:vAlign w:val="bottom"/>
          </w:tcPr>
          <w:p>
            <w:pPr>
              <w:spacing w:after="0"/>
              <w:rPr>
                <w:sz w:val="1"/>
                <w:szCs w:val="1"/>
                <w:color w:val="auto"/>
              </w:rPr>
            </w:pPr>
          </w:p>
        </w:tc>
      </w:tr>
      <w:tr>
        <w:trPr>
          <w:trHeight w:val="223"/>
        </w:trPr>
        <w:tc>
          <w:tcPr>
            <w:tcW w:w="498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195,941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156,364</w:t>
            </w:r>
          </w:p>
        </w:tc>
        <w:tc>
          <w:tcPr>
            <w:tcW w:w="7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585,834</w:t>
            </w:r>
          </w:p>
        </w:tc>
        <w:tc>
          <w:tcPr>
            <w:tcW w:w="5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475,438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Cost of product revenues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95,009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98,708</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278,174</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309,105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 revenues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41,923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11,613</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122,682</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40,413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34,416</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121,286</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90,259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Independent research and development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6,661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7,864</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21,597</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Amortization of acquired intangible assets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4,923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1,901</w:t>
            </w:r>
          </w:p>
        </w:tc>
        <w:tc>
          <w:tcPr>
            <w:tcW w:w="34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14,627</w:t>
            </w: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1,862</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27,468</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25,162</w:t>
            </w:r>
          </w:p>
        </w:tc>
        <w:tc>
          <w:tcPr>
            <w:tcW w:w="0" w:type="dxa"/>
            <w:vAlign w:val="bottom"/>
          </w:tcPr>
          <w:p>
            <w:pPr>
              <w:spacing w:after="0"/>
              <w:rPr>
                <w:sz w:val="1"/>
                <w:szCs w:val="1"/>
                <w:color w:val="auto"/>
              </w:rPr>
            </w:pPr>
          </w:p>
        </w:tc>
      </w:tr>
      <w:tr>
        <w:trPr>
          <w:trHeight w:val="432"/>
        </w:trPr>
        <w:tc>
          <w:tcPr>
            <w:tcW w:w="49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382</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248</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(2,121)</w:t>
            </w:r>
          </w:p>
        </w:tc>
        <w:tc>
          <w:tcPr>
            <w:tcW w:w="34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(3,151)</w:t>
            </w:r>
          </w:p>
        </w:tc>
        <w:tc>
          <w:tcPr>
            <w:tcW w:w="3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123</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24,565</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23,212</w:t>
            </w:r>
          </w:p>
        </w:tc>
        <w:tc>
          <w:tcPr>
            <w:tcW w:w="0" w:type="dxa"/>
            <w:vAlign w:val="bottom"/>
          </w:tcPr>
          <w:p>
            <w:pPr>
              <w:spacing w:after="0"/>
              <w:rPr>
                <w:sz w:val="1"/>
                <w:szCs w:val="1"/>
                <w:color w:val="auto"/>
              </w:rPr>
            </w:pPr>
          </w:p>
        </w:tc>
      </w:tr>
      <w:tr>
        <w:trPr>
          <w:trHeight w:val="432"/>
        </w:trPr>
        <w:tc>
          <w:tcPr>
            <w:tcW w:w="4980" w:type="dxa"/>
            <w:vAlign w:val="bottom"/>
            <w:gridSpan w:val="2"/>
          </w:tcPr>
          <w:p>
            <w:pPr>
              <w:spacing w:after="0"/>
              <w:rPr>
                <w:sz w:val="20"/>
                <w:szCs w:val="20"/>
                <w:color w:val="auto"/>
              </w:rPr>
            </w:pPr>
            <w:r>
              <w:rPr>
                <w:rFonts w:ascii="Arial" w:cs="Arial" w:eastAsia="Arial" w:hAnsi="Arial"/>
                <w:sz w:val="18"/>
                <w:szCs w:val="18"/>
                <w:color w:val="auto"/>
              </w:rPr>
              <w:t>(Benefit) provision for income taxes</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(5,929)</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(2,940)</w:t>
            </w:r>
          </w:p>
        </w:tc>
        <w:tc>
          <w:tcPr>
            <w:tcW w:w="340" w:type="dxa"/>
            <w:vAlign w:val="bottom"/>
          </w:tcPr>
          <w:p>
            <w:pPr>
              <w:spacing w:after="0"/>
              <w:rPr>
                <w:sz w:val="24"/>
                <w:szCs w:val="24"/>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437</w:t>
            </w:r>
          </w:p>
        </w:tc>
        <w:tc>
          <w:tcPr>
            <w:tcW w:w="32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3,063</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24,128</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60" w:type="dxa"/>
            <w:vAlign w:val="bottom"/>
          </w:tcPr>
          <w:p>
            <w:pPr>
              <w:spacing w:after="0" w:line="201" w:lineRule="exact"/>
              <w:rPr>
                <w:sz w:val="20"/>
                <w:szCs w:val="20"/>
                <w:color w:val="auto"/>
              </w:rPr>
            </w:pPr>
            <w:r>
              <w:rPr>
                <w:rFonts w:ascii="Arial" w:cs="Arial" w:eastAsia="Arial" w:hAnsi="Arial"/>
                <w:sz w:val="18"/>
                <w:szCs w:val="18"/>
                <w:color w:val="auto"/>
                <w:w w:val="95"/>
              </w:rPr>
              <w:t>Less: Net income (loss) attributable to the noncontrolling interest,</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net of tax</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(183)</w:t>
            </w:r>
          </w:p>
        </w:tc>
        <w:tc>
          <w:tcPr>
            <w:tcW w:w="34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157</w:t>
            </w:r>
          </w:p>
        </w:tc>
        <w:tc>
          <w:tcPr>
            <w:tcW w:w="32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ViaSat, Inc.</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12,924</w:t>
            </w: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3,246</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23,971</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20,690</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w w:val="98"/>
              </w:rPr>
              <w:t>Basic net income per share attributable to ViaSat, Inc. common</w:t>
            </w: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9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stockholders</w:t>
            </w: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.31</w:t>
            </w:r>
          </w:p>
        </w:tc>
        <w:tc>
          <w:tcPr>
            <w:tcW w:w="5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.59</w:t>
            </w: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Diluted net income per share attributable to ViaSat, Inc. common</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w:t>
            </w: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.09</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432"/>
        </w:trPr>
        <w:tc>
          <w:tcPr>
            <w:tcW w:w="4980" w:type="dxa"/>
            <w:vAlign w:val="bottom"/>
            <w:gridSpan w:val="2"/>
          </w:tcPr>
          <w:p>
            <w:pPr>
              <w:spacing w:after="0"/>
              <w:rPr>
                <w:sz w:val="20"/>
                <w:szCs w:val="20"/>
                <w:color w:val="auto"/>
              </w:rPr>
            </w:pPr>
            <w:r>
              <w:rPr>
                <w:rFonts w:ascii="Arial" w:cs="Arial" w:eastAsia="Arial" w:hAnsi="Arial"/>
                <w:sz w:val="18"/>
                <w:szCs w:val="18"/>
                <w:color w:val="auto"/>
              </w:rPr>
              <w:t>Shares used in computing basic net income per share</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41,205</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32,777</w:t>
            </w:r>
          </w:p>
        </w:tc>
        <w:tc>
          <w:tcPr>
            <w:tcW w:w="340" w:type="dxa"/>
            <w:vAlign w:val="bottom"/>
          </w:tcPr>
          <w:p>
            <w:pPr>
              <w:spacing w:after="0"/>
              <w:rPr>
                <w:sz w:val="24"/>
                <w:szCs w:val="24"/>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40,604</w:t>
            </w:r>
          </w:p>
        </w:tc>
        <w:tc>
          <w:tcPr>
            <w:tcW w:w="32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diluted net income per share</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43,352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34,725</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42,799</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33,591</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w w:val="96"/>
              </w:rPr>
              <w:t>Nine Months Ended</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540" w:type="dxa"/>
            <w:vAlign w:val="bottom"/>
          </w:tcPr>
          <w:p>
            <w:pPr>
              <w:spacing w:after="0"/>
              <w:rPr>
                <w:sz w:val="12"/>
                <w:szCs w:val="12"/>
                <w:color w:val="auto"/>
              </w:rPr>
            </w:pPr>
          </w:p>
        </w:tc>
        <w:tc>
          <w:tcPr>
            <w:tcW w:w="180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December 31, 2010</w:t>
            </w: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January 1, 2010</w:t>
            </w:r>
          </w:p>
        </w:tc>
        <w:tc>
          <w:tcPr>
            <w:tcW w:w="100" w:type="dxa"/>
            <w:vAlign w:val="bottom"/>
          </w:tcPr>
          <w:p>
            <w:pPr>
              <w:spacing w:after="0"/>
              <w:rPr>
                <w:sz w:val="12"/>
                <w:szCs w:val="12"/>
                <w:color w:val="auto"/>
              </w:rPr>
            </w:pPr>
          </w:p>
        </w:tc>
      </w:tr>
      <w:tr>
        <w:trPr>
          <w:trHeight w:val="142"/>
        </w:trPr>
        <w:tc>
          <w:tcPr>
            <w:tcW w:w="85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(In</w:t>
            </w: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9"/>
              </w:rPr>
              <w:t>thousands)</w:t>
            </w:r>
          </w:p>
        </w:tc>
        <w:tc>
          <w:tcPr>
            <w:tcW w:w="2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24,128</w:t>
            </w:r>
          </w:p>
        </w:tc>
        <w:tc>
          <w:tcPr>
            <w:tcW w:w="6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20,447</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61,980</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17,432</w:t>
            </w:r>
          </w:p>
        </w:tc>
      </w:tr>
      <w:tr>
        <w:trPr>
          <w:trHeight w:val="216"/>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14,628</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4,820</w:t>
            </w:r>
          </w:p>
        </w:tc>
      </w:tr>
      <w:tr>
        <w:trPr>
          <w:trHeight w:val="216"/>
        </w:trPr>
        <w:tc>
          <w:tcPr>
            <w:tcW w:w="854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12,690</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8,412</w:t>
            </w:r>
          </w:p>
        </w:tc>
      </w:tr>
      <w:tr>
        <w:trPr>
          <w:trHeight w:val="216"/>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non-cash adjustments</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6,084</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(5,477)</w:t>
            </w:r>
          </w:p>
        </w:tc>
      </w:tr>
      <w:tr>
        <w:trPr>
          <w:trHeight w:val="202"/>
        </w:trPr>
        <w:tc>
          <w:tcPr>
            <w:tcW w:w="8540" w:type="dxa"/>
            <w:vAlign w:val="bottom"/>
          </w:tcPr>
          <w:p>
            <w:pPr>
              <w:ind w:left="220"/>
              <w:spacing w:after="0" w:line="201" w:lineRule="exact"/>
              <w:rPr>
                <w:sz w:val="20"/>
                <w:szCs w:val="20"/>
                <w:color w:val="auto"/>
              </w:rPr>
            </w:pPr>
            <w:r>
              <w:rPr>
                <w:rFonts w:ascii="Arial" w:cs="Arial" w:eastAsia="Arial" w:hAnsi="Arial"/>
                <w:sz w:val="18"/>
                <w:szCs w:val="18"/>
                <w:color w:val="auto"/>
              </w:rPr>
              <w:t>Increase (decrease) in cash resulting from changes in operating assets and liabilities, net of effect of</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540" w:type="dxa"/>
            <w:vAlign w:val="bottom"/>
          </w:tcPr>
          <w:p>
            <w:pPr>
              <w:ind w:left="420"/>
              <w:spacing w:after="0"/>
              <w:rPr>
                <w:sz w:val="20"/>
                <w:szCs w:val="20"/>
                <w:color w:val="auto"/>
              </w:rPr>
            </w:pPr>
            <w:r>
              <w:rPr>
                <w:rFonts w:ascii="Arial" w:cs="Arial" w:eastAsia="Arial" w:hAnsi="Arial"/>
                <w:sz w:val="18"/>
                <w:szCs w:val="18"/>
                <w:color w:val="auto"/>
              </w:rPr>
              <w:t>acquisition:</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1,901</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(9,953)</w:t>
            </w:r>
          </w:p>
        </w:tc>
      </w:tr>
      <w:tr>
        <w:trPr>
          <w:trHeight w:val="216"/>
        </w:trPr>
        <w:tc>
          <w:tcPr>
            <w:tcW w:w="854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8"/>
                <w:szCs w:val="18"/>
                <w:color w:val="auto"/>
              </w:rPr>
            </w:pPr>
          </w:p>
        </w:tc>
        <w:tc>
          <w:tcPr>
            <w:tcW w:w="1500" w:type="dxa"/>
            <w:vAlign w:val="bottom"/>
            <w:gridSpan w:val="3"/>
          </w:tcPr>
          <w:p>
            <w:pPr>
              <w:jc w:val="right"/>
              <w:ind w:right="508"/>
              <w:spacing w:after="0"/>
              <w:rPr>
                <w:sz w:val="20"/>
                <w:szCs w:val="20"/>
                <w:color w:val="auto"/>
              </w:rPr>
            </w:pPr>
            <w:r>
              <w:rPr>
                <w:rFonts w:ascii="Arial" w:cs="Arial" w:eastAsia="Arial" w:hAnsi="Arial"/>
                <w:sz w:val="18"/>
                <w:szCs w:val="18"/>
                <w:color w:val="auto"/>
              </w:rPr>
              <w:t>(11,273)</w:t>
            </w:r>
          </w:p>
        </w:tc>
        <w:tc>
          <w:tcPr>
            <w:tcW w:w="2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(6,580)</w:t>
            </w:r>
          </w:p>
        </w:tc>
      </w:tr>
      <w:tr>
        <w:trPr>
          <w:trHeight w:val="216"/>
        </w:trPr>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08"/>
              <w:spacing w:after="0"/>
              <w:rPr>
                <w:sz w:val="20"/>
                <w:szCs w:val="20"/>
                <w:color w:val="auto"/>
              </w:rPr>
            </w:pPr>
            <w:r>
              <w:rPr>
                <w:rFonts w:ascii="Arial" w:cs="Arial" w:eastAsia="Arial" w:hAnsi="Arial"/>
                <w:sz w:val="18"/>
                <w:szCs w:val="18"/>
                <w:color w:val="auto"/>
              </w:rPr>
              <w:t>(422)</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5,360</w:t>
            </w:r>
          </w:p>
        </w:tc>
      </w:tr>
      <w:tr>
        <w:trPr>
          <w:trHeight w:val="216"/>
        </w:trPr>
        <w:tc>
          <w:tcPr>
            <w:tcW w:w="85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8"/>
                <w:szCs w:val="18"/>
                <w:color w:val="auto"/>
              </w:rPr>
            </w:pPr>
          </w:p>
        </w:tc>
        <w:tc>
          <w:tcPr>
            <w:tcW w:w="1500" w:type="dxa"/>
            <w:vAlign w:val="bottom"/>
            <w:gridSpan w:val="3"/>
          </w:tcPr>
          <w:p>
            <w:pPr>
              <w:jc w:val="right"/>
              <w:ind w:right="508"/>
              <w:spacing w:after="0"/>
              <w:rPr>
                <w:sz w:val="20"/>
                <w:szCs w:val="20"/>
                <w:color w:val="auto"/>
              </w:rPr>
            </w:pPr>
            <w:r>
              <w:rPr>
                <w:rFonts w:ascii="Arial" w:cs="Arial" w:eastAsia="Arial" w:hAnsi="Arial"/>
                <w:sz w:val="18"/>
                <w:szCs w:val="18"/>
                <w:color w:val="auto"/>
              </w:rPr>
              <w:t>(6,112)</w:t>
            </w:r>
          </w:p>
        </w:tc>
        <w:tc>
          <w:tcPr>
            <w:tcW w:w="2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7,750</w:t>
            </w:r>
          </w:p>
        </w:tc>
      </w:tr>
      <w:tr>
        <w:trPr>
          <w:trHeight w:val="216"/>
        </w:trPr>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liabilities</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17,124</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16,288</w:t>
            </w:r>
          </w:p>
        </w:tc>
      </w:tr>
      <w:tr>
        <w:trPr>
          <w:trHeight w:val="223"/>
        </w:trPr>
        <w:tc>
          <w:tcPr>
            <w:tcW w:w="854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2,584</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(636)</w:t>
            </w:r>
          </w:p>
        </w:tc>
      </w:tr>
      <w:tr>
        <w:trPr>
          <w:trHeight w:val="216"/>
        </w:trPr>
        <w:tc>
          <w:tcPr>
            <w:tcW w:w="85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123,312</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57,863</w:t>
            </w: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property, equipment and satellites</w:t>
            </w:r>
          </w:p>
        </w:tc>
        <w:tc>
          <w:tcPr>
            <w:tcW w:w="3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08"/>
              <w:spacing w:after="0"/>
              <w:rPr>
                <w:sz w:val="20"/>
                <w:szCs w:val="20"/>
                <w:color w:val="auto"/>
              </w:rPr>
            </w:pPr>
            <w:r>
              <w:rPr>
                <w:rFonts w:ascii="Arial" w:cs="Arial" w:eastAsia="Arial" w:hAnsi="Arial"/>
                <w:sz w:val="18"/>
                <w:szCs w:val="18"/>
                <w:color w:val="auto"/>
              </w:rPr>
              <w:t>(151,730)</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(85,429)</w:t>
            </w:r>
          </w:p>
        </w:tc>
      </w:tr>
      <w:tr>
        <w:trPr>
          <w:trHeight w:val="216"/>
        </w:trPr>
        <w:tc>
          <w:tcPr>
            <w:tcW w:w="8540" w:type="dxa"/>
            <w:vAlign w:val="bottom"/>
          </w:tcPr>
          <w:p>
            <w:pPr>
              <w:ind w:left="220"/>
              <w:spacing w:after="0"/>
              <w:rPr>
                <w:sz w:val="20"/>
                <w:szCs w:val="20"/>
                <w:color w:val="auto"/>
              </w:rPr>
            </w:pPr>
            <w:r>
              <w:rPr>
                <w:rFonts w:ascii="Arial" w:cs="Arial" w:eastAsia="Arial" w:hAnsi="Arial"/>
                <w:sz w:val="18"/>
                <w:szCs w:val="18"/>
                <w:color w:val="auto"/>
              </w:rPr>
              <w:t>Payment related to acquisition of business, net of cash acquired</w:t>
            </w:r>
          </w:p>
        </w:tc>
        <w:tc>
          <w:tcPr>
            <w:tcW w:w="300" w:type="dxa"/>
            <w:vAlign w:val="bottom"/>
          </w:tcPr>
          <w:p>
            <w:pPr>
              <w:spacing w:after="0"/>
              <w:rPr>
                <w:sz w:val="18"/>
                <w:szCs w:val="18"/>
                <w:color w:val="auto"/>
              </w:rPr>
            </w:pPr>
          </w:p>
        </w:tc>
        <w:tc>
          <w:tcPr>
            <w:tcW w:w="1500" w:type="dxa"/>
            <w:vAlign w:val="bottom"/>
            <w:gridSpan w:val="3"/>
          </w:tcPr>
          <w:p>
            <w:pPr>
              <w:jc w:val="right"/>
              <w:ind w:right="508"/>
              <w:spacing w:after="0"/>
              <w:rPr>
                <w:sz w:val="20"/>
                <w:szCs w:val="20"/>
                <w:color w:val="auto"/>
              </w:rPr>
            </w:pPr>
            <w:r>
              <w:rPr>
                <w:rFonts w:ascii="Arial" w:cs="Arial" w:eastAsia="Arial" w:hAnsi="Arial"/>
                <w:sz w:val="18"/>
                <w:szCs w:val="18"/>
                <w:color w:val="auto"/>
              </w:rPr>
              <w:t>(13,456)</w:t>
            </w:r>
          </w:p>
        </w:tc>
        <w:tc>
          <w:tcPr>
            <w:tcW w:w="2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(377,987)</w:t>
            </w:r>
          </w:p>
        </w:tc>
      </w:tr>
      <w:tr>
        <w:trPr>
          <w:trHeight w:val="216"/>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paid for patents, licenses and other assets</w:t>
            </w:r>
          </w:p>
        </w:tc>
        <w:tc>
          <w:tcPr>
            <w:tcW w:w="3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08"/>
              <w:spacing w:after="0"/>
              <w:rPr>
                <w:sz w:val="20"/>
                <w:szCs w:val="20"/>
                <w:color w:val="auto"/>
              </w:rPr>
            </w:pPr>
            <w:r>
              <w:rPr>
                <w:rFonts w:ascii="Arial" w:cs="Arial" w:eastAsia="Arial" w:hAnsi="Arial"/>
                <w:sz w:val="18"/>
                <w:szCs w:val="18"/>
                <w:color w:val="auto"/>
              </w:rPr>
              <w:t>(11,524)</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(10,004)</w:t>
            </w:r>
          </w:p>
        </w:tc>
      </w:tr>
      <w:tr>
        <w:trPr>
          <w:trHeight w:val="216"/>
        </w:trPr>
        <w:tc>
          <w:tcPr>
            <w:tcW w:w="8540" w:type="dxa"/>
            <w:vAlign w:val="bottom"/>
          </w:tcPr>
          <w:p>
            <w:pPr>
              <w:ind w:left="220"/>
              <w:spacing w:after="0"/>
              <w:rPr>
                <w:sz w:val="20"/>
                <w:szCs w:val="20"/>
                <w:color w:val="auto"/>
              </w:rPr>
            </w:pPr>
            <w:r>
              <w:rPr>
                <w:rFonts w:ascii="Arial" w:cs="Arial" w:eastAsia="Arial" w:hAnsi="Arial"/>
                <w:sz w:val="18"/>
                <w:szCs w:val="18"/>
                <w:color w:val="auto"/>
              </w:rPr>
              <w:t>Change in restricted cash, net</w:t>
            </w:r>
          </w:p>
        </w:tc>
        <w:tc>
          <w:tcPr>
            <w:tcW w:w="300" w:type="dxa"/>
            <w:vAlign w:val="bottom"/>
          </w:tcPr>
          <w:p>
            <w:pPr>
              <w:spacing w:after="0"/>
              <w:rPr>
                <w:sz w:val="18"/>
                <w:szCs w:val="18"/>
                <w:color w:val="auto"/>
              </w:rPr>
            </w:pPr>
          </w:p>
        </w:tc>
        <w:tc>
          <w:tcPr>
            <w:tcW w:w="1500" w:type="dxa"/>
            <w:vAlign w:val="bottom"/>
            <w:gridSpan w:val="3"/>
          </w:tcPr>
          <w:p>
            <w:pPr>
              <w:jc w:val="right"/>
              <w:ind w:right="568"/>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5,150</w:t>
            </w:r>
          </w:p>
        </w:tc>
      </w:tr>
      <w:tr>
        <w:trPr>
          <w:trHeight w:val="27"/>
        </w:trPr>
        <w:tc>
          <w:tcPr>
            <w:tcW w:w="85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5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08"/>
              <w:spacing w:after="0"/>
              <w:rPr>
                <w:sz w:val="20"/>
                <w:szCs w:val="20"/>
                <w:color w:val="auto"/>
              </w:rPr>
            </w:pPr>
            <w:r>
              <w:rPr>
                <w:rFonts w:ascii="Arial" w:cs="Arial" w:eastAsia="Arial" w:hAnsi="Arial"/>
                <w:sz w:val="18"/>
                <w:szCs w:val="18"/>
                <w:color w:val="auto"/>
              </w:rPr>
              <w:t>(176,710)</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(468,270)</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on line of credit</w:t>
            </w:r>
          </w:p>
        </w:tc>
        <w:tc>
          <w:tcPr>
            <w:tcW w:w="3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08"/>
              <w:spacing w:after="0"/>
              <w:rPr>
                <w:sz w:val="20"/>
                <w:szCs w:val="20"/>
                <w:color w:val="auto"/>
              </w:rPr>
            </w:pPr>
            <w:r>
              <w:rPr>
                <w:rFonts w:ascii="Arial" w:cs="Arial" w:eastAsia="Arial" w:hAnsi="Arial"/>
                <w:sz w:val="18"/>
                <w:szCs w:val="18"/>
                <w:color w:val="auto"/>
              </w:rPr>
              <w:t>(40,000)</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(123,000)</w:t>
            </w:r>
          </w:p>
        </w:tc>
      </w:tr>
      <w:tr>
        <w:trPr>
          <w:trHeight w:val="216"/>
        </w:trPr>
        <w:tc>
          <w:tcPr>
            <w:tcW w:w="8540" w:type="dxa"/>
            <w:vAlign w:val="bottom"/>
          </w:tcPr>
          <w:p>
            <w:pPr>
              <w:ind w:left="220"/>
              <w:spacing w:after="0"/>
              <w:rPr>
                <w:sz w:val="20"/>
                <w:szCs w:val="20"/>
                <w:color w:val="auto"/>
              </w:rPr>
            </w:pPr>
            <w:r>
              <w:rPr>
                <w:rFonts w:ascii="Arial" w:cs="Arial" w:eastAsia="Arial" w:hAnsi="Arial"/>
                <w:sz w:val="18"/>
                <w:szCs w:val="18"/>
                <w:color w:val="auto"/>
              </w:rPr>
              <w:t>Proceeds from line of credit borrowings</w:t>
            </w:r>
          </w:p>
        </w:tc>
        <w:tc>
          <w:tcPr>
            <w:tcW w:w="3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30,000</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263,000</w:t>
            </w:r>
          </w:p>
        </w:tc>
      </w:tr>
      <w:tr>
        <w:trPr>
          <w:trHeight w:val="216"/>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issuance of long-term debt, net of discount</w:t>
            </w:r>
          </w:p>
        </w:tc>
        <w:tc>
          <w:tcPr>
            <w:tcW w:w="3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271,582</w:t>
            </w:r>
          </w:p>
        </w:tc>
      </w:tr>
      <w:tr>
        <w:trPr>
          <w:trHeight w:val="216"/>
        </w:trPr>
        <w:tc>
          <w:tcPr>
            <w:tcW w:w="8540" w:type="dxa"/>
            <w:vAlign w:val="bottom"/>
          </w:tcPr>
          <w:p>
            <w:pPr>
              <w:ind w:left="220"/>
              <w:spacing w:after="0"/>
              <w:rPr>
                <w:sz w:val="20"/>
                <w:szCs w:val="20"/>
                <w:color w:val="auto"/>
              </w:rPr>
            </w:pPr>
            <w:r>
              <w:rPr>
                <w:rFonts w:ascii="Arial" w:cs="Arial" w:eastAsia="Arial" w:hAnsi="Arial"/>
                <w:sz w:val="18"/>
                <w:szCs w:val="18"/>
                <w:color w:val="auto"/>
              </w:rPr>
              <w:t>Payment of debt issuance costs</w:t>
            </w:r>
          </w:p>
        </w:tc>
        <w:tc>
          <w:tcPr>
            <w:tcW w:w="300" w:type="dxa"/>
            <w:vAlign w:val="bottom"/>
          </w:tcPr>
          <w:p>
            <w:pPr>
              <w:spacing w:after="0"/>
              <w:rPr>
                <w:sz w:val="18"/>
                <w:szCs w:val="18"/>
                <w:color w:val="auto"/>
              </w:rPr>
            </w:pPr>
          </w:p>
        </w:tc>
        <w:tc>
          <w:tcPr>
            <w:tcW w:w="1500" w:type="dxa"/>
            <w:vAlign w:val="bottom"/>
            <w:gridSpan w:val="3"/>
          </w:tcPr>
          <w:p>
            <w:pPr>
              <w:jc w:val="right"/>
              <w:ind w:right="568"/>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(11,598)</w:t>
            </w:r>
          </w:p>
        </w:tc>
      </w:tr>
      <w:tr>
        <w:trPr>
          <w:trHeight w:val="216"/>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issuance of common stock under equity plans</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24,391</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14,764</w:t>
            </w:r>
          </w:p>
        </w:tc>
      </w:tr>
      <w:tr>
        <w:trPr>
          <w:trHeight w:val="216"/>
        </w:trPr>
        <w:tc>
          <w:tcPr>
            <w:tcW w:w="8540" w:type="dxa"/>
            <w:vAlign w:val="bottom"/>
          </w:tcPr>
          <w:p>
            <w:pPr>
              <w:ind w:left="220"/>
              <w:spacing w:after="0"/>
              <w:rPr>
                <w:sz w:val="20"/>
                <w:szCs w:val="20"/>
                <w:color w:val="auto"/>
              </w:rPr>
            </w:pPr>
            <w:r>
              <w:rPr>
                <w:rFonts w:ascii="Arial" w:cs="Arial" w:eastAsia="Arial" w:hAnsi="Arial"/>
                <w:sz w:val="18"/>
                <w:szCs w:val="18"/>
                <w:color w:val="auto"/>
              </w:rPr>
              <w:t>Purchase of common stock in treasury</w:t>
            </w:r>
          </w:p>
        </w:tc>
        <w:tc>
          <w:tcPr>
            <w:tcW w:w="300" w:type="dxa"/>
            <w:vAlign w:val="bottom"/>
          </w:tcPr>
          <w:p>
            <w:pPr>
              <w:spacing w:after="0"/>
              <w:rPr>
                <w:sz w:val="18"/>
                <w:szCs w:val="18"/>
                <w:color w:val="auto"/>
              </w:rPr>
            </w:pPr>
          </w:p>
        </w:tc>
        <w:tc>
          <w:tcPr>
            <w:tcW w:w="1500" w:type="dxa"/>
            <w:vAlign w:val="bottom"/>
            <w:gridSpan w:val="3"/>
          </w:tcPr>
          <w:p>
            <w:pPr>
              <w:jc w:val="right"/>
              <w:ind w:right="508"/>
              <w:spacing w:after="0"/>
              <w:rPr>
                <w:sz w:val="20"/>
                <w:szCs w:val="20"/>
                <w:color w:val="auto"/>
              </w:rPr>
            </w:pPr>
            <w:r>
              <w:rPr>
                <w:rFonts w:ascii="Arial" w:cs="Arial" w:eastAsia="Arial" w:hAnsi="Arial"/>
                <w:sz w:val="18"/>
                <w:szCs w:val="18"/>
                <w:color w:val="auto"/>
              </w:rPr>
              <w:t>(5,505)</w:t>
            </w:r>
          </w:p>
        </w:tc>
        <w:tc>
          <w:tcPr>
            <w:tcW w:w="2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(2,297)</w:t>
            </w:r>
          </w:p>
        </w:tc>
      </w:tr>
      <w:tr>
        <w:trPr>
          <w:trHeight w:val="216"/>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Incremental tax benefits from stock-based compensation</w:t>
            </w:r>
          </w:p>
        </w:tc>
        <w:tc>
          <w:tcPr>
            <w:tcW w:w="3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1,104</w:t>
            </w:r>
          </w:p>
        </w:tc>
      </w:tr>
      <w:tr>
        <w:trPr>
          <w:trHeight w:val="223"/>
        </w:trPr>
        <w:tc>
          <w:tcPr>
            <w:tcW w:w="8540" w:type="dxa"/>
            <w:vAlign w:val="bottom"/>
          </w:tcPr>
          <w:p>
            <w:pPr>
              <w:ind w:left="62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8,886</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413,555</w:t>
            </w:r>
          </w:p>
        </w:tc>
        <w:tc>
          <w:tcPr>
            <w:tcW w:w="100" w:type="dxa"/>
            <w:vAlign w:val="bottom"/>
          </w:tcPr>
          <w:p>
            <w:pPr>
              <w:spacing w:after="0"/>
              <w:rPr>
                <w:sz w:val="19"/>
                <w:szCs w:val="19"/>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w:t>
            </w: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(44,267)</w:t>
            </w:r>
          </w:p>
        </w:tc>
        <w:tc>
          <w:tcPr>
            <w:tcW w:w="640" w:type="dxa"/>
            <w:vAlign w:val="bottom"/>
            <w:gridSpan w:val="2"/>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3,625</w:t>
            </w:r>
          </w:p>
        </w:tc>
        <w:tc>
          <w:tcPr>
            <w:tcW w:w="100" w:type="dxa"/>
            <w:vAlign w:val="bottom"/>
          </w:tcPr>
          <w:p>
            <w:pPr>
              <w:spacing w:after="0"/>
              <w:rPr>
                <w:sz w:val="19"/>
                <w:szCs w:val="19"/>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89,631</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63,491</w:t>
            </w: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45,364</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67,116</w:t>
            </w:r>
          </w:p>
        </w:tc>
        <w:tc>
          <w:tcPr>
            <w:tcW w:w="100" w:type="dxa"/>
            <w:vAlign w:val="bottom"/>
          </w:tcPr>
          <w:p>
            <w:pPr>
              <w:spacing w:after="0"/>
              <w:rPr>
                <w:sz w:val="19"/>
                <w:szCs w:val="19"/>
                <w:color w:val="auto"/>
              </w:rPr>
            </w:pPr>
          </w:p>
        </w:tc>
      </w:tr>
      <w:tr>
        <w:trPr>
          <w:trHeight w:val="20"/>
        </w:trPr>
        <w:tc>
          <w:tcPr>
            <w:tcW w:w="8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ind w:left="220"/>
              <w:spacing w:after="0"/>
              <w:rPr>
                <w:sz w:val="20"/>
                <w:szCs w:val="20"/>
                <w:color w:val="auto"/>
              </w:rPr>
            </w:pPr>
            <w:r>
              <w:rPr>
                <w:rFonts w:ascii="Arial" w:cs="Arial" w:eastAsia="Arial" w:hAnsi="Arial"/>
                <w:sz w:val="18"/>
                <w:szCs w:val="18"/>
                <w:color w:val="auto"/>
              </w:rPr>
              <w:t>Issuance of common stock in satisfaction of certain accrued employee compensation liabilities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5,096</w:t>
            </w:r>
          </w:p>
        </w:tc>
        <w:tc>
          <w:tcPr>
            <w:tcW w:w="6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5,090</w:t>
            </w:r>
          </w:p>
        </w:tc>
      </w:tr>
      <w:tr>
        <w:trPr>
          <w:trHeight w:val="216"/>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common stock in connection with acquisition</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4,630</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131,888</w:t>
            </w:r>
          </w:p>
        </w:tc>
      </w:tr>
      <w:tr>
        <w:trPr>
          <w:trHeight w:val="216"/>
        </w:trPr>
        <w:tc>
          <w:tcPr>
            <w:tcW w:w="8540" w:type="dxa"/>
            <w:vAlign w:val="bottom"/>
          </w:tcPr>
          <w:p>
            <w:pPr>
              <w:ind w:left="220"/>
              <w:spacing w:after="0"/>
              <w:rPr>
                <w:sz w:val="20"/>
                <w:szCs w:val="20"/>
                <w:color w:val="auto"/>
              </w:rPr>
            </w:pPr>
            <w:r>
              <w:rPr>
                <w:rFonts w:ascii="Arial" w:cs="Arial" w:eastAsia="Arial" w:hAnsi="Arial"/>
                <w:sz w:val="18"/>
                <w:szCs w:val="18"/>
                <w:color w:val="auto"/>
              </w:rPr>
              <w:t>Equipment acquired under capital lease</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2,751</w:t>
            </w:r>
          </w:p>
        </w:tc>
        <w:tc>
          <w:tcPr>
            <w:tcW w:w="6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common stock in connection with license right obtained</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EQUITY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ViaSat, Inc. Stockholders</w:t>
            </w: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80" w:type="dxa"/>
            <w:vAlign w:val="bottom"/>
          </w:tcPr>
          <w:p>
            <w:pPr>
              <w:spacing w:after="0"/>
              <w:rPr>
                <w:sz w:val="12"/>
                <w:szCs w:val="12"/>
                <w:color w:val="auto"/>
              </w:rPr>
            </w:pPr>
          </w:p>
        </w:tc>
        <w:tc>
          <w:tcPr>
            <w:tcW w:w="1340" w:type="dxa"/>
            <w:vAlign w:val="bottom"/>
            <w:tcBorders>
              <w:bottom w:val="single" w:sz="8" w:color="auto"/>
            </w:tcBorders>
            <w:gridSpan w:val="3"/>
          </w:tcPr>
          <w:p>
            <w:pPr>
              <w:ind w:left="320"/>
              <w:spacing w:after="0" w:line="142" w:lineRule="exact"/>
              <w:rPr>
                <w:sz w:val="20"/>
                <w:szCs w:val="20"/>
                <w:color w:val="auto"/>
              </w:rPr>
            </w:pPr>
            <w:r>
              <w:rPr>
                <w:rFonts w:ascii="Arial" w:cs="Arial" w:eastAsia="Arial" w:hAnsi="Arial"/>
                <w:sz w:val="14"/>
                <w:szCs w:val="14"/>
                <w:b w:val="1"/>
                <w:bCs w:val="1"/>
                <w:color w:val="auto"/>
                <w:w w:val="97"/>
              </w:rPr>
              <w:t>Common Stock</w:t>
            </w:r>
          </w:p>
        </w:tc>
        <w:tc>
          <w:tcPr>
            <w:tcW w:w="2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4"/>
          </w:tcPr>
          <w:p>
            <w:pPr>
              <w:jc w:val="right"/>
              <w:ind w:right="300"/>
              <w:spacing w:after="0" w:line="142" w:lineRule="exact"/>
              <w:rPr>
                <w:sz w:val="20"/>
                <w:szCs w:val="20"/>
                <w:color w:val="auto"/>
              </w:rPr>
            </w:pPr>
            <w:r>
              <w:rPr>
                <w:rFonts w:ascii="Arial" w:cs="Arial" w:eastAsia="Arial" w:hAnsi="Arial"/>
                <w:sz w:val="14"/>
                <w:szCs w:val="14"/>
                <w:b w:val="1"/>
                <w:bCs w:val="1"/>
                <w:color w:val="auto"/>
              </w:rPr>
              <w:t>Common Stock Held</w:t>
            </w:r>
          </w:p>
        </w:tc>
        <w:tc>
          <w:tcPr>
            <w:tcW w:w="80" w:type="dxa"/>
            <w:vAlign w:val="bottom"/>
          </w:tcPr>
          <w:p>
            <w:pPr>
              <w:spacing w:after="0"/>
              <w:rPr>
                <w:sz w:val="12"/>
                <w:szCs w:val="12"/>
                <w:color w:val="auto"/>
              </w:rPr>
            </w:pPr>
          </w:p>
        </w:tc>
        <w:tc>
          <w:tcPr>
            <w:tcW w:w="1180" w:type="dxa"/>
            <w:vAlign w:val="bottom"/>
            <w:gridSpan w:val="3"/>
          </w:tcPr>
          <w:p>
            <w:pPr>
              <w:jc w:val="center"/>
              <w:ind w:right="240"/>
              <w:spacing w:after="0" w:line="142"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80" w:type="dxa"/>
            <w:vAlign w:val="bottom"/>
          </w:tcPr>
          <w:p>
            <w:pPr>
              <w:spacing w:after="0"/>
              <w:rPr>
                <w:sz w:val="12"/>
                <w:szCs w:val="12"/>
                <w:color w:val="auto"/>
              </w:rPr>
            </w:pPr>
          </w:p>
        </w:tc>
        <w:tc>
          <w:tcPr>
            <w:tcW w:w="108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7"/>
              </w:rPr>
              <w:t>Number of</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Borders>
              <w:bottom w:val="single" w:sz="8" w:color="auto"/>
            </w:tcBorders>
            <w:gridSpan w:val="3"/>
          </w:tcPr>
          <w:p>
            <w:pPr>
              <w:jc w:val="right"/>
              <w:ind w:right="371"/>
              <w:spacing w:after="0" w:line="142" w:lineRule="exact"/>
              <w:rPr>
                <w:sz w:val="20"/>
                <w:szCs w:val="20"/>
                <w:color w:val="auto"/>
              </w:rPr>
            </w:pPr>
            <w:r>
              <w:rPr>
                <w:rFonts w:ascii="Arial" w:cs="Arial" w:eastAsia="Arial" w:hAnsi="Arial"/>
                <w:sz w:val="14"/>
                <w:szCs w:val="14"/>
                <w:b w:val="1"/>
                <w:bCs w:val="1"/>
                <w:color w:val="auto"/>
              </w:rPr>
              <w:t>in Treasury</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rPr>
              <w:t>Other</w:t>
            </w:r>
          </w:p>
        </w:tc>
        <w:tc>
          <w:tcPr>
            <w:tcW w:w="10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680" w:type="dxa"/>
            <w:vAlign w:val="bottom"/>
          </w:tcPr>
          <w:p>
            <w:pPr>
              <w:spacing w:after="0"/>
              <w:rPr>
                <w:sz w:val="10"/>
                <w:szCs w:val="10"/>
                <w:color w:val="auto"/>
              </w:rPr>
            </w:pPr>
          </w:p>
        </w:tc>
        <w:tc>
          <w:tcPr>
            <w:tcW w:w="10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2"/>
              </w:rPr>
              <w:t>Shares</w:t>
            </w:r>
          </w:p>
        </w:tc>
        <w:tc>
          <w:tcPr>
            <w:tcW w:w="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Paid-in</w:t>
            </w:r>
          </w:p>
        </w:tc>
        <w:tc>
          <w:tcPr>
            <w:tcW w:w="92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Retained</w:t>
            </w:r>
          </w:p>
        </w:tc>
        <w:tc>
          <w:tcPr>
            <w:tcW w:w="94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Number of</w:t>
            </w: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1260" w:type="dxa"/>
            <w:vAlign w:val="bottom"/>
            <w:gridSpan w:val="4"/>
          </w:tcPr>
          <w:p>
            <w:pPr>
              <w:jc w:val="center"/>
              <w:ind w:right="14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00" w:type="dxa"/>
            <w:vAlign w:val="bottom"/>
          </w:tcPr>
          <w:p>
            <w:pPr>
              <w:spacing w:after="0"/>
              <w:rPr>
                <w:sz w:val="10"/>
                <w:szCs w:val="10"/>
                <w:color w:val="auto"/>
              </w:rPr>
            </w:pPr>
          </w:p>
        </w:tc>
        <w:tc>
          <w:tcPr>
            <w:tcW w:w="94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Interest in</w:t>
            </w:r>
          </w:p>
        </w:tc>
        <w:tc>
          <w:tcPr>
            <w:tcW w:w="100" w:type="dxa"/>
            <w:vAlign w:val="bottom"/>
          </w:tcPr>
          <w:p>
            <w:pPr>
              <w:spacing w:after="0"/>
              <w:rPr>
                <w:sz w:val="10"/>
                <w:szCs w:val="10"/>
                <w:color w:val="auto"/>
              </w:rPr>
            </w:pPr>
          </w:p>
        </w:tc>
        <w:tc>
          <w:tcPr>
            <w:tcW w:w="9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10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Comprehensive</w:t>
            </w:r>
          </w:p>
        </w:tc>
        <w:tc>
          <w:tcPr>
            <w:tcW w:w="0" w:type="dxa"/>
            <w:vAlign w:val="bottom"/>
          </w:tcPr>
          <w:p>
            <w:pPr>
              <w:spacing w:after="0"/>
              <w:rPr>
                <w:sz w:val="1"/>
                <w:szCs w:val="1"/>
                <w:color w:val="auto"/>
              </w:rPr>
            </w:pPr>
          </w:p>
        </w:tc>
      </w:tr>
      <w:tr>
        <w:trPr>
          <w:trHeight w:val="171"/>
        </w:trPr>
        <w:tc>
          <w:tcPr>
            <w:tcW w:w="168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Issued</w:t>
            </w:r>
          </w:p>
        </w:tc>
        <w:tc>
          <w:tcPr>
            <w:tcW w:w="700" w:type="dxa"/>
            <w:vAlign w:val="bottom"/>
            <w:gridSpan w:val="3"/>
            <w:vMerge w:val="continue"/>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Capital</w:t>
            </w: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Earnings</w:t>
            </w: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95"/>
        </w:trPr>
        <w:tc>
          <w:tcPr>
            <w:tcW w:w="16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at April 2,</w:t>
            </w:r>
          </w:p>
        </w:tc>
        <w:tc>
          <w:tcPr>
            <w:tcW w:w="8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2010</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40,199,770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$ 545,962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$ 218,607</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(407,137)</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 (12,027)</w:t>
            </w: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3,745</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7"/>
              </w:rPr>
              <w:t>$ 756,750</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680" w:type="dxa"/>
            <w:vAlign w:val="bottom"/>
          </w:tcPr>
          <w:p>
            <w:pPr>
              <w:spacing w:after="0" w:line="201" w:lineRule="exact"/>
              <w:rPr>
                <w:sz w:val="20"/>
                <w:szCs w:val="20"/>
                <w:color w:val="auto"/>
              </w:rPr>
            </w:pPr>
            <w:r>
              <w:rPr>
                <w:rFonts w:ascii="Arial" w:cs="Arial" w:eastAsia="Arial" w:hAnsi="Arial"/>
                <w:sz w:val="18"/>
                <w:szCs w:val="18"/>
                <w:color w:val="auto"/>
              </w:rPr>
              <w:t>Exercise of stock</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80" w:type="dxa"/>
            <w:vAlign w:val="bottom"/>
          </w:tcPr>
          <w:p>
            <w:pPr>
              <w:ind w:left="220"/>
              <w:spacing w:after="0"/>
              <w:rPr>
                <w:sz w:val="20"/>
                <w:szCs w:val="20"/>
                <w:color w:val="auto"/>
              </w:rPr>
            </w:pPr>
            <w:r>
              <w:rPr>
                <w:rFonts w:ascii="Arial" w:cs="Arial" w:eastAsia="Arial" w:hAnsi="Arial"/>
                <w:sz w:val="18"/>
                <w:szCs w:val="18"/>
                <w:color w:val="auto"/>
              </w:rPr>
              <w:t>options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1,018,672</w:t>
            </w:r>
          </w:p>
        </w:tc>
        <w:tc>
          <w:tcPr>
            <w:tcW w:w="26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20,094</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20,094</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stock</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under Employee</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Purchase</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Plan</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159,940</w:t>
            </w:r>
          </w:p>
        </w:tc>
        <w:tc>
          <w:tcPr>
            <w:tcW w:w="2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4,297</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4,297</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68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220"/>
              <w:spacing w:after="0"/>
              <w:rPr>
                <w:sz w:val="20"/>
                <w:szCs w:val="20"/>
                <w:color w:val="auto"/>
              </w:rPr>
            </w:pPr>
            <w:r>
              <w:rPr>
                <w:rFonts w:ascii="Arial" w:cs="Arial" w:eastAsia="Arial" w:hAnsi="Arial"/>
                <w:sz w:val="18"/>
                <w:szCs w:val="18"/>
                <w:color w:val="auto"/>
              </w:rPr>
              <w:t>compensation</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tcPr>
          <w:p>
            <w:pPr>
              <w:ind w:left="220"/>
              <w:spacing w:after="0"/>
              <w:rPr>
                <w:sz w:val="20"/>
                <w:szCs w:val="20"/>
                <w:color w:val="auto"/>
              </w:rPr>
            </w:pPr>
            <w:r>
              <w:rPr>
                <w:rFonts w:ascii="Arial" w:cs="Arial" w:eastAsia="Arial" w:hAnsi="Arial"/>
                <w:sz w:val="18"/>
                <w:szCs w:val="18"/>
                <w:color w:val="auto"/>
              </w:rPr>
              <w:t>expense</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12,690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12,690</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in</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settlement of</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certain accrued</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employee</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compensation</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liabilities</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162,870</w:t>
            </w:r>
          </w:p>
        </w:tc>
        <w:tc>
          <w:tcPr>
            <w:tcW w:w="2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5,096</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5,096</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RSU awards vesting</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409,642</w:t>
            </w:r>
          </w:p>
        </w:tc>
        <w:tc>
          <w:tcPr>
            <w:tcW w:w="26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Purchase of treasury</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shares pursuant to</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vesting of certain</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RSU agreements</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(144,871)</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(5,505)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(5,505)</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680" w:type="dxa"/>
            <w:vAlign w:val="bottom"/>
          </w:tcPr>
          <w:p>
            <w:pPr>
              <w:spacing w:after="0" w:line="201" w:lineRule="exact"/>
              <w:rPr>
                <w:sz w:val="20"/>
                <w:szCs w:val="20"/>
                <w:color w:val="auto"/>
              </w:rPr>
            </w:pPr>
            <w:r>
              <w:rPr>
                <w:rFonts w:ascii="Arial" w:cs="Arial" w:eastAsia="Arial" w:hAnsi="Arial"/>
                <w:sz w:val="18"/>
                <w:szCs w:val="18"/>
                <w:color w:val="auto"/>
              </w:rPr>
              <w:t>Shares issued in</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220"/>
              <w:spacing w:after="0"/>
              <w:rPr>
                <w:sz w:val="20"/>
                <w:szCs w:val="20"/>
                <w:color w:val="auto"/>
              </w:rPr>
            </w:pPr>
            <w:r>
              <w:rPr>
                <w:rFonts w:ascii="Arial" w:cs="Arial" w:eastAsia="Arial" w:hAnsi="Arial"/>
                <w:sz w:val="18"/>
                <w:szCs w:val="18"/>
                <w:color w:val="auto"/>
              </w:rPr>
              <w:t>connection with</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220"/>
              <w:spacing w:after="0"/>
              <w:rPr>
                <w:sz w:val="20"/>
                <w:szCs w:val="20"/>
                <w:color w:val="auto"/>
              </w:rPr>
            </w:pPr>
            <w:r>
              <w:rPr>
                <w:rFonts w:ascii="Arial" w:cs="Arial" w:eastAsia="Arial" w:hAnsi="Arial"/>
                <w:sz w:val="18"/>
                <w:szCs w:val="18"/>
                <w:color w:val="auto"/>
              </w:rPr>
              <w:t>acquisition of</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220"/>
              <w:spacing w:after="0"/>
              <w:rPr>
                <w:sz w:val="20"/>
                <w:szCs w:val="20"/>
                <w:color w:val="auto"/>
              </w:rPr>
            </w:pPr>
            <w:r>
              <w:rPr>
                <w:rFonts w:ascii="Arial" w:cs="Arial" w:eastAsia="Arial" w:hAnsi="Arial"/>
                <w:sz w:val="18"/>
                <w:szCs w:val="18"/>
                <w:color w:val="auto"/>
              </w:rPr>
              <w:t>business, net of</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tcPr>
          <w:p>
            <w:pPr>
              <w:ind w:left="220"/>
              <w:spacing w:after="0"/>
              <w:rPr>
                <w:sz w:val="20"/>
                <w:szCs w:val="20"/>
                <w:color w:val="auto"/>
              </w:rPr>
            </w:pPr>
            <w:r>
              <w:rPr>
                <w:rFonts w:ascii="Arial" w:cs="Arial" w:eastAsia="Arial" w:hAnsi="Arial"/>
                <w:sz w:val="18"/>
                <w:szCs w:val="18"/>
                <w:color w:val="auto"/>
              </w:rPr>
              <w:t>issuance costs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144,962</w:t>
            </w:r>
          </w:p>
        </w:tc>
        <w:tc>
          <w:tcPr>
            <w:tcW w:w="26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4,630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4,630</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23,971</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24,128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24,128</w:t>
            </w:r>
          </w:p>
        </w:tc>
        <w:tc>
          <w:tcPr>
            <w:tcW w:w="0" w:type="dxa"/>
            <w:vAlign w:val="bottom"/>
          </w:tcPr>
          <w:p>
            <w:pPr>
              <w:spacing w:after="0"/>
              <w:rPr>
                <w:sz w:val="1"/>
                <w:szCs w:val="1"/>
                <w:color w:val="auto"/>
              </w:rPr>
            </w:pPr>
          </w:p>
        </w:tc>
      </w:tr>
      <w:tr>
        <w:trPr>
          <w:trHeight w:val="202"/>
        </w:trPr>
        <w:tc>
          <w:tcPr>
            <w:tcW w:w="1680" w:type="dxa"/>
            <w:vAlign w:val="bottom"/>
          </w:tcPr>
          <w:p>
            <w:pPr>
              <w:spacing w:after="0" w:line="201" w:lineRule="exact"/>
              <w:rPr>
                <w:sz w:val="20"/>
                <w:szCs w:val="20"/>
                <w:color w:val="auto"/>
              </w:rPr>
            </w:pPr>
            <w:r>
              <w:rPr>
                <w:rFonts w:ascii="Arial" w:cs="Arial" w:eastAsia="Arial" w:hAnsi="Arial"/>
                <w:sz w:val="18"/>
                <w:szCs w:val="18"/>
                <w:color w:val="auto"/>
              </w:rPr>
              <w:t>Hedging</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220"/>
              <w:spacing w:after="0"/>
              <w:rPr>
                <w:sz w:val="20"/>
                <w:szCs w:val="20"/>
                <w:color w:val="auto"/>
              </w:rPr>
            </w:pPr>
            <w:r>
              <w:rPr>
                <w:rFonts w:ascii="Arial" w:cs="Arial" w:eastAsia="Arial" w:hAnsi="Arial"/>
                <w:sz w:val="18"/>
                <w:szCs w:val="18"/>
                <w:color w:val="auto"/>
              </w:rPr>
              <w:t>transactions, net</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tcPr>
          <w:p>
            <w:pPr>
              <w:ind w:left="220"/>
              <w:spacing w:after="0"/>
              <w:rPr>
                <w:sz w:val="20"/>
                <w:szCs w:val="20"/>
                <w:color w:val="auto"/>
              </w:rPr>
            </w:pPr>
            <w:r>
              <w:rPr>
                <w:rFonts w:ascii="Arial" w:cs="Arial" w:eastAsia="Arial" w:hAnsi="Arial"/>
                <w:sz w:val="18"/>
                <w:szCs w:val="18"/>
                <w:color w:val="auto"/>
              </w:rPr>
              <w:t>of tax</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2"/>
        </w:trPr>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translation, net of</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1,128</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1,128</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09"/>
        </w:trPr>
        <w:tc>
          <w:tcPr>
            <w:tcW w:w="1680" w:type="dxa"/>
            <w:vAlign w:val="bottom"/>
          </w:tcPr>
          <w:p>
            <w:pPr>
              <w:spacing w:after="0"/>
              <w:rPr>
                <w:sz w:val="20"/>
                <w:szCs w:val="20"/>
                <w:color w:val="auto"/>
              </w:rPr>
            </w:pPr>
            <w:r>
              <w:rPr>
                <w:rFonts w:ascii="Arial" w:cs="Arial" w:eastAsia="Arial" w:hAnsi="Arial"/>
                <w:sz w:val="18"/>
                <w:szCs w:val="18"/>
                <w:color w:val="auto"/>
              </w:rPr>
              <w:t>Comprehensive</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tcPr>
          <w:p>
            <w:pPr>
              <w:ind w:left="220"/>
              <w:spacing w:after="0"/>
              <w:rPr>
                <w:sz w:val="20"/>
                <w:szCs w:val="20"/>
                <w:color w:val="auto"/>
              </w:rPr>
            </w:pPr>
            <w:r>
              <w:rPr>
                <w:rFonts w:ascii="Arial" w:cs="Arial" w:eastAsia="Arial" w:hAnsi="Arial"/>
                <w:sz w:val="18"/>
                <w:szCs w:val="18"/>
                <w:color w:val="auto"/>
              </w:rPr>
              <w:t>income</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25,416</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at</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December 31,</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2010</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42,095,856</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$ 592,769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$ 242,578</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(552,008)</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 (17,532)</w:t>
            </w: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1,747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3,902</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7"/>
              </w:rPr>
              <w:t>$ 823,468</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21" w:lineRule="exact"/>
        <w:rPr>
          <w:sz w:val="20"/>
          <w:szCs w:val="20"/>
          <w:color w:val="auto"/>
        </w:rPr>
      </w:pPr>
    </w:p>
    <w:p>
      <w:pPr>
        <w:ind w:right="40" w:firstLine="222"/>
        <w:spacing w:after="0" w:line="270" w:lineRule="auto"/>
        <w:rPr>
          <w:sz w:val="20"/>
          <w:szCs w:val="20"/>
          <w:color w:val="auto"/>
        </w:rPr>
      </w:pPr>
      <w:r>
        <w:rPr>
          <w:rFonts w:ascii="Arial" w:cs="Arial" w:eastAsia="Arial" w:hAnsi="Arial"/>
          <w:sz w:val="17"/>
          <w:szCs w:val="17"/>
          <w:color w:val="auto"/>
        </w:rPr>
        <w:t>The accompanying condensed consolidated balance sheet at December 31, 2010, the condensed consolidated statements of operations for the three and nine months ended December 31, 2010 and January 1, 2010, the condensed consolidated statements of cash flows for the nine months ended December 31, 2010 and January 1, 2010, and the condensed consolidated statement of equity and comprehensive income for the nine months ended December 31, 2010 have been prepared by the management of ViaSat, Inc. (also referred to hereafter as the Company or ViaSat), and have not been audited. These financial statements have been prepared on the same basis as the audited consolidated financial statements for the fiscal year ended April 2, 2010 and, in the opinion of management, include all adjustments (consisting only of normal recurring adjustments) necessary for a fair presentation of the Company’s results for the periods presented. These financial statements should be read in conjunction with the financial statements and notes thereto for the fiscal year ended April 2, 2010 included in the Company’s Annual Report on Form 10-K. Interim operating results are not necessarily indicative of operating results for the full year. The year-end condensed consolidated balance sheet data was derived from audited financial statements, but does not include all disclosures required by accounting principles generally accepted in the United States of America (GAAP).</w:t>
      </w:r>
    </w:p>
    <w:p>
      <w:pPr>
        <w:spacing w:after="0" w:line="70" w:lineRule="exact"/>
        <w:rPr>
          <w:sz w:val="20"/>
          <w:szCs w:val="20"/>
          <w:color w:val="auto"/>
        </w:rPr>
      </w:pPr>
    </w:p>
    <w:p>
      <w:pPr>
        <w:ind w:right="240" w:firstLine="222"/>
        <w:spacing w:after="0" w:line="342" w:lineRule="auto"/>
        <w:rPr>
          <w:sz w:val="20"/>
          <w:szCs w:val="20"/>
          <w:color w:val="auto"/>
        </w:rPr>
      </w:pPr>
      <w:r>
        <w:rPr>
          <w:rFonts w:ascii="Arial" w:cs="Arial" w:eastAsia="Arial" w:hAnsi="Arial"/>
          <w:sz w:val="16"/>
          <w:szCs w:val="16"/>
          <w:color w:val="auto"/>
        </w:rPr>
        <w:t>The Company’s condensed consolidated financial statements include the assets, liabilities and results of operations of ViaSat and its wholly owned subsidiaries and of TrellisWare Technologies, Inc. (TrellisWare), a majority-owned subsidiary. All significant intercompany amounts have been eliminated.</w:t>
      </w:r>
    </w:p>
    <w:p>
      <w:pPr>
        <w:spacing w:after="0" w:line="16" w:lineRule="exact"/>
        <w:rPr>
          <w:sz w:val="20"/>
          <w:szCs w:val="20"/>
          <w:color w:val="auto"/>
        </w:rPr>
      </w:pPr>
    </w:p>
    <w:p>
      <w:pPr>
        <w:ind w:right="160" w:firstLine="222"/>
        <w:spacing w:after="0" w:line="312" w:lineRule="auto"/>
        <w:rPr>
          <w:sz w:val="20"/>
          <w:szCs w:val="20"/>
          <w:color w:val="auto"/>
        </w:rPr>
      </w:pPr>
      <w:r>
        <w:rPr>
          <w:rFonts w:ascii="Arial" w:cs="Arial" w:eastAsia="Arial" w:hAnsi="Arial"/>
          <w:sz w:val="16"/>
          <w:szCs w:val="16"/>
          <w:color w:val="auto"/>
        </w:rPr>
        <w:t>The Company’s fiscal year is the 52 or 53 weeks ending on the Friday closest to March 31 of the specified year. For example, references to fiscal year 2011 refer to the fiscal year ending on April 1, 2011. The Company’s quarters for fiscal year 2011 end on July 2, 2010, October 1, 2010, December 31, 2010 and April 1, 2011. This results in a 53 week fiscal year approximately every four to five years. Fiscal years 2011 and 2010 are both 52 week years.</w:t>
      </w:r>
    </w:p>
    <w:p>
      <w:pPr>
        <w:spacing w:after="0" w:line="39" w:lineRule="exact"/>
        <w:rPr>
          <w:sz w:val="20"/>
          <w:szCs w:val="20"/>
          <w:color w:val="auto"/>
        </w:rPr>
      </w:pPr>
    </w:p>
    <w:p>
      <w:pPr>
        <w:ind w:right="200" w:firstLine="225"/>
        <w:spacing w:after="0" w:line="279" w:lineRule="auto"/>
        <w:rPr>
          <w:sz w:val="20"/>
          <w:szCs w:val="20"/>
          <w:color w:val="auto"/>
        </w:rPr>
      </w:pPr>
      <w:r>
        <w:rPr>
          <w:rFonts w:ascii="Arial" w:cs="Arial" w:eastAsia="Arial" w:hAnsi="Arial"/>
          <w:sz w:val="17"/>
          <w:szCs w:val="17"/>
          <w:color w:val="auto"/>
        </w:rPr>
        <w:t>During the second quarter of fiscal year 2011, the Company completed the acquisition of Stonewood Group Limited (Stonewood), a privately held company registered in England and Wales. During the third quarter of fiscal year 2010, the Company completed the acquisition of WildBlue Holding, Inc. (WildBlue), a privately held Delaware corporation. The acquisitions were accounted for as purchases and accordingly, the condensed consolidated financial statements include the operating results of Stonewood and WildBlue from the dates of acquisition (see Note 11).</w:t>
      </w:r>
    </w:p>
    <w:p>
      <w:pPr>
        <w:spacing w:after="0" w:line="63" w:lineRule="exact"/>
        <w:rPr>
          <w:sz w:val="20"/>
          <w:szCs w:val="20"/>
          <w:color w:val="auto"/>
        </w:rPr>
      </w:pPr>
    </w:p>
    <w:p>
      <w:pPr>
        <w:ind w:firstLine="222"/>
        <w:spacing w:after="0" w:line="293"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self-insurance reserves, allowance for doubtful accounts, warranty accrual, valuation of goodwill and other intangible assets, patents, orbital slots and orbital licenses, software development, property, equipment and satellites, long-lived assets, derivatives, income taxes and valuation allowance on deferred tax assets.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117"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Equipment, computers and software, furniture and fixtures and the Company’s satellite and related gateway and networking equipment under construction are recorded at cost, net of accumulated depreciation. The Company computes depreciation using the straight-line method over the estimated useful lives of the assets ranging from two to twenty-four years. Leasehold improvements are capitalized and amortized using the straight-line method over the shorter of the lease term or the life of the improvement. Additions to property, equipment and satellites, together with major renewals and betterments, are capitalized. Maintenance, repairs and minor renewals and betterments are charged to expense. When assets are sold or otherwise disposed of, the cost and related accumulated depreciation or amortization are removed from the accounts and any resulting gain or loss is recognized in operations.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60" w:firstLine="225"/>
        <w:spacing w:after="0" w:line="293" w:lineRule="auto"/>
        <w:rPr>
          <w:sz w:val="20"/>
          <w:szCs w:val="20"/>
          <w:color w:val="auto"/>
        </w:rPr>
      </w:pPr>
      <w:r>
        <w:rPr>
          <w:rFonts w:ascii="Arial" w:cs="Arial" w:eastAsia="Arial" w:hAnsi="Arial"/>
          <w:sz w:val="16"/>
          <w:szCs w:val="16"/>
          <w:color w:val="auto"/>
        </w:rPr>
        <w:t>Satellite construction costs, including launch services and insurance, are generally procured under long-term contracts that provide for payments over the contract periods and are capitalized as incurred. The Company is also constructing gateway facilities and network operations systems to support the satellite under construction and these construction costs are capitalized as incurred. Interest expense is capitalized on the carrying value of the satellite, related gateway and networking equipment and other assets during the construction period. With respect to ViaSat-1 (the Company’s high-capacity satellite) and other assets currently under construction, the Company capitalized $7.8 million and $20.5 million of interest expense during the three and nine months ended December 31, 2010, respectively, and $3.8 million and $5.0 million of interest expense during the three and nine months ended January 1, 2010, respectively.</w:t>
      </w:r>
    </w:p>
    <w:p>
      <w:pPr>
        <w:spacing w:after="0" w:line="57" w:lineRule="exact"/>
        <w:rPr>
          <w:sz w:val="20"/>
          <w:szCs w:val="20"/>
          <w:color w:val="auto"/>
        </w:rPr>
      </w:pPr>
    </w:p>
    <w:p>
      <w:pPr>
        <w:ind w:firstLine="215"/>
        <w:spacing w:after="0" w:line="291" w:lineRule="auto"/>
        <w:rPr>
          <w:sz w:val="20"/>
          <w:szCs w:val="20"/>
          <w:color w:val="auto"/>
        </w:rPr>
      </w:pPr>
      <w:r>
        <w:rPr>
          <w:rFonts w:ascii="Arial" w:cs="Arial" w:eastAsia="Arial" w:hAnsi="Arial"/>
          <w:sz w:val="16"/>
          <w:szCs w:val="16"/>
          <w:color w:val="auto"/>
        </w:rPr>
        <w:t>As a result of the acquisition of WildBlue on December 15, 2009 (see Note 11), the Company acquired the WildBlue-1 satellite (which was placed into service in March 2007) and an exclusive prepaid lifetime capital lease of Ka-band capacity over the continental United States on Telesat Canada’s Anik F2 satellite (which was placed into service in April 2005) and related gateway and networking equipment on both satellites. The acquired assets also included the indoor and outdoor customer premise equipment (CPE) units leased to subscribers under WildBlue’s retail leasing program. The Company depreciates the satellites, gateway and networking equipment, CPE units and related installation costs over their estimated useful lives. The total cost and accumulated depreciation of CPE units included in property and equipment, net, as of December 31, 2010 was $57.9 million and $15.2 million, respectively. The total cost and accumulated depreciation of CPE units included in property and equipment, net, as of April 2, 2010 was $41.5 million and $4.2 million, respectively.</w:t>
      </w:r>
    </w:p>
    <w:p>
      <w:pPr>
        <w:spacing w:after="0" w:line="59"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Occasionally, the Company may enter into capital lease arrangements for various machinery, equipment, computer-related equipment, software, furniture or fixtures. As of December 31, 2010, assets under capital leases totaled approximately $2.8 million. During the three and nine months ended December 31, 2010, the Company recorded immaterial amounts of capital lease amortization in depreciation expense. The Company had no capital lease arrangements as of April 2, 2010 and there was no capital lease amortization for the three and nine months ended January 1,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orbital slots and orbital licenses</w:t>
      </w:r>
    </w:p>
    <w:p>
      <w:pPr>
        <w:spacing w:after="0" w:line="117" w:lineRule="exact"/>
        <w:rPr>
          <w:sz w:val="20"/>
          <w:szCs w:val="20"/>
          <w:color w:val="auto"/>
        </w:rPr>
      </w:pPr>
    </w:p>
    <w:p>
      <w:pPr>
        <w:ind w:right="300" w:firstLine="222"/>
        <w:spacing w:after="0" w:line="291" w:lineRule="auto"/>
        <w:rPr>
          <w:sz w:val="20"/>
          <w:szCs w:val="20"/>
          <w:color w:val="auto"/>
        </w:rPr>
      </w:pPr>
      <w:r>
        <w:rPr>
          <w:rFonts w:ascii="Arial" w:cs="Arial" w:eastAsia="Arial" w:hAnsi="Arial"/>
          <w:sz w:val="16"/>
          <w:szCs w:val="16"/>
          <w:color w:val="auto"/>
        </w:rPr>
        <w:t>The Company capitalizes the costs of obtaining or acquiring patents, orbital slots and orbital licenses. Amortization of intangible assets that have finite lives is provided for by the straight-line method over the shorter of the legal or estimated economic life. Total capitalized costs of $3.2 million and</w:t>
      </w:r>
    </w:p>
    <w:p>
      <w:pPr>
        <w:ind w:right="40"/>
        <w:spacing w:after="0" w:line="252" w:lineRule="auto"/>
        <w:rPr>
          <w:sz w:val="20"/>
          <w:szCs w:val="20"/>
          <w:color w:val="auto"/>
        </w:rPr>
      </w:pPr>
      <w:r>
        <w:rPr>
          <w:rFonts w:ascii="Arial" w:cs="Arial" w:eastAsia="Arial" w:hAnsi="Arial"/>
          <w:sz w:val="18"/>
          <w:szCs w:val="18"/>
          <w:color w:val="auto"/>
        </w:rPr>
        <w:t>$3.0 million related to patents were included in other assets as of December 31, 2010 and April 2, 2010, respectively. Accumulated amortization related to these patents was $0.3 million as of December 31, 2010 and April 2, 2010. Amortization expense related to these patents was less than $0.1 million for each of the three and nine months ended December 31, 2010 and January 1, 2010. The Company also capitalized $5.5 million and $5.2 million of costs related to acquiring and obtaining licenses that were included in other assets as of December 31, 2010 and April 2, 2010, respectively, related to orbital slots and orbital licenses that have not yet been placed into service. If a patent, orbital slot or orbital license is rejected, abandoned or otherwise invalidated, the unamortized cost is expensed in that period.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Debt issuance costs are amortized and recognized as interest expense on a straight-line basis over the expected term of the related debt, which is not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materially different from the effective interest rate basis. During the three and nine months ended December 31, 2010, the Company did not pay or capitalize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any debt issuance costs. During the three and nine months ended January 1, 2010, the Company paid and capitalized approximately $8.5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$11.3 million, respectively, in debt issuance costs related to the Company’s 8.875% Senior Notes due 2016 (the Notes) and additional debt issuance costs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to the Company’s revolving credit facility (the Credit Facility). Unamortized debt issuance costs are recorded in prepaid expenses and other current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and in other long-term assets in the condensed consolidated balance sheets, depending on the amounts expected to be amortized to interest expense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within the next twelve months.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117"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Costs of developing software for sale are charged to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future revenue for each product with an annual minimum equal to straight-line amortization over the remaining estimated economic life of the product, generally within five years. The Company capitalized $3.4 million and $11.4 million of costs related to software developed for resale for the three and nine months ended December 31, 2010, respectively. The Company capitalized $2.3 million and $5.3 million of costs related to software developed for resale for the three and nine months ended January 1, 2010, respectively. There was no amortization expense of software development costs for the three and nine months ended December 31, 2010 and January 1,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117" w:lineRule="exact"/>
        <w:rPr>
          <w:sz w:val="20"/>
          <w:szCs w:val="20"/>
          <w:color w:val="auto"/>
        </w:rPr>
      </w:pPr>
    </w:p>
    <w:p>
      <w:pPr>
        <w:ind w:right="80" w:firstLine="222"/>
        <w:spacing w:after="0" w:line="290" w:lineRule="auto"/>
        <w:rPr>
          <w:sz w:val="20"/>
          <w:szCs w:val="20"/>
          <w:color w:val="auto"/>
        </w:rPr>
      </w:pPr>
      <w:r>
        <w:rPr>
          <w:rFonts w:ascii="Arial" w:cs="Arial" w:eastAsia="Arial" w:hAnsi="Arial"/>
          <w:sz w:val="16"/>
          <w:szCs w:val="16"/>
          <w:color w:val="auto"/>
        </w:rPr>
        <w:t>The Company has self-insurance plans to retain a portion of the exposure for losses related to employee medical benefits and workers’ compensation. The self-insurance policies provide for both specific and aggregate stop-loss limits. The Company utilizes internal actuarial methods as well as other historical information for the purpose of estimating ultimate costs for a particular policy year. Based on these actuarial methods, along with currently available information and insurance industry statistics, the Company’s self-insurance liability for the plans was $1.4 million as of December 31, 2010 and April 2, 2010.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current in accordance with the estimated timing of the projected payments.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117" w:lineRule="exact"/>
        <w:rPr>
          <w:sz w:val="20"/>
          <w:szCs w:val="20"/>
          <w:color w:val="auto"/>
        </w:rPr>
      </w:pPr>
    </w:p>
    <w:p>
      <w:pPr>
        <w:ind w:right="60" w:firstLine="225"/>
        <w:spacing w:after="0" w:line="272" w:lineRule="auto"/>
        <w:rPr>
          <w:sz w:val="20"/>
          <w:szCs w:val="20"/>
          <w:color w:val="auto"/>
        </w:rPr>
      </w:pPr>
      <w:r>
        <w:rPr>
          <w:rFonts w:ascii="Arial" w:cs="Arial" w:eastAsia="Arial" w:hAnsi="Arial"/>
          <w:sz w:val="17"/>
          <w:szCs w:val="17"/>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December 31, 2010 and April 2, 2010, no such amounts were accrued.</w:t>
      </w:r>
    </w:p>
    <w:p>
      <w:pPr>
        <w:spacing w:after="0" w:line="70"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Simultaneously with the execution of the merger agreement relating to the acquisition of WildBlue, the Company entered into an indemnification agreement dated September 30, 2009 with several of the former stockholders of WildBlue pursuant to which such former stockholders agreed to indemnify the Company for costs which result from, relate to or arise out of potential claims and liabilities under various WildBlue contracts, an existing appraisal action regarding WildBlue’s 2008 recapitalization, certain rights to acquire securities of WildBlue and a severance agreement. Under the indemnification agreement, the Company is required to pay up to $0.5 million and has recorded a liability of $0.5 million in the condensed consolidated balance sheets as of December 31, 2010 and April 2, 2010 as an element of accrued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117"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 noncontrolling interest represents the equity interest in a subsidiary that is not attributable, either directly or indirectly, to the Company and is reported as equity of the Company, separately from the Company’s controlling interest. Revenues, expenses, gains, losses, net income or loss and other comprehensive income are reported in the condensed consolidated financial statements at the consolidated amounts, which include the amounts attributable to both the controlling and noncontrolling interest.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117"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During the first nine months of fiscal year 2011 and during fiscal year 2010, the Company issued 409,642 and 234,039 shares of common stock, respectively, based on the vesting terms of certain restricted stock unit agreements. In order for employees to satisfy minimum statutory employee tax withholding requirements related to the issuance of common stock underlying these restricted stock unit agreements, the Company repurchased 144,871 and 88,438 shares of common stock with a total value of $5.5 million and $2.3 million during the first nine months of fiscal year 2011 and during fiscal year 2010, respectively.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On January 4, 2010, the Company repurchased 251,731 shares of the Company’s common stock from Intelsat USA Sales Corp for $8.0 million in cash.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Repurchased shares of common stock of 552,008 and 407,137 were held in treasury as of December 31, 2010 and April 2, 2010,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The Company enters into foreign currency forward and option contracts from time to time to hedge certain forecasted foreign currency transactions. Gains and losses arising from foreign currency forward and option contracts not designated as hedging instruments are recorded in interest income (expense) as gains (losses) on derivative instruments. Gains and losses arising from the effective portion of foreign currency forward and option contracts that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fair values of the Company’s outstanding foreign currency forward contracts as of December 31, 2010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92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w w:val="94"/>
              </w:rPr>
              <w:t>Asset Derivatives</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220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Liability Derivatives</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1920" w:type="dxa"/>
            <w:vAlign w:val="bottom"/>
            <w:gridSpan w:val="2"/>
          </w:tcPr>
          <w:p>
            <w:pPr>
              <w:ind w:left="200"/>
              <w:spacing w:after="0" w:line="119" w:lineRule="exact"/>
              <w:rPr>
                <w:sz w:val="20"/>
                <w:szCs w:val="20"/>
                <w:color w:val="auto"/>
              </w:rPr>
            </w:pPr>
            <w:r>
              <w:rPr>
                <w:rFonts w:ascii="Arial" w:cs="Arial" w:eastAsia="Arial" w:hAnsi="Arial"/>
                <w:sz w:val="13"/>
                <w:szCs w:val="13"/>
                <w:b w:val="1"/>
                <w:bCs w:val="1"/>
                <w:color w:val="auto"/>
              </w:rPr>
              <w:t>Balance Sheet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122"/>
              <w:spacing w:after="0" w:line="119" w:lineRule="exact"/>
              <w:rPr>
                <w:sz w:val="20"/>
                <w:szCs w:val="20"/>
                <w:color w:val="auto"/>
              </w:rPr>
            </w:pPr>
            <w:r>
              <w:rPr>
                <w:rFonts w:ascii="Arial" w:cs="Arial" w:eastAsia="Arial" w:hAnsi="Arial"/>
                <w:sz w:val="13"/>
                <w:szCs w:val="13"/>
                <w:b w:val="1"/>
                <w:bCs w:val="1"/>
                <w:color w:val="auto"/>
              </w:rPr>
              <w:t>Fair</w:t>
            </w:r>
          </w:p>
        </w:tc>
        <w:tc>
          <w:tcPr>
            <w:tcW w:w="680" w:type="dxa"/>
            <w:vAlign w:val="bottom"/>
          </w:tcPr>
          <w:p>
            <w:pPr>
              <w:spacing w:after="0"/>
              <w:rPr>
                <w:sz w:val="10"/>
                <w:szCs w:val="10"/>
                <w:color w:val="auto"/>
              </w:rPr>
            </w:pPr>
          </w:p>
        </w:tc>
        <w:tc>
          <w:tcPr>
            <w:tcW w:w="1240" w:type="dxa"/>
            <w:vAlign w:val="bottom"/>
          </w:tcPr>
          <w:p>
            <w:pPr>
              <w:ind w:left="200"/>
              <w:spacing w:after="0" w:line="119" w:lineRule="exact"/>
              <w:rPr>
                <w:sz w:val="20"/>
                <w:szCs w:val="20"/>
                <w:color w:val="auto"/>
              </w:rPr>
            </w:pPr>
            <w:r>
              <w:rPr>
                <w:rFonts w:ascii="Arial" w:cs="Arial" w:eastAsia="Arial" w:hAnsi="Arial"/>
                <w:sz w:val="13"/>
                <w:szCs w:val="13"/>
                <w:b w:val="1"/>
                <w:bCs w:val="1"/>
                <w:color w:val="auto"/>
              </w:rPr>
              <w:t>Balance Sheet</w:t>
            </w:r>
          </w:p>
        </w:tc>
        <w:tc>
          <w:tcPr>
            <w:tcW w:w="680" w:type="dxa"/>
            <w:vAlign w:val="bottom"/>
          </w:tcPr>
          <w:p>
            <w:pPr>
              <w:spacing w:after="0"/>
              <w:rPr>
                <w:sz w:val="10"/>
                <w:szCs w:val="10"/>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920" w:type="dxa"/>
            <w:vAlign w:val="bottom"/>
            <w:gridSpan w:val="2"/>
          </w:tcPr>
          <w:p>
            <w:pPr>
              <w:ind w:left="220"/>
              <w:spacing w:after="0"/>
              <w:rPr>
                <w:sz w:val="20"/>
                <w:szCs w:val="20"/>
                <w:color w:val="auto"/>
              </w:rPr>
            </w:pPr>
            <w:r>
              <w:rPr>
                <w:rFonts w:ascii="Arial" w:cs="Arial" w:eastAsia="Arial" w:hAnsi="Arial"/>
                <w:sz w:val="14"/>
                <w:szCs w:val="14"/>
                <w:b w:val="1"/>
                <w:bCs w:val="1"/>
                <w:color w:val="auto"/>
              </w:rPr>
              <w:t>Classification</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768"/>
              <w:spacing w:after="0"/>
              <w:rPr>
                <w:sz w:val="20"/>
                <w:szCs w:val="20"/>
                <w:color w:val="auto"/>
              </w:rPr>
            </w:pPr>
            <w:r>
              <w:rPr>
                <w:rFonts w:ascii="Arial" w:cs="Arial" w:eastAsia="Arial" w:hAnsi="Arial"/>
                <w:sz w:val="14"/>
                <w:szCs w:val="14"/>
                <w:b w:val="1"/>
                <w:bCs w:val="1"/>
                <w:color w:val="auto"/>
              </w:rPr>
              <w:t>Value</w:t>
            </w:r>
          </w:p>
        </w:tc>
        <w:tc>
          <w:tcPr>
            <w:tcW w:w="1240" w:type="dxa"/>
            <w:vAlign w:val="bottom"/>
          </w:tcPr>
          <w:p>
            <w:pPr>
              <w:ind w:left="200"/>
              <w:spacing w:after="0"/>
              <w:rPr>
                <w:sz w:val="20"/>
                <w:szCs w:val="20"/>
                <w:color w:val="auto"/>
              </w:rPr>
            </w:pPr>
            <w:r>
              <w:rPr>
                <w:rFonts w:ascii="Arial" w:cs="Arial" w:eastAsia="Arial" w:hAnsi="Arial"/>
                <w:sz w:val="14"/>
                <w:szCs w:val="14"/>
                <w:b w:val="1"/>
                <w:bCs w:val="1"/>
                <w:color w:val="auto"/>
              </w:rPr>
              <w:t>Classification</w:t>
            </w:r>
          </w:p>
        </w:tc>
        <w:tc>
          <w:tcPr>
            <w:tcW w:w="68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7"/>
              </w:rPr>
              <w:t>thousands)</w:t>
            </w:r>
          </w:p>
        </w:tc>
        <w:tc>
          <w:tcPr>
            <w:tcW w:w="124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as hedging instruments</w:t>
            </w: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Foreign currency forward contracts</w:t>
            </w:r>
          </w:p>
        </w:tc>
        <w:tc>
          <w:tcPr>
            <w:tcW w:w="19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160</w:t>
            </w:r>
          </w:p>
        </w:tc>
        <w:tc>
          <w:tcPr>
            <w:tcW w:w="1240" w:type="dxa"/>
            <w:vAlign w:val="bottom"/>
          </w:tcPr>
          <w:p>
            <w:pPr>
              <w:spacing w:after="0"/>
              <w:rPr>
                <w:sz w:val="20"/>
                <w:szCs w:val="20"/>
                <w:color w:val="auto"/>
              </w:rPr>
            </w:pPr>
            <w:r>
              <w:rPr>
                <w:rFonts w:ascii="Arial" w:cs="Arial" w:eastAsia="Arial" w:hAnsi="Arial"/>
                <w:sz w:val="18"/>
                <w:szCs w:val="18"/>
                <w:color w:val="auto"/>
              </w:rPr>
              <w:t>Other liabilities</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derivatives designated as hedging instruments</w:t>
            </w: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160</w:t>
            </w:r>
          </w:p>
        </w:tc>
        <w:tc>
          <w:tcPr>
            <w:tcW w:w="1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40" w:firstLine="222"/>
        <w:spacing w:after="0" w:line="264" w:lineRule="auto"/>
        <w:rPr>
          <w:sz w:val="20"/>
          <w:szCs w:val="20"/>
          <w:color w:val="auto"/>
        </w:rPr>
      </w:pPr>
      <w:r>
        <w:rPr>
          <w:rFonts w:ascii="Arial" w:cs="Arial" w:eastAsia="Arial" w:hAnsi="Arial"/>
          <w:sz w:val="18"/>
          <w:szCs w:val="18"/>
          <w:color w:val="auto"/>
        </w:rPr>
        <w:t>The Company had no foreign currency forward contracts outstanding as of April 2, 2010 and therefore there was no balance in the Company’s accumulated other comprehensive income related to hedging transactions as of April 2, 2010. The notional value of foreign currency forward contracts outstanding as of December 31, 2010 was $6.1 million.</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effects of foreign currency forward contracts in cash flow hedging relationships during the three months ended December 31, 2010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Gain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2"/>
                <w:szCs w:val="12"/>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Location of</w:t>
            </w:r>
          </w:p>
        </w:tc>
        <w:tc>
          <w:tcPr>
            <w:tcW w:w="600" w:type="dxa"/>
            <w:vAlign w:val="bottom"/>
          </w:tcPr>
          <w:p>
            <w:pPr>
              <w:spacing w:after="0"/>
              <w:rPr>
                <w:sz w:val="12"/>
                <w:szCs w:val="12"/>
                <w:color w:val="auto"/>
              </w:rPr>
            </w:pPr>
          </w:p>
        </w:tc>
        <w:tc>
          <w:tcPr>
            <w:tcW w:w="112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4"/>
              </w:rPr>
              <w:t>Amount of</w:t>
            </w:r>
          </w:p>
        </w:tc>
        <w:tc>
          <w:tcPr>
            <w:tcW w:w="280" w:type="dxa"/>
            <w:vAlign w:val="bottom"/>
          </w:tcPr>
          <w:p>
            <w:pPr>
              <w:spacing w:after="0"/>
              <w:rPr>
                <w:sz w:val="12"/>
                <w:szCs w:val="12"/>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Location of Gain</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Recognized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of Gain or</w:t>
            </w:r>
          </w:p>
        </w:tc>
        <w:tc>
          <w:tcPr>
            <w:tcW w:w="28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Gain or</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Gain or</w:t>
            </w:r>
          </w:p>
        </w:tc>
        <w:tc>
          <w:tcPr>
            <w:tcW w:w="28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or (Loss)</w:t>
            </w:r>
          </w:p>
        </w:tc>
        <w:tc>
          <w:tcPr>
            <w:tcW w:w="600" w:type="dxa"/>
            <w:vAlign w:val="bottom"/>
          </w:tcPr>
          <w:p>
            <w:pPr>
              <w:spacing w:after="0"/>
              <w:rPr>
                <w:sz w:val="12"/>
                <w:szCs w:val="12"/>
                <w:color w:val="auto"/>
              </w:rPr>
            </w:pPr>
          </w:p>
        </w:tc>
        <w:tc>
          <w:tcPr>
            <w:tcW w:w="8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in Income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(Loss)</w:t>
            </w:r>
          </w:p>
        </w:tc>
        <w:tc>
          <w:tcPr>
            <w:tcW w:w="28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(Loss)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(Loss)</w:t>
            </w:r>
          </w:p>
        </w:tc>
        <w:tc>
          <w:tcPr>
            <w:tcW w:w="28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600" w:type="dxa"/>
            <w:vAlign w:val="bottom"/>
          </w:tcPr>
          <w:p>
            <w:pPr>
              <w:spacing w:after="0"/>
              <w:rPr>
                <w:sz w:val="12"/>
                <w:szCs w:val="12"/>
                <w:color w:val="auto"/>
              </w:rPr>
            </w:pPr>
          </w:p>
        </w:tc>
        <w:tc>
          <w:tcPr>
            <w:tcW w:w="8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Derivative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Recognized</w:t>
            </w:r>
          </w:p>
        </w:tc>
        <w:tc>
          <w:tcPr>
            <w:tcW w:w="28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Reclassified</w:t>
            </w:r>
          </w:p>
        </w:tc>
        <w:tc>
          <w:tcPr>
            <w:tcW w:w="600" w:type="dxa"/>
            <w:vAlign w:val="bottom"/>
          </w:tcPr>
          <w:p>
            <w:pPr>
              <w:spacing w:after="0"/>
              <w:rPr>
                <w:sz w:val="12"/>
                <w:szCs w:val="12"/>
                <w:color w:val="auto"/>
              </w:rPr>
            </w:pPr>
          </w:p>
        </w:tc>
        <w:tc>
          <w:tcPr>
            <w:tcW w:w="11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Reclassified</w:t>
            </w:r>
          </w:p>
        </w:tc>
        <w:tc>
          <w:tcPr>
            <w:tcW w:w="28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Income on</w:t>
            </w:r>
          </w:p>
        </w:tc>
        <w:tc>
          <w:tcPr>
            <w:tcW w:w="600" w:type="dxa"/>
            <w:vAlign w:val="bottom"/>
          </w:tcPr>
          <w:p>
            <w:pPr>
              <w:spacing w:after="0"/>
              <w:rPr>
                <w:sz w:val="12"/>
                <w:szCs w:val="12"/>
                <w:color w:val="auto"/>
              </w:rPr>
            </w:pPr>
          </w:p>
        </w:tc>
        <w:tc>
          <w:tcPr>
            <w:tcW w:w="8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(Ineffective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in Accumulated</w:t>
            </w:r>
          </w:p>
        </w:tc>
        <w:tc>
          <w:tcPr>
            <w:tcW w:w="28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from</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from</w:t>
            </w:r>
          </w:p>
        </w:tc>
        <w:tc>
          <w:tcPr>
            <w:tcW w:w="28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Derivative</w:t>
            </w:r>
          </w:p>
        </w:tc>
        <w:tc>
          <w:tcPr>
            <w:tcW w:w="600" w:type="dxa"/>
            <w:vAlign w:val="bottom"/>
          </w:tcPr>
          <w:p>
            <w:pPr>
              <w:spacing w:after="0"/>
              <w:rPr>
                <w:sz w:val="12"/>
                <w:szCs w:val="12"/>
                <w:color w:val="auto"/>
              </w:rPr>
            </w:pPr>
          </w:p>
        </w:tc>
        <w:tc>
          <w:tcPr>
            <w:tcW w:w="8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Portion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OCI</w:t>
            </w:r>
          </w:p>
        </w:tc>
        <w:tc>
          <w:tcPr>
            <w:tcW w:w="28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720" w:type="dxa"/>
            <w:vAlign w:val="bottom"/>
            <w:gridSpan w:val="4"/>
          </w:tcPr>
          <w:p>
            <w:pPr>
              <w:jc w:val="center"/>
              <w:ind w:left="222"/>
              <w:spacing w:after="0" w:line="149"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(Ineffective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1"/>
              </w:rPr>
              <w:t>on</w:t>
            </w:r>
          </w:p>
        </w:tc>
        <w:tc>
          <w:tcPr>
            <w:tcW w:w="28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OCI into</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9"/>
              </w:rPr>
              <w:t>OCI into</w:t>
            </w:r>
          </w:p>
        </w:tc>
        <w:tc>
          <w:tcPr>
            <w:tcW w:w="28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Portion and</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Excluded</w:t>
            </w:r>
          </w:p>
        </w:tc>
        <w:tc>
          <w:tcPr>
            <w:tcW w:w="0" w:type="dxa"/>
            <w:vAlign w:val="bottom"/>
          </w:tcPr>
          <w:p>
            <w:pPr>
              <w:spacing w:after="0"/>
              <w:rPr>
                <w:sz w:val="1"/>
                <w:szCs w:val="1"/>
                <w:color w:val="auto"/>
              </w:rPr>
            </w:pPr>
          </w:p>
        </w:tc>
      </w:tr>
      <w:tr>
        <w:trPr>
          <w:trHeight w:val="149"/>
        </w:trPr>
        <w:tc>
          <w:tcPr>
            <w:tcW w:w="2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in Cash</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Derivatives</w:t>
            </w:r>
          </w:p>
        </w:tc>
        <w:tc>
          <w:tcPr>
            <w:tcW w:w="28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Income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Income</w:t>
            </w:r>
          </w:p>
        </w:tc>
        <w:tc>
          <w:tcPr>
            <w:tcW w:w="28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Amount Excluded</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49"/>
        </w:trPr>
        <w:tc>
          <w:tcPr>
            <w:tcW w:w="25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(Effective</w:t>
            </w:r>
          </w:p>
        </w:tc>
        <w:tc>
          <w:tcPr>
            <w:tcW w:w="28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(Effective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(Effective</w:t>
            </w:r>
          </w:p>
        </w:tc>
        <w:tc>
          <w:tcPr>
            <w:tcW w:w="28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from Effectiveness</w:t>
            </w:r>
          </w:p>
        </w:tc>
        <w:tc>
          <w:tcPr>
            <w:tcW w:w="600" w:type="dxa"/>
            <w:vAlign w:val="bottom"/>
          </w:tcPr>
          <w:p>
            <w:pPr>
              <w:spacing w:after="0"/>
              <w:rPr>
                <w:sz w:val="12"/>
                <w:szCs w:val="12"/>
                <w:color w:val="auto"/>
              </w:rPr>
            </w:pPr>
          </w:p>
        </w:tc>
        <w:tc>
          <w:tcPr>
            <w:tcW w:w="8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Effectiveness</w:t>
            </w:r>
          </w:p>
        </w:tc>
        <w:tc>
          <w:tcPr>
            <w:tcW w:w="0" w:type="dxa"/>
            <w:vAlign w:val="bottom"/>
          </w:tcPr>
          <w:p>
            <w:pPr>
              <w:spacing w:after="0"/>
              <w:rPr>
                <w:sz w:val="1"/>
                <w:szCs w:val="1"/>
                <w:color w:val="auto"/>
              </w:rPr>
            </w:pPr>
          </w:p>
        </w:tc>
      </w:tr>
      <w:tr>
        <w:trPr>
          <w:trHeight w:val="171"/>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Flow Hedging</w:t>
            </w: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3"/>
              </w:rPr>
              <w:t>Portion)</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Portion)</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3"/>
              </w:rPr>
              <w:t>Portion)</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Testing)</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8"/>
              </w:rPr>
              <w:t>Testing)</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Relationships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40" w:type="dxa"/>
            <w:vAlign w:val="bottom"/>
            <w:gridSpan w:val="2"/>
            <w:vMerge w:val="restart"/>
          </w:tcPr>
          <w:p>
            <w:pPr>
              <w:ind w:left="280"/>
              <w:spacing w:after="0"/>
              <w:rPr>
                <w:sz w:val="20"/>
                <w:szCs w:val="20"/>
                <w:color w:val="auto"/>
              </w:rPr>
            </w:pPr>
            <w:r>
              <w:rPr>
                <w:rFonts w:ascii="Arial" w:cs="Arial" w:eastAsia="Arial" w:hAnsi="Arial"/>
                <w:sz w:val="18"/>
                <w:szCs w:val="18"/>
                <w:color w:val="auto"/>
              </w:rPr>
              <w:t>Selling, general and</w:t>
            </w:r>
          </w:p>
        </w:tc>
        <w:tc>
          <w:tcPr>
            <w:tcW w:w="14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2000" w:type="dxa"/>
            <w:vAlign w:val="bottom"/>
            <w:gridSpan w:val="2"/>
            <w:vMerge w:val="restart"/>
          </w:tcPr>
          <w:p>
            <w:pPr>
              <w:ind w:left="280"/>
              <w:spacing w:after="0"/>
              <w:rPr>
                <w:sz w:val="20"/>
                <w:szCs w:val="20"/>
                <w:color w:val="auto"/>
              </w:rPr>
            </w:pPr>
            <w:r>
              <w:rPr>
                <w:rFonts w:ascii="Arial" w:cs="Arial" w:eastAsia="Arial" w:hAnsi="Arial"/>
                <w:sz w:val="18"/>
                <w:szCs w:val="18"/>
                <w:color w:val="auto"/>
              </w:rPr>
              <w:t>Selling, general and</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Foreign currency forward</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ind w:left="200"/>
              <w:spacing w:after="0"/>
              <w:rPr>
                <w:sz w:val="20"/>
                <w:szCs w:val="20"/>
                <w:color w:val="auto"/>
              </w:rPr>
            </w:pPr>
            <w:r>
              <w:rPr>
                <w:rFonts w:ascii="Arial" w:cs="Arial" w:eastAsia="Arial" w:hAnsi="Arial"/>
                <w:sz w:val="18"/>
                <w:szCs w:val="18"/>
                <w:color w:val="auto"/>
              </w:rPr>
              <w:t>contracts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(120)</w:t>
            </w:r>
          </w:p>
        </w:tc>
        <w:tc>
          <w:tcPr>
            <w:tcW w:w="1940" w:type="dxa"/>
            <w:vAlign w:val="bottom"/>
            <w:gridSpan w:val="2"/>
          </w:tcPr>
          <w:p>
            <w:pPr>
              <w:ind w:left="280"/>
              <w:spacing w:after="0"/>
              <w:rPr>
                <w:sz w:val="20"/>
                <w:szCs w:val="20"/>
                <w:color w:val="auto"/>
              </w:rPr>
            </w:pPr>
            <w:r>
              <w:rPr>
                <w:rFonts w:ascii="Arial" w:cs="Arial" w:eastAsia="Arial" w:hAnsi="Arial"/>
                <w:sz w:val="18"/>
                <w:szCs w:val="18"/>
                <w:color w:val="auto"/>
              </w:rPr>
              <w:t>administrative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399</w:t>
            </w:r>
          </w:p>
        </w:tc>
        <w:tc>
          <w:tcPr>
            <w:tcW w:w="2000" w:type="dxa"/>
            <w:vAlign w:val="bottom"/>
            <w:gridSpan w:val="2"/>
          </w:tcPr>
          <w:p>
            <w:pPr>
              <w:ind w:left="280"/>
              <w:spacing w:after="0"/>
              <w:rPr>
                <w:sz w:val="20"/>
                <w:szCs w:val="20"/>
                <w:color w:val="auto"/>
              </w:rPr>
            </w:pPr>
            <w:r>
              <w:rPr>
                <w:rFonts w:ascii="Arial" w:cs="Arial" w:eastAsia="Arial" w:hAnsi="Arial"/>
                <w:sz w:val="18"/>
                <w:szCs w:val="18"/>
                <w:color w:val="auto"/>
              </w:rPr>
              <w:t>administrative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w w:val="76"/>
              </w:rPr>
              <w:t>(120)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40" w:type="dxa"/>
            <w:vAlign w:val="bottom"/>
            <w:gridSpan w:val="2"/>
            <w:vMerge w:val="restart"/>
          </w:tcPr>
          <w:p>
            <w:pPr>
              <w:jc w:val="right"/>
              <w:ind w:right="368"/>
              <w:spacing w:after="0"/>
              <w:rPr>
                <w:sz w:val="20"/>
                <w:szCs w:val="20"/>
                <w:color w:val="auto"/>
              </w:rPr>
            </w:pPr>
            <w:r>
              <w:rPr>
                <w:rFonts w:ascii="Arial" w:cs="Arial" w:eastAsia="Arial" w:hAnsi="Arial"/>
                <w:sz w:val="18"/>
                <w:szCs w:val="18"/>
                <w:color w:val="auto"/>
              </w:rPr>
              <w:t>10</w:t>
            </w: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effects of foreign currency forward contracts in cash flow hedging relationships during the nine months ended December 31, 2010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Gain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center"/>
              <w:ind w:right="45"/>
              <w:spacing w:after="0"/>
              <w:rPr>
                <w:sz w:val="20"/>
                <w:szCs w:val="20"/>
                <w:color w:val="auto"/>
              </w:rPr>
            </w:pPr>
            <w:r>
              <w:rPr>
                <w:rFonts w:ascii="Arial" w:cs="Arial" w:eastAsia="Arial" w:hAnsi="Arial"/>
                <w:sz w:val="14"/>
                <w:szCs w:val="14"/>
                <w:b w:val="1"/>
                <w:bCs w:val="1"/>
                <w:color w:val="auto"/>
                <w:w w:val="94"/>
              </w:rPr>
              <w:t>Amount</w:t>
            </w:r>
          </w:p>
        </w:tc>
        <w:tc>
          <w:tcPr>
            <w:tcW w:w="600" w:type="dxa"/>
            <w:vAlign w:val="bottom"/>
          </w:tcPr>
          <w:p>
            <w:pPr>
              <w:spacing w:after="0"/>
              <w:rPr>
                <w:sz w:val="12"/>
                <w:szCs w:val="12"/>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Location of</w:t>
            </w:r>
          </w:p>
        </w:tc>
        <w:tc>
          <w:tcPr>
            <w:tcW w:w="600" w:type="dxa"/>
            <w:vAlign w:val="bottom"/>
          </w:tcPr>
          <w:p>
            <w:pPr>
              <w:spacing w:after="0"/>
              <w:rPr>
                <w:sz w:val="12"/>
                <w:szCs w:val="12"/>
                <w:color w:val="auto"/>
              </w:rPr>
            </w:pPr>
          </w:p>
        </w:tc>
        <w:tc>
          <w:tcPr>
            <w:tcW w:w="112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4"/>
              </w:rPr>
              <w:t>Amount of</w:t>
            </w:r>
          </w:p>
        </w:tc>
        <w:tc>
          <w:tcPr>
            <w:tcW w:w="280" w:type="dxa"/>
            <w:vAlign w:val="bottom"/>
          </w:tcPr>
          <w:p>
            <w:pPr>
              <w:spacing w:after="0"/>
              <w:rPr>
                <w:sz w:val="12"/>
                <w:szCs w:val="12"/>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Location of Gain</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Recognized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3"/>
              </w:rPr>
              <w:t>of Gain or</w:t>
            </w:r>
          </w:p>
        </w:tc>
        <w:tc>
          <w:tcPr>
            <w:tcW w:w="60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Gain or</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Gain or</w:t>
            </w:r>
          </w:p>
        </w:tc>
        <w:tc>
          <w:tcPr>
            <w:tcW w:w="28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or (Loss)</w:t>
            </w:r>
          </w:p>
        </w:tc>
        <w:tc>
          <w:tcPr>
            <w:tcW w:w="60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in Income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0"/>
              </w:rPr>
              <w:t>(Loss)</w:t>
            </w:r>
          </w:p>
        </w:tc>
        <w:tc>
          <w:tcPr>
            <w:tcW w:w="60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(Loss)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(Loss)</w:t>
            </w:r>
          </w:p>
        </w:tc>
        <w:tc>
          <w:tcPr>
            <w:tcW w:w="28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60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Derivative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89"/>
              </w:rPr>
              <w:t>Recognized</w:t>
            </w:r>
          </w:p>
        </w:tc>
        <w:tc>
          <w:tcPr>
            <w:tcW w:w="60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Reclassified</w:t>
            </w:r>
          </w:p>
        </w:tc>
        <w:tc>
          <w:tcPr>
            <w:tcW w:w="600" w:type="dxa"/>
            <w:vAlign w:val="bottom"/>
          </w:tcPr>
          <w:p>
            <w:pPr>
              <w:spacing w:after="0"/>
              <w:rPr>
                <w:sz w:val="12"/>
                <w:szCs w:val="12"/>
                <w:color w:val="auto"/>
              </w:rPr>
            </w:pPr>
          </w:p>
        </w:tc>
        <w:tc>
          <w:tcPr>
            <w:tcW w:w="11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Reclassified</w:t>
            </w:r>
          </w:p>
        </w:tc>
        <w:tc>
          <w:tcPr>
            <w:tcW w:w="28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Income on</w:t>
            </w:r>
          </w:p>
        </w:tc>
        <w:tc>
          <w:tcPr>
            <w:tcW w:w="60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(Ineffective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in Accumulated</w:t>
            </w:r>
          </w:p>
        </w:tc>
        <w:tc>
          <w:tcPr>
            <w:tcW w:w="60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from</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from</w:t>
            </w:r>
          </w:p>
        </w:tc>
        <w:tc>
          <w:tcPr>
            <w:tcW w:w="28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Derivative</w:t>
            </w:r>
          </w:p>
        </w:tc>
        <w:tc>
          <w:tcPr>
            <w:tcW w:w="60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Portion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rPr>
              <w:t>OCI</w:t>
            </w:r>
          </w:p>
        </w:tc>
        <w:tc>
          <w:tcPr>
            <w:tcW w:w="60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720" w:type="dxa"/>
            <w:vAlign w:val="bottom"/>
            <w:gridSpan w:val="4"/>
          </w:tcPr>
          <w:p>
            <w:pPr>
              <w:jc w:val="center"/>
              <w:ind w:left="222"/>
              <w:spacing w:after="0" w:line="149"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(Ineffective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81"/>
              </w:rPr>
              <w:t>on</w:t>
            </w:r>
          </w:p>
        </w:tc>
        <w:tc>
          <w:tcPr>
            <w:tcW w:w="60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OCI into</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9"/>
              </w:rPr>
              <w:t>OCI into</w:t>
            </w:r>
          </w:p>
        </w:tc>
        <w:tc>
          <w:tcPr>
            <w:tcW w:w="28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Portion and</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Excluded</w:t>
            </w:r>
          </w:p>
        </w:tc>
        <w:tc>
          <w:tcPr>
            <w:tcW w:w="0" w:type="dxa"/>
            <w:vAlign w:val="bottom"/>
          </w:tcPr>
          <w:p>
            <w:pPr>
              <w:spacing w:after="0"/>
              <w:rPr>
                <w:sz w:val="1"/>
                <w:szCs w:val="1"/>
                <w:color w:val="auto"/>
              </w:rPr>
            </w:pPr>
          </w:p>
        </w:tc>
      </w:tr>
      <w:tr>
        <w:trPr>
          <w:trHeight w:val="149"/>
        </w:trPr>
        <w:tc>
          <w:tcPr>
            <w:tcW w:w="2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in Cash</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3"/>
              </w:rPr>
              <w:t>Derivatives</w:t>
            </w:r>
          </w:p>
        </w:tc>
        <w:tc>
          <w:tcPr>
            <w:tcW w:w="60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Income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Income</w:t>
            </w:r>
          </w:p>
        </w:tc>
        <w:tc>
          <w:tcPr>
            <w:tcW w:w="28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Amount Excluded</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49"/>
        </w:trPr>
        <w:tc>
          <w:tcPr>
            <w:tcW w:w="25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1"/>
              </w:rPr>
              <w:t>(Effective</w:t>
            </w:r>
          </w:p>
        </w:tc>
        <w:tc>
          <w:tcPr>
            <w:tcW w:w="60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(Effective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(Effective</w:t>
            </w:r>
          </w:p>
        </w:tc>
        <w:tc>
          <w:tcPr>
            <w:tcW w:w="28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from Effectiveness</w:t>
            </w:r>
          </w:p>
        </w:tc>
        <w:tc>
          <w:tcPr>
            <w:tcW w:w="60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Effectiveness</w:t>
            </w:r>
          </w:p>
        </w:tc>
        <w:tc>
          <w:tcPr>
            <w:tcW w:w="0" w:type="dxa"/>
            <w:vAlign w:val="bottom"/>
          </w:tcPr>
          <w:p>
            <w:pPr>
              <w:spacing w:after="0"/>
              <w:rPr>
                <w:sz w:val="1"/>
                <w:szCs w:val="1"/>
                <w:color w:val="auto"/>
              </w:rPr>
            </w:pPr>
          </w:p>
        </w:tc>
      </w:tr>
      <w:tr>
        <w:trPr>
          <w:trHeight w:val="171"/>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Flow Hedging</w:t>
            </w: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3"/>
              </w:rPr>
              <w:t>Portion)</w:t>
            </w:r>
          </w:p>
        </w:tc>
        <w:tc>
          <w:tcPr>
            <w:tcW w:w="600" w:type="dxa"/>
            <w:vAlign w:val="bottom"/>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Portion)</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3"/>
              </w:rPr>
              <w:t>Portion)</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Testing)</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8"/>
              </w:rPr>
              <w:t>Testing)</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Relationships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60" w:type="dxa"/>
            <w:vAlign w:val="bottom"/>
            <w:gridSpan w:val="2"/>
            <w:vMerge w:val="restart"/>
          </w:tcPr>
          <w:p>
            <w:pPr>
              <w:ind w:left="600"/>
              <w:spacing w:after="0"/>
              <w:rPr>
                <w:sz w:val="20"/>
                <w:szCs w:val="20"/>
                <w:color w:val="auto"/>
              </w:rPr>
            </w:pPr>
            <w:r>
              <w:rPr>
                <w:rFonts w:ascii="Arial" w:cs="Arial" w:eastAsia="Arial" w:hAnsi="Arial"/>
                <w:sz w:val="18"/>
                <w:szCs w:val="18"/>
                <w:color w:val="auto"/>
              </w:rPr>
              <w:t>Selling, general and</w:t>
            </w:r>
          </w:p>
        </w:tc>
        <w:tc>
          <w:tcPr>
            <w:tcW w:w="14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2000" w:type="dxa"/>
            <w:vAlign w:val="bottom"/>
            <w:gridSpan w:val="2"/>
            <w:vMerge w:val="restart"/>
          </w:tcPr>
          <w:p>
            <w:pPr>
              <w:ind w:left="280"/>
              <w:spacing w:after="0"/>
              <w:rPr>
                <w:sz w:val="20"/>
                <w:szCs w:val="20"/>
                <w:color w:val="auto"/>
              </w:rPr>
            </w:pPr>
            <w:r>
              <w:rPr>
                <w:rFonts w:ascii="Arial" w:cs="Arial" w:eastAsia="Arial" w:hAnsi="Arial"/>
                <w:sz w:val="18"/>
                <w:szCs w:val="18"/>
                <w:color w:val="auto"/>
              </w:rPr>
              <w:t>Selling, general and</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Foreign currency forward</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6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ind w:left="200"/>
              <w:spacing w:after="0"/>
              <w:rPr>
                <w:sz w:val="20"/>
                <w:szCs w:val="20"/>
                <w:color w:val="auto"/>
              </w:rPr>
            </w:pPr>
            <w:r>
              <w:rPr>
                <w:rFonts w:ascii="Arial" w:cs="Arial" w:eastAsia="Arial" w:hAnsi="Arial"/>
                <w:sz w:val="18"/>
                <w:szCs w:val="18"/>
                <w:color w:val="auto"/>
              </w:rPr>
              <w:t>contracts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160</w:t>
            </w:r>
          </w:p>
        </w:tc>
        <w:tc>
          <w:tcPr>
            <w:tcW w:w="2260" w:type="dxa"/>
            <w:vAlign w:val="bottom"/>
            <w:gridSpan w:val="2"/>
          </w:tcPr>
          <w:p>
            <w:pPr>
              <w:ind w:left="600"/>
              <w:spacing w:after="0"/>
              <w:rPr>
                <w:sz w:val="20"/>
                <w:szCs w:val="20"/>
                <w:color w:val="auto"/>
              </w:rPr>
            </w:pPr>
            <w:r>
              <w:rPr>
                <w:rFonts w:ascii="Arial" w:cs="Arial" w:eastAsia="Arial" w:hAnsi="Arial"/>
                <w:sz w:val="18"/>
                <w:szCs w:val="18"/>
                <w:color w:val="auto"/>
              </w:rPr>
              <w:t>administrative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601</w:t>
            </w:r>
          </w:p>
        </w:tc>
        <w:tc>
          <w:tcPr>
            <w:tcW w:w="2000" w:type="dxa"/>
            <w:vAlign w:val="bottom"/>
            <w:gridSpan w:val="2"/>
          </w:tcPr>
          <w:p>
            <w:pPr>
              <w:ind w:left="280"/>
              <w:spacing w:after="0"/>
              <w:rPr>
                <w:sz w:val="20"/>
                <w:szCs w:val="20"/>
                <w:color w:val="auto"/>
              </w:rPr>
            </w:pPr>
            <w:r>
              <w:rPr>
                <w:rFonts w:ascii="Arial" w:cs="Arial" w:eastAsia="Arial" w:hAnsi="Arial"/>
                <w:sz w:val="18"/>
                <w:szCs w:val="18"/>
                <w:color w:val="auto"/>
              </w:rPr>
              <w:t>administrative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6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20" w:firstLine="225"/>
        <w:spacing w:after="0" w:line="308" w:lineRule="auto"/>
        <w:rPr>
          <w:sz w:val="20"/>
          <w:szCs w:val="20"/>
          <w:color w:val="auto"/>
        </w:rPr>
      </w:pPr>
      <w:r>
        <w:rPr>
          <w:rFonts w:ascii="Arial" w:cs="Arial" w:eastAsia="Arial" w:hAnsi="Arial"/>
          <w:sz w:val="17"/>
          <w:szCs w:val="17"/>
          <w:color w:val="auto"/>
        </w:rPr>
        <w:t>During the three and nine months ended January 1, 2010, the Company did not settle any foreign currency forward contracts; therefore, there were no realized gains or losses during the three and nine months ended January 1, 2010 related to derivative instruments.</w:t>
      </w:r>
    </w:p>
    <w:p>
      <w:pPr>
        <w:spacing w:after="0" w:line="38" w:lineRule="exact"/>
        <w:rPr>
          <w:sz w:val="20"/>
          <w:szCs w:val="20"/>
          <w:color w:val="auto"/>
        </w:rPr>
      </w:pPr>
    </w:p>
    <w:p>
      <w:pPr>
        <w:ind w:right="260" w:firstLine="215"/>
        <w:spacing w:after="0" w:line="312" w:lineRule="auto"/>
        <w:rPr>
          <w:sz w:val="20"/>
          <w:szCs w:val="20"/>
          <w:color w:val="auto"/>
        </w:rPr>
      </w:pPr>
      <w:r>
        <w:rPr>
          <w:rFonts w:ascii="Arial" w:cs="Arial" w:eastAsia="Arial" w:hAnsi="Arial"/>
          <w:sz w:val="16"/>
          <w:szCs w:val="16"/>
          <w:color w:val="auto"/>
        </w:rPr>
        <w:t>At December 31, 2010, the estimated net existing income that is expected to be reclassified into income within the next twelve months is approximately $0.2 million. Foreign currency forward contracts usually mature within approximately twelve months from their inception. There were no gains or losses from ineffectiveness of these financial instruments recorded for the three and nine months ended December 31, 2010 and January 1, 2010.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The Company records compensation expense associated with stock options, restricted stock unit awards and other stock-based compensation in accordance with the authoritative guidance for share-based payments (Statement of Financial Accounting Standards (SFAS) No. 123R (SFAS 123R), “Share-Based Payment” / Accounting Standards Codification (ASC) 718 (ASC 718)). The Company recognizes these compensation costs on a straight-line basis over the requisite service period of the award. The Company recognized $4.4 million and $12.7 million of stock-based compensation expense for the three and nine months ended December 31, 2010, respectively. The Company recognized $3.3 million and $8.4 million of stock-based compensation expense for the three and nine months ended January 1, 2010, respectively.</w:t>
      </w:r>
    </w:p>
    <w:p>
      <w:pPr>
        <w:spacing w:after="0" w:line="70" w:lineRule="exact"/>
        <w:rPr>
          <w:sz w:val="20"/>
          <w:szCs w:val="20"/>
          <w:color w:val="auto"/>
        </w:rPr>
      </w:pPr>
    </w:p>
    <w:p>
      <w:pPr>
        <w:ind w:right="240" w:firstLine="225"/>
        <w:spacing w:after="0" w:line="257" w:lineRule="auto"/>
        <w:rPr>
          <w:sz w:val="20"/>
          <w:szCs w:val="20"/>
          <w:color w:val="auto"/>
        </w:rPr>
      </w:pPr>
      <w:r>
        <w:rPr>
          <w:rFonts w:ascii="Arial" w:cs="Arial" w:eastAsia="Arial" w:hAnsi="Arial"/>
          <w:sz w:val="18"/>
          <w:szCs w:val="18"/>
          <w:color w:val="auto"/>
        </w:rPr>
        <w:t>For the nine months ended December 31, 2010 the Company recorded no incremental tax benefits from stock options exercised and restricted stock unit award vesting as the excess tax benefit from stock options exercised and restricted stock unit award vesting increased the Company’s net operating loss carryforward. The Company recorded incremental tax benefits from stock options exercised and restricted stock unit awards vesting of $1.1 million for the nine months ended January 1, 2010 which were classified as part of cash flows from financing activities in the condensed consolidated statements of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60" w:firstLine="215"/>
        <w:spacing w:after="0" w:line="254" w:lineRule="auto"/>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(Financial Accounting Standards Board (FASB) Interpretation No. 48 (FIN 48), “Accounting for Uncertainty in Income Taxes — an interpretation of FASB Statement No. 109” /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current and deferred income tax assets and liabilities, accounting for interest and penalties associated with tax positions, and income tax disclosures.</w:t>
      </w:r>
    </w:p>
    <w:p>
      <w:pPr>
        <w:spacing w:after="0" w:line="84"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Current income tax expense is the amount of income taxes expected to be payable for the current year. 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 Deferred income tax expense (benefit) is the net change during the year in the deferred income tax asset or liability.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authoritative guidance</w:t>
      </w:r>
    </w:p>
    <w:p>
      <w:pPr>
        <w:spacing w:after="0" w:line="11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In October 2009, the FASB issued authoritative guidance for revenue recognition with multiple deliverables (Emerging Issues Task Force 08-1 (EITF 08-1), “Revenue Arrangements with Multiple Deliverables”). This new guidance impacts the determination of</w:t>
      </w:r>
    </w:p>
    <w:p>
      <w:pPr>
        <w:sectPr>
          <w:pgSz w:w="11900" w:h="16838" w:orient="portrait"/>
          <w:cols w:equalWidth="0" w:num="1">
            <w:col w:w="11420"/>
          </w:cols>
          <w:pgMar w:left="240" w:top="419" w:right="239"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when the individual deliverables included in a multiple-element arrangement may be treated as separate units of accounting. Additionally, this guidance modifies the manner in which the transaction consideration is allocated across the separately identified deliverables by no longer permitting the residual method of allocating arrangement consideration. This guidance will be effective for the Company beginning in the first quarter of fiscal year 2012; however, early adoption is permitted. The Company is currently evaluating the impact that the authoritative guidance may have on its consolidated financial statements and disclosures.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 Recognition</w:t>
      </w:r>
    </w:p>
    <w:p>
      <w:pPr>
        <w:spacing w:after="0" w:line="121" w:lineRule="exact"/>
        <w:rPr>
          <w:sz w:val="20"/>
          <w:szCs w:val="20"/>
          <w:color w:val="auto"/>
        </w:rPr>
      </w:pPr>
    </w:p>
    <w:p>
      <w:pPr>
        <w:ind w:right="20" w:firstLine="215"/>
        <w:spacing w:after="0" w:line="288" w:lineRule="auto"/>
        <w:rPr>
          <w:sz w:val="20"/>
          <w:szCs w:val="20"/>
          <w:color w:val="auto"/>
        </w:rPr>
      </w:pPr>
      <w:r>
        <w:rPr>
          <w:rFonts w:ascii="Arial" w:cs="Arial" w:eastAsia="Arial" w:hAnsi="Arial"/>
          <w:sz w:val="16"/>
          <w:szCs w:val="16"/>
          <w:color w:val="auto"/>
        </w:rPr>
        <w:t>A substantial portion of the Company’s revenues are derived from long-term contracts requiring development and delivery of complex equipment built to customer specifications. Sales related to long-term contracts are accounted for under authoritative guidance for the percentage-of-completion method of accounting (the AICPA’s Statement of Position 81-1 (SOP 81-1), “Accounting for Performance of Construction-Type and Certain Production-Type Contracts”</w:t>
      </w:r>
    </w:p>
    <w:p>
      <w:pPr>
        <w:ind w:right="20" w:firstLine="8"/>
        <w:spacing w:after="0" w:line="254" w:lineRule="auto"/>
        <w:tabs>
          <w:tab w:leader="none" w:pos="95" w:val="left"/>
        </w:tabs>
        <w:numPr>
          <w:ilvl w:val="0"/>
          <w:numId w:val="3"/>
        </w:numPr>
        <w:rPr>
          <w:rFonts w:ascii="Arial" w:cs="Arial" w:eastAsia="Arial" w:hAnsi="Arial"/>
          <w:sz w:val="18"/>
          <w:szCs w:val="18"/>
          <w:color w:val="auto"/>
        </w:rPr>
      </w:pPr>
      <w:r>
        <w:rPr>
          <w:rFonts w:ascii="Arial" w:cs="Arial" w:eastAsia="Arial" w:hAnsi="Arial"/>
          <w:sz w:val="18"/>
          <w:szCs w:val="18"/>
          <w:color w:val="auto"/>
        </w:rPr>
        <w:t>ASC 605-35). Sales and earnings under these contracts are recorded either based on the ratio of actual costs incurred to date to total estimated costs expected to be incurred related to the contract or as products are shipped under the units-of-delivery method. Anticipated losses on contracts are recognized in full in the period in which losses become probable and estimable. Changes in estimates of profit or loss on contracts are included in earnings on a cumulative basis in the period the estimate is changed.</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June 2010, the Company performed extensive integration testing of numerous system components that had been separately developed as part of 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government satellite communication program. As a result of this testing and subsequent internal reviews and analyses, the Company determined that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significant additional rework was required in order to complete the program requirements and specifications and to prepare for a scheduled customer test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fiscal second quarter. This additional rework and engineering effort resulted in a substantial increase in estimated labor and material costs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complete the program. Accordingly, the Company recorded an additional forward loss of $8.5 million in the three months ended July 2, 2010 related to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estimate of program costs. While the Company believes the additional forward loss is adequate to cover known risks to date and that steps taken to improve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program performance will be effective, the program is on going and the Company’s efforts and the end results must be satisfactory to the customer.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believes that its estimate of costs to complete the program is appropriate based on known information, but cannot provide absolute assurance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additional costs will not be incurred. Including this program, during the three months ended December 31, 2010 and January 1, 2010, the Company recorded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losses of approximately $2.3 million and $0.6 million, respectively, related to loss contracts. Including this program, during the nine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2010 and January 1, 2010, the Company recorded losses of approximately $11.5 million and $5.7 million, respectively, related to loss contracts.</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also has contracts and purchase orders where revenue is recorded on delivery of products or performance of services in accordance with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authoritative guidance for revenue recognition (Staff Accounting Bulletin No. 104, “Revenue Recognition” / ASC 605). Under this standard,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recognizes revenue when an arrangement exists, prices are determinable, collectability is reasonably assured and the goods or services have been delivered.</w:t>
      </w:r>
    </w:p>
    <w:p>
      <w:pPr>
        <w:spacing w:after="0" w:line="126" w:lineRule="exact"/>
        <w:rPr>
          <w:sz w:val="20"/>
          <w:szCs w:val="20"/>
          <w:color w:val="auto"/>
        </w:rPr>
      </w:pPr>
    </w:p>
    <w:p>
      <w:pPr>
        <w:ind w:right="40" w:firstLine="222"/>
        <w:spacing w:after="0" w:line="286" w:lineRule="auto"/>
        <w:rPr>
          <w:sz w:val="20"/>
          <w:szCs w:val="20"/>
          <w:color w:val="auto"/>
        </w:rPr>
      </w:pPr>
      <w:r>
        <w:rPr>
          <w:rFonts w:ascii="Arial" w:cs="Arial" w:eastAsia="Arial" w:hAnsi="Arial"/>
          <w:sz w:val="16"/>
          <w:szCs w:val="16"/>
          <w:color w:val="auto"/>
        </w:rPr>
        <w:t>The Company also enters into certain leasing arrangements with customers and evaluates the contracts in accordance with the authoritative guidance for leases (SFAS 13, “Leases” / ASC 840). The Company’s accounting for equipment leases involves specific determinations under the authoritative guidance for leases, which often involve complex provisions and significant judgments. In accordance with the authoritative guidance for leases, the Company classifies the transactions as sales type or operating leases based on (1) review for transfers of ownership of the property to the lessee by the end of the lease term,</w:t>
      </w:r>
    </w:p>
    <w:p>
      <w:pPr>
        <w:spacing w:after="0" w:line="2" w:lineRule="exact"/>
        <w:rPr>
          <w:sz w:val="20"/>
          <w:szCs w:val="20"/>
          <w:color w:val="auto"/>
        </w:rPr>
      </w:pPr>
    </w:p>
    <w:p>
      <w:pPr>
        <w:ind w:right="20" w:firstLine="8"/>
        <w:spacing w:after="0" w:line="269" w:lineRule="auto"/>
        <w:tabs>
          <w:tab w:leader="none" w:pos="255" w:val="left"/>
        </w:tabs>
        <w:numPr>
          <w:ilvl w:val="0"/>
          <w:numId w:val="4"/>
        </w:numPr>
        <w:rPr>
          <w:rFonts w:ascii="Arial" w:cs="Arial" w:eastAsia="Arial" w:hAnsi="Arial"/>
          <w:sz w:val="17"/>
          <w:szCs w:val="17"/>
          <w:color w:val="auto"/>
        </w:rPr>
      </w:pPr>
      <w:r>
        <w:rPr>
          <w:rFonts w:ascii="Arial" w:cs="Arial" w:eastAsia="Arial" w:hAnsi="Arial"/>
          <w:sz w:val="17"/>
          <w:szCs w:val="17"/>
          <w:color w:val="auto"/>
        </w:rPr>
        <w:t>review of the lease terms to determine if it contains an option to purchase the leased property for a price which is sufficiently lower than the expected fair value of the property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the Company considers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60" w:firstLine="222"/>
        <w:spacing w:after="0" w:line="293" w:lineRule="auto"/>
        <w:rPr>
          <w:sz w:val="20"/>
          <w:szCs w:val="20"/>
          <w:color w:val="auto"/>
        </w:rPr>
      </w:pPr>
      <w:r>
        <w:rPr>
          <w:rFonts w:ascii="Arial" w:cs="Arial" w:eastAsia="Arial" w:hAnsi="Arial"/>
          <w:sz w:val="16"/>
          <w:szCs w:val="16"/>
          <w:color w:val="auto"/>
        </w:rPr>
        <w:t>When a sale involves multiple elements, such as sales of products that include services, the entire fee from the arrangement is allocated to each respective element based on its relative fair value in accordance with authoritative guidance for accounting for multiple element revenue arrangements, (EITF 00-21, “Accounting for Multiple Element Revenue Arrangements” / ASC 605-25), and recognized when the applicable revenue recognition criteria for each element have been met. The amount of product and service revenue recognized is impacted by the Company’s judgments as to whether an arrangement includes multiple elements and, if so, whether sufficient objective and reliable evidence of fair value exists for those elements. Changes to the elements in an arrangement and the Company’s ability to establish evidence of fair value for those elements could affect the timing of the revenue recognition.</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accordance with authoritative guidance for shipping and handling fees and costs (EITF 00-10, “Accounting for Shipping and Handling Fees and Costs”</w:t>
      </w:r>
    </w:p>
    <w:p>
      <w:pPr>
        <w:spacing w:after="0" w:line="46" w:lineRule="exact"/>
        <w:rPr>
          <w:sz w:val="20"/>
          <w:szCs w:val="20"/>
          <w:color w:val="auto"/>
        </w:rPr>
      </w:pPr>
    </w:p>
    <w:p>
      <w:pPr>
        <w:ind w:right="160" w:firstLine="8"/>
        <w:spacing w:after="0" w:line="261" w:lineRule="auto"/>
        <w:tabs>
          <w:tab w:leader="none" w:pos="95" w:val="left"/>
        </w:tabs>
        <w:numPr>
          <w:ilvl w:val="0"/>
          <w:numId w:val="5"/>
        </w:numPr>
        <w:rPr>
          <w:rFonts w:ascii="Arial" w:cs="Arial" w:eastAsia="Arial" w:hAnsi="Arial"/>
          <w:sz w:val="18"/>
          <w:szCs w:val="18"/>
          <w:color w:val="auto"/>
        </w:rPr>
      </w:pPr>
      <w:r>
        <w:rPr>
          <w:rFonts w:ascii="Arial" w:cs="Arial" w:eastAsia="Arial" w:hAnsi="Arial"/>
          <w:sz w:val="18"/>
          <w:szCs w:val="18"/>
          <w:color w:val="auto"/>
        </w:rPr>
        <w:t>ASC 605-45), the Company records shipping and handling costs billed to customers as a component of revenues, and shipping and handling costs incurred by the Company for inbound and outbound freight are recorded as a component of cost of revenues.</w:t>
      </w:r>
    </w:p>
    <w:p>
      <w:pPr>
        <w:spacing w:after="0" w:line="76" w:lineRule="exact"/>
        <w:rPr>
          <w:sz w:val="20"/>
          <w:szCs w:val="20"/>
          <w:color w:val="auto"/>
        </w:rPr>
      </w:pPr>
    </w:p>
    <w:p>
      <w:pPr>
        <w:ind w:right="300" w:firstLine="225"/>
        <w:spacing w:after="0" w:line="264" w:lineRule="auto"/>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twelve months. Amounts for obligations extending beyond the twelve months are recorded within other liabilities in the condensed consolidated financial statements.</w:t>
      </w:r>
    </w:p>
    <w:p>
      <w:pPr>
        <w:spacing w:after="0" w:line="73"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Contract costs on U.S. government contracts, including indirect costs, are subject to audit and negotiations with U.S. government representatives. These audits have been completed and agreed upon through fiscal year 2002. Contract revenues and accounts receivable are stated at amounts which are expected to be realized upon final settlement.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121" w:lineRule="exact"/>
        <w:rPr>
          <w:sz w:val="20"/>
          <w:szCs w:val="20"/>
          <w:color w:val="auto"/>
        </w:rPr>
      </w:pPr>
    </w:p>
    <w:p>
      <w:pPr>
        <w:ind w:right="320" w:firstLine="225"/>
        <w:spacing w:after="0" w:line="342" w:lineRule="auto"/>
        <w:rPr>
          <w:sz w:val="20"/>
          <w:szCs w:val="20"/>
          <w:color w:val="auto"/>
        </w:rPr>
      </w:pPr>
      <w:r>
        <w:rPr>
          <w:rFonts w:ascii="Arial" w:cs="Arial" w:eastAsia="Arial" w:hAnsi="Arial"/>
          <w:sz w:val="16"/>
          <w:szCs w:val="16"/>
          <w:color w:val="auto"/>
        </w:rPr>
        <w:t>In accordance with the authoritative guidance for financial assets and liabilities measured at fair value on a recurring basis (SFAS 157, “Fair Value Measurements” / ASC 820), the Company prioritizes the inputs used to measure fair value from market-based assumptions to entity specific assumptions:</w:t>
      </w:r>
    </w:p>
    <w:p>
      <w:pPr>
        <w:spacing w:after="0" w:line="16"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117" w:lineRule="exact"/>
        <w:rPr>
          <w:rFonts w:ascii="Arial" w:cs="Arial" w:eastAsia="Arial" w:hAnsi="Arial"/>
          <w:sz w:val="18"/>
          <w:szCs w:val="18"/>
          <w:b w:val="1"/>
          <w:bCs w:val="1"/>
          <w:color w:val="auto"/>
        </w:rPr>
      </w:pPr>
    </w:p>
    <w:p>
      <w:pPr>
        <w:ind w:left="460" w:right="280" w:hanging="452"/>
        <w:spacing w:after="0" w:line="264" w:lineRule="auto"/>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73" w:lineRule="exact"/>
        <w:rPr>
          <w:rFonts w:ascii="Arial" w:cs="Arial" w:eastAsia="Arial" w:hAnsi="Arial"/>
          <w:sz w:val="18"/>
          <w:szCs w:val="18"/>
          <w:b w:val="1"/>
          <w:bCs w:val="1"/>
          <w:color w:val="auto"/>
        </w:rPr>
      </w:pPr>
    </w:p>
    <w:p>
      <w:pPr>
        <w:ind w:left="460" w:right="200" w:hanging="452"/>
        <w:spacing w:after="0" w:line="277" w:lineRule="auto"/>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62"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Effective April 4, 2009, the Company adopted the authoritative guidance for non-financial assets and liabilities that are remeasured at fair value on a non-recurring basis without material impact on its consolidated financial statements and disclosures.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tables present the Company’s hierarchy for its assets and liabilities measured at fair value on a recurring basis as of December 31, 2010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2, 2010: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60" w:type="dxa"/>
            <w:vAlign w:val="bottom"/>
            <w:gridSpan w:val="5"/>
          </w:tcPr>
          <w:p>
            <w:pPr>
              <w:ind w:left="180"/>
              <w:spacing w:after="0"/>
              <w:rPr>
                <w:sz w:val="20"/>
                <w:szCs w:val="20"/>
                <w:color w:val="auto"/>
              </w:rPr>
            </w:pPr>
            <w:r>
              <w:rPr>
                <w:rFonts w:ascii="Arial" w:cs="Arial" w:eastAsia="Arial" w:hAnsi="Arial"/>
                <w:sz w:val="14"/>
                <w:szCs w:val="14"/>
                <w:b w:val="1"/>
                <w:bCs w:val="1"/>
                <w:color w:val="auto"/>
              </w:rPr>
              <w:t>Fair Value at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vMerge w:val="restart"/>
          </w:tcPr>
          <w:p>
            <w:pPr>
              <w:jc w:val="right"/>
              <w:ind w:right="708"/>
              <w:spacing w:after="0"/>
              <w:rPr>
                <w:sz w:val="20"/>
                <w:szCs w:val="20"/>
                <w:color w:val="auto"/>
              </w:rPr>
            </w:pPr>
            <w:r>
              <w:rPr>
                <w:rFonts w:ascii="Arial" w:cs="Arial" w:eastAsia="Arial" w:hAnsi="Arial"/>
                <w:sz w:val="14"/>
                <w:szCs w:val="14"/>
                <w:b w:val="1"/>
                <w:bCs w:val="1"/>
                <w:color w:val="auto"/>
                <w:w w:val="88"/>
              </w:rPr>
              <w:t>Level 1</w:t>
            </w:r>
          </w:p>
        </w:tc>
        <w:tc>
          <w:tcPr>
            <w:tcW w:w="80" w:type="dxa"/>
            <w:vAlign w:val="bottom"/>
          </w:tcPr>
          <w:p>
            <w:pPr>
              <w:spacing w:after="0"/>
              <w:rPr>
                <w:sz w:val="14"/>
                <w:szCs w:val="14"/>
                <w:color w:val="auto"/>
              </w:rPr>
            </w:pPr>
          </w:p>
        </w:tc>
        <w:tc>
          <w:tcPr>
            <w:tcW w:w="92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w w:val="96"/>
              </w:rPr>
              <w:t>Level 2</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60" w:type="dxa"/>
            <w:vAlign w:val="bottom"/>
            <w:gridSpan w:val="5"/>
          </w:tcPr>
          <w:p>
            <w:pPr>
              <w:spacing w:after="0"/>
              <w:rPr>
                <w:sz w:val="20"/>
                <w:szCs w:val="20"/>
                <w:color w:val="auto"/>
              </w:rPr>
            </w:pPr>
            <w:r>
              <w:rPr>
                <w:rFonts w:ascii="Arial" w:cs="Arial" w:eastAsia="Arial" w:hAnsi="Arial"/>
                <w:sz w:val="14"/>
                <w:szCs w:val="14"/>
                <w:b w:val="1"/>
                <w:bCs w:val="1"/>
                <w:color w:val="auto"/>
              </w:rPr>
              <w:t>December 31, 2010</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ind w:right="108"/>
              <w:spacing w:after="0" w:line="142" w:lineRule="exact"/>
              <w:rPr>
                <w:sz w:val="20"/>
                <w:szCs w:val="20"/>
                <w:color w:val="auto"/>
              </w:rPr>
            </w:pPr>
            <w:r>
              <w:rPr>
                <w:rFonts w:ascii="Arial" w:cs="Arial" w:eastAsia="Arial" w:hAnsi="Arial"/>
                <w:sz w:val="14"/>
                <w:szCs w:val="14"/>
                <w:b w:val="1"/>
                <w:bCs w:val="1"/>
                <w:color w:val="auto"/>
              </w:rPr>
              <w:t>(In</w:t>
            </w:r>
          </w:p>
        </w:tc>
        <w:tc>
          <w:tcPr>
            <w:tcW w:w="660" w:type="dxa"/>
            <w:vAlign w:val="bottom"/>
          </w:tcPr>
          <w:p>
            <w:pPr>
              <w:spacing w:after="0" w:line="142" w:lineRule="exact"/>
              <w:rPr>
                <w:sz w:val="20"/>
                <w:szCs w:val="20"/>
                <w:color w:val="auto"/>
              </w:rPr>
            </w:pPr>
            <w:r>
              <w:rPr>
                <w:rFonts w:ascii="Arial" w:cs="Arial" w:eastAsia="Arial" w:hAnsi="Arial"/>
                <w:sz w:val="14"/>
                <w:szCs w:val="14"/>
                <w:b w:val="1"/>
                <w:bCs w:val="1"/>
                <w:color w:val="auto"/>
                <w:w w:val="82"/>
              </w:rPr>
              <w:t>thousands)</w:t>
            </w: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200"/>
              <w:spacing w:after="0"/>
              <w:rPr>
                <w:sz w:val="20"/>
                <w:szCs w:val="20"/>
                <w:color w:val="auto"/>
              </w:rPr>
            </w:pPr>
            <w:r>
              <w:rPr>
                <w:rFonts w:ascii="Arial" w:cs="Arial" w:eastAsia="Arial" w:hAnsi="Arial"/>
                <w:sz w:val="18"/>
                <w:szCs w:val="18"/>
                <w:color w:val="auto"/>
              </w:rPr>
              <w:t>Cash equivalents</w:t>
            </w:r>
          </w:p>
        </w:tc>
        <w:tc>
          <w:tcPr>
            <w:tcW w:w="168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5,748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588"/>
              <w:spacing w:after="0"/>
              <w:rPr>
                <w:sz w:val="20"/>
                <w:szCs w:val="20"/>
                <w:color w:val="auto"/>
              </w:rPr>
            </w:pPr>
            <w:r>
              <w:rPr>
                <w:rFonts w:ascii="Arial" w:cs="Arial" w:eastAsia="Arial" w:hAnsi="Arial"/>
                <w:sz w:val="18"/>
                <w:szCs w:val="18"/>
                <w:color w:val="auto"/>
              </w:rPr>
              <w:t>4,033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1,715</w:t>
            </w:r>
          </w:p>
        </w:tc>
        <w:tc>
          <w:tcPr>
            <w:tcW w:w="3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forward contracts</w:t>
            </w: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160</w:t>
            </w: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14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5,908</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4,033</w:t>
            </w:r>
          </w:p>
        </w:tc>
        <w:tc>
          <w:tcPr>
            <w:tcW w:w="6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1,875</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3"/>
              </w:rPr>
              <w:t>Fair Value at</w:t>
            </w:r>
          </w:p>
        </w:tc>
        <w:tc>
          <w:tcPr>
            <w:tcW w:w="340" w:type="dxa"/>
            <w:vAlign w:val="bottom"/>
          </w:tcPr>
          <w:p>
            <w:pPr>
              <w:spacing w:after="0"/>
              <w:rPr>
                <w:sz w:val="24"/>
                <w:szCs w:val="24"/>
                <w:color w:val="auto"/>
              </w:rPr>
            </w:pPr>
          </w:p>
        </w:tc>
        <w:tc>
          <w:tcPr>
            <w:tcW w:w="1340" w:type="dxa"/>
            <w:vAlign w:val="bottom"/>
            <w:gridSpan w:val="4"/>
            <w:vMerge w:val="restart"/>
          </w:tcPr>
          <w:p>
            <w:pPr>
              <w:jc w:val="right"/>
              <w:ind w:right="748"/>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24"/>
                <w:szCs w:val="24"/>
                <w:color w:val="auto"/>
              </w:rPr>
            </w:pPr>
          </w:p>
        </w:tc>
        <w:tc>
          <w:tcPr>
            <w:tcW w:w="92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88"/>
              </w:rPr>
              <w:t>Level 2</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4"/>
              </w:rPr>
              <w:t>April 2, 2010</w:t>
            </w:r>
          </w:p>
        </w:tc>
        <w:tc>
          <w:tcPr>
            <w:tcW w:w="340" w:type="dxa"/>
            <w:vAlign w:val="bottom"/>
          </w:tcPr>
          <w:p>
            <w:pPr>
              <w:spacing w:after="0"/>
              <w:rPr>
                <w:sz w:val="14"/>
                <w:szCs w:val="14"/>
                <w:color w:val="auto"/>
              </w:rPr>
            </w:pPr>
          </w:p>
        </w:tc>
        <w:tc>
          <w:tcPr>
            <w:tcW w:w="13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7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82"/>
              </w:rPr>
              <w:t>thousands)</w:t>
            </w: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200"/>
              <w:spacing w:after="0"/>
              <w:rPr>
                <w:sz w:val="20"/>
                <w:szCs w:val="20"/>
                <w:color w:val="auto"/>
              </w:rPr>
            </w:pPr>
            <w:r>
              <w:rPr>
                <w:rFonts w:ascii="Arial" w:cs="Arial" w:eastAsia="Arial" w:hAnsi="Arial"/>
                <w:sz w:val="18"/>
                <w:szCs w:val="18"/>
                <w:color w:val="auto"/>
              </w:rPr>
              <w:t>Cash equivalents</w:t>
            </w:r>
          </w:p>
        </w:tc>
        <w:tc>
          <w:tcPr>
            <w:tcW w:w="1880" w:type="dxa"/>
            <w:vAlign w:val="bottom"/>
            <w:gridSpan w:val="3"/>
          </w:tcPr>
          <w:p>
            <w:pPr>
              <w:jc w:val="right"/>
              <w:ind w:right="48"/>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16,250</w:t>
            </w:r>
          </w:p>
        </w:tc>
        <w:tc>
          <w:tcPr>
            <w:tcW w:w="30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$ 14,810</w:t>
            </w:r>
          </w:p>
        </w:tc>
        <w:tc>
          <w:tcPr>
            <w:tcW w:w="6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1,440</w:t>
            </w:r>
          </w:p>
        </w:tc>
        <w:tc>
          <w:tcPr>
            <w:tcW w:w="3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188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16,250</w:t>
            </w:r>
          </w:p>
        </w:tc>
        <w:tc>
          <w:tcPr>
            <w:tcW w:w="3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$ 14,810</w:t>
            </w:r>
          </w:p>
        </w:tc>
        <w:tc>
          <w:tcPr>
            <w:tcW w:w="6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1,440</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400" w:type="dxa"/>
            <w:vAlign w:val="bottom"/>
            <w:vMerge w:val="restart"/>
          </w:tcPr>
          <w:p>
            <w:pPr>
              <w:jc w:val="right"/>
              <w:ind w:right="29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76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17"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and certified deposit investments. Money market funds are valued</w:t>
      </w:r>
      <w:r>
        <w:rPr>
          <w:rFonts w:ascii="Arial" w:cs="Arial" w:eastAsia="Arial" w:hAnsi="Arial"/>
          <w:sz w:val="18"/>
          <w:szCs w:val="18"/>
          <w:i w:val="1"/>
          <w:iCs w:val="1"/>
          <w:color w:val="auto"/>
        </w:rPr>
        <w:t xml:space="preserve"> </w:t>
      </w:r>
      <w:r>
        <w:rPr>
          <w:rFonts w:ascii="Arial" w:cs="Arial" w:eastAsia="Arial" w:hAnsi="Arial"/>
          <w:sz w:val="18"/>
          <w:szCs w:val="18"/>
          <w:color w:val="auto"/>
        </w:rPr>
        <w:t>using quoted prices for identical assets in an active market with sufficient volume and frequency of transactions (Level 1). Certified deposit investments are valued based on quoted prices for similar assets, quoted prices in markets with insufficient volume or infrequent transactions (less active markets), or brokers’ model driven valuations in which all significant inputs are observable or can be obtained from or corroborated by observable market data for substantially the full term of the assets (Level 2).</w:t>
      </w:r>
    </w:p>
    <w:p>
      <w:pPr>
        <w:spacing w:after="0" w:line="80" w:lineRule="exact"/>
        <w:rPr>
          <w:sz w:val="20"/>
          <w:szCs w:val="20"/>
          <w:color w:val="auto"/>
        </w:rPr>
      </w:pPr>
    </w:p>
    <w:p>
      <w:pPr>
        <w:ind w:right="60" w:firstLine="225"/>
        <w:spacing w:after="0" w:line="272" w:lineRule="auto"/>
        <w:rPr>
          <w:sz w:val="20"/>
          <w:szCs w:val="20"/>
          <w:color w:val="auto"/>
        </w:rPr>
      </w:pPr>
      <w:r>
        <w:rPr>
          <w:rFonts w:ascii="Arial" w:cs="Arial" w:eastAsia="Arial" w:hAnsi="Arial"/>
          <w:sz w:val="17"/>
          <w:szCs w:val="17"/>
          <w:i w:val="1"/>
          <w:iCs w:val="1"/>
          <w:color w:val="auto"/>
        </w:rPr>
        <w:t xml:space="preserve">Foreign currency forward exchange contracts </w:t>
      </w:r>
      <w:r>
        <w:rPr>
          <w:rFonts w:ascii="Arial" w:cs="Arial" w:eastAsia="Arial" w:hAnsi="Arial"/>
          <w:sz w:val="17"/>
          <w:szCs w:val="17"/>
          <w:color w:val="auto"/>
        </w:rPr>
        <w:t>- The Company uses derivative financial instruments to manage foreign currency risk relating to foreign</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rates. The Company does not use these instruments for speculative or trading purposes. The Company’s objective is to reduce the risk to earnings and cash flows associated with changes in foreign currency exchange rates. Derivative instruments are recognized as either assets or liabilities in the accompanying condensed consolidated financial statements and are measured at fair value. Gains and losses resulting from changes in the fair values of those derivative instruments are recorded to earnings or other comprehensive income (loss) depending on the use of the derivative instrument and whether it qualifies for hedge accounting. The Company’s foreign currency forward contracts are valued using quoted prices for similar assets and liabilities in active markets or other inputs that are observable or can be corroborated by observable market data.</w:t>
      </w:r>
    </w:p>
    <w:p>
      <w:pPr>
        <w:spacing w:after="0" w:line="70" w:lineRule="exact"/>
        <w:rPr>
          <w:sz w:val="20"/>
          <w:szCs w:val="20"/>
          <w:color w:val="auto"/>
        </w:rPr>
      </w:pPr>
    </w:p>
    <w:p>
      <w:pPr>
        <w:ind w:right="40" w:firstLine="225"/>
        <w:spacing w:after="0" w:line="291" w:lineRule="auto"/>
        <w:rPr>
          <w:sz w:val="20"/>
          <w:szCs w:val="20"/>
          <w:color w:val="auto"/>
        </w:rPr>
      </w:pP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 As of December 31, 2010 and April 2, 2010, the Company’s long-term debt consisted of borrowings under the Credit Facility reported at</w:t>
      </w:r>
      <w:r>
        <w:rPr>
          <w:rFonts w:ascii="Arial" w:cs="Arial" w:eastAsia="Arial" w:hAnsi="Arial"/>
          <w:sz w:val="16"/>
          <w:szCs w:val="16"/>
          <w:i w:val="1"/>
          <w:iCs w:val="1"/>
          <w:color w:val="auto"/>
        </w:rPr>
        <w:t xml:space="preserve"> </w:t>
      </w:r>
      <w:r>
        <w:rPr>
          <w:rFonts w:ascii="Arial" w:cs="Arial" w:eastAsia="Arial" w:hAnsi="Arial"/>
          <w:sz w:val="16"/>
          <w:szCs w:val="16"/>
          <w:color w:val="auto"/>
        </w:rPr>
        <w:t>the borrowed outstanding amount with current accrued interest, capital lease obligations reported at the present value of future minimum lease payments with current accrued interest, and the Notes reported at amortized cost. However, for disclosure purposes, the Company is required to measure the fair value of outstanding debt on a recurring basis. The fair value of the Company’s long-term debt related to the Notes is determined using quoted prices in active markets and was approximately $292.9 million and $281.2 million as of December 31, 2010 and April 2, 2010, respectively. The fair value of the Company’s long-term debt related to the Credit Facility approximates its carrying amount due to its variable interest rate on the revolving line of credit which approximates a market interest rate. The fair value of the Company’s capital lease obligations is estimated at their carrying value based on current rates.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Shares Used In Computing Diluted Net Income Per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6"/>
          </w:tcPr>
          <w:p>
            <w:pPr>
              <w:jc w:val="right"/>
              <w:ind w:right="888"/>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6"/>
          </w:tcPr>
          <w:p>
            <w:pPr>
              <w:jc w:val="right"/>
              <w:ind w:right="100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500" w:type="dxa"/>
            <w:vAlign w:val="bottom"/>
            <w:tcBorders>
              <w:bottom w:val="single" w:sz="8" w:color="auto"/>
            </w:tcBorders>
            <w:gridSpan w:val="3"/>
          </w:tcPr>
          <w:p>
            <w:pPr>
              <w:ind w:left="160"/>
              <w:spacing w:after="0" w:line="142" w:lineRule="exact"/>
              <w:rPr>
                <w:sz w:val="20"/>
                <w:szCs w:val="20"/>
                <w:color w:val="auto"/>
              </w:rPr>
            </w:pPr>
            <w:r>
              <w:rPr>
                <w:rFonts w:ascii="Arial" w:cs="Arial" w:eastAsia="Arial" w:hAnsi="Arial"/>
                <w:sz w:val="14"/>
                <w:szCs w:val="14"/>
                <w:b w:val="1"/>
                <w:bCs w:val="1"/>
                <w:color w:val="auto"/>
              </w:rPr>
              <w:t>December 31, 2010</w:t>
            </w:r>
          </w:p>
        </w:tc>
        <w:tc>
          <w:tcPr>
            <w:tcW w:w="380" w:type="dxa"/>
            <w:vAlign w:val="bottom"/>
          </w:tcPr>
          <w:p>
            <w:pPr>
              <w:spacing w:after="0"/>
              <w:rPr>
                <w:sz w:val="12"/>
                <w:szCs w:val="12"/>
                <w:color w:val="auto"/>
              </w:rPr>
            </w:pPr>
          </w:p>
        </w:tc>
        <w:tc>
          <w:tcPr>
            <w:tcW w:w="1340" w:type="dxa"/>
            <w:vAlign w:val="bottom"/>
            <w:tcBorders>
              <w:bottom w:val="single" w:sz="8" w:color="auto"/>
            </w:tcBorders>
            <w:gridSpan w:val="3"/>
          </w:tcPr>
          <w:p>
            <w:pPr>
              <w:jc w:val="right"/>
              <w:ind w:right="108"/>
              <w:spacing w:after="0" w:line="142" w:lineRule="exact"/>
              <w:rPr>
                <w:sz w:val="20"/>
                <w:szCs w:val="20"/>
                <w:color w:val="auto"/>
              </w:rPr>
            </w:pPr>
            <w:r>
              <w:rPr>
                <w:rFonts w:ascii="Arial" w:cs="Arial" w:eastAsia="Arial" w:hAnsi="Arial"/>
                <w:sz w:val="14"/>
                <w:szCs w:val="14"/>
                <w:b w:val="1"/>
                <w:bCs w:val="1"/>
                <w:color w:val="auto"/>
              </w:rPr>
              <w:t>January 1, 2010</w:t>
            </w:r>
          </w:p>
        </w:tc>
        <w:tc>
          <w:tcPr>
            <w:tcW w:w="400" w:type="dxa"/>
            <w:vAlign w:val="bottom"/>
          </w:tcPr>
          <w:p>
            <w:pPr>
              <w:spacing w:after="0"/>
              <w:rPr>
                <w:sz w:val="12"/>
                <w:szCs w:val="12"/>
                <w:color w:val="auto"/>
              </w:rPr>
            </w:pPr>
          </w:p>
        </w:tc>
        <w:tc>
          <w:tcPr>
            <w:tcW w:w="1500" w:type="dxa"/>
            <w:vAlign w:val="bottom"/>
            <w:tcBorders>
              <w:bottom w:val="single" w:sz="8" w:color="auto"/>
            </w:tcBorders>
            <w:gridSpan w:val="3"/>
          </w:tcPr>
          <w:p>
            <w:pPr>
              <w:ind w:left="160"/>
              <w:spacing w:after="0" w:line="142" w:lineRule="exact"/>
              <w:rPr>
                <w:sz w:val="20"/>
                <w:szCs w:val="20"/>
                <w:color w:val="auto"/>
              </w:rPr>
            </w:pPr>
            <w:r>
              <w:rPr>
                <w:rFonts w:ascii="Arial" w:cs="Arial" w:eastAsia="Arial" w:hAnsi="Arial"/>
                <w:sz w:val="14"/>
                <w:szCs w:val="14"/>
                <w:b w:val="1"/>
                <w:bCs w:val="1"/>
                <w:color w:val="auto"/>
              </w:rPr>
              <w:t>December 31, 2010</w:t>
            </w:r>
          </w:p>
        </w:tc>
        <w:tc>
          <w:tcPr>
            <w:tcW w:w="380" w:type="dxa"/>
            <w:vAlign w:val="bottom"/>
          </w:tcPr>
          <w:p>
            <w:pPr>
              <w:spacing w:after="0"/>
              <w:rPr>
                <w:sz w:val="12"/>
                <w:szCs w:val="12"/>
                <w:color w:val="auto"/>
              </w:rPr>
            </w:pPr>
          </w:p>
        </w:tc>
        <w:tc>
          <w:tcPr>
            <w:tcW w:w="1340" w:type="dxa"/>
            <w:vAlign w:val="bottom"/>
            <w:tcBorders>
              <w:bottom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January 1, 2010</w:t>
            </w: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90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560" w:type="dxa"/>
            <w:vAlign w:val="bottom"/>
          </w:tcPr>
          <w:p>
            <w:pPr>
              <w:spacing w:after="0" w:line="201" w:lineRule="exact"/>
              <w:rPr>
                <w:sz w:val="20"/>
                <w:szCs w:val="20"/>
                <w:color w:val="auto"/>
              </w:rPr>
            </w:pPr>
            <w:r>
              <w:rPr>
                <w:rFonts w:ascii="Arial" w:cs="Arial" w:eastAsia="Arial" w:hAnsi="Arial"/>
                <w:sz w:val="18"/>
                <w:szCs w:val="18"/>
                <w:color w:val="auto"/>
                <w:w w:val="98"/>
              </w:rPr>
              <w:t>Common shares outstanding used in calculating basic net</w:t>
            </w: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income per share attributable to ViaSat, Inc. common</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stockholders</w:t>
            </w:r>
          </w:p>
        </w:tc>
        <w:tc>
          <w:tcPr>
            <w:tcW w:w="1500" w:type="dxa"/>
            <w:vAlign w:val="bottom"/>
            <w:gridSpan w:val="3"/>
          </w:tcPr>
          <w:p>
            <w:pPr>
              <w:jc w:val="right"/>
              <w:ind w:right="500"/>
              <w:spacing w:after="0"/>
              <w:rPr>
                <w:sz w:val="20"/>
                <w:szCs w:val="20"/>
                <w:color w:val="auto"/>
              </w:rPr>
            </w:pPr>
            <w:r>
              <w:rPr>
                <w:rFonts w:ascii="Arial" w:cs="Arial" w:eastAsia="Arial" w:hAnsi="Arial"/>
                <w:sz w:val="18"/>
                <w:szCs w:val="18"/>
                <w:color w:val="auto"/>
              </w:rPr>
              <w:t>41,205</w:t>
            </w:r>
          </w:p>
        </w:tc>
        <w:tc>
          <w:tcPr>
            <w:tcW w:w="1720" w:type="dxa"/>
            <w:vAlign w:val="bottom"/>
            <w:gridSpan w:val="4"/>
          </w:tcPr>
          <w:p>
            <w:pPr>
              <w:jc w:val="right"/>
              <w:ind w:right="348"/>
              <w:spacing w:after="0"/>
              <w:rPr>
                <w:sz w:val="20"/>
                <w:szCs w:val="20"/>
                <w:color w:val="auto"/>
              </w:rPr>
            </w:pPr>
            <w:r>
              <w:rPr>
                <w:rFonts w:ascii="Arial" w:cs="Arial" w:eastAsia="Arial" w:hAnsi="Arial"/>
                <w:sz w:val="18"/>
                <w:szCs w:val="18"/>
                <w:color w:val="auto"/>
              </w:rPr>
              <w:t>32,777</w:t>
            </w:r>
          </w:p>
        </w:tc>
        <w:tc>
          <w:tcPr>
            <w:tcW w:w="1900" w:type="dxa"/>
            <w:vAlign w:val="bottom"/>
            <w:gridSpan w:val="4"/>
          </w:tcPr>
          <w:p>
            <w:pPr>
              <w:jc w:val="right"/>
              <w:ind w:right="500"/>
              <w:spacing w:after="0"/>
              <w:rPr>
                <w:sz w:val="20"/>
                <w:szCs w:val="20"/>
                <w:color w:val="auto"/>
              </w:rPr>
            </w:pPr>
            <w:r>
              <w:rPr>
                <w:rFonts w:ascii="Arial" w:cs="Arial" w:eastAsia="Arial" w:hAnsi="Arial"/>
                <w:sz w:val="18"/>
                <w:szCs w:val="18"/>
                <w:color w:val="auto"/>
              </w:rPr>
              <w:t>40,604</w:t>
            </w:r>
          </w:p>
        </w:tc>
        <w:tc>
          <w:tcPr>
            <w:tcW w:w="1720" w:type="dxa"/>
            <w:vAlign w:val="bottom"/>
            <w:gridSpan w:val="4"/>
          </w:tcPr>
          <w:p>
            <w:pPr>
              <w:jc w:val="right"/>
              <w:ind w:right="420"/>
              <w:spacing w:after="0"/>
              <w:rPr>
                <w:sz w:val="20"/>
                <w:szCs w:val="20"/>
                <w:color w:val="auto"/>
              </w:rPr>
            </w:pPr>
            <w:r>
              <w:rPr>
                <w:rFonts w:ascii="Arial" w:cs="Arial" w:eastAsia="Arial" w:hAnsi="Arial"/>
                <w:sz w:val="18"/>
                <w:szCs w:val="18"/>
                <w:color w:val="auto"/>
              </w:rPr>
              <w:t>31,863</w:t>
            </w: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Options to purchase common stock as determined by</w:t>
            </w: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application of the treasury stock method</w:t>
            </w:r>
          </w:p>
        </w:tc>
        <w:tc>
          <w:tcPr>
            <w:tcW w:w="15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1,636</w:t>
            </w:r>
          </w:p>
        </w:tc>
        <w:tc>
          <w:tcPr>
            <w:tcW w:w="1720" w:type="dxa"/>
            <w:vAlign w:val="bottom"/>
            <w:gridSpan w:val="4"/>
            <w:shd w:val="clear" w:color="auto" w:fill="CCEEFF"/>
          </w:tcPr>
          <w:p>
            <w:pPr>
              <w:jc w:val="right"/>
              <w:ind w:right="348"/>
              <w:spacing w:after="0"/>
              <w:rPr>
                <w:sz w:val="20"/>
                <w:szCs w:val="20"/>
                <w:color w:val="auto"/>
              </w:rPr>
            </w:pPr>
            <w:r>
              <w:rPr>
                <w:rFonts w:ascii="Arial" w:cs="Arial" w:eastAsia="Arial" w:hAnsi="Arial"/>
                <w:sz w:val="18"/>
                <w:szCs w:val="18"/>
                <w:color w:val="auto"/>
              </w:rPr>
              <w:t>1,603</w:t>
            </w:r>
          </w:p>
        </w:tc>
        <w:tc>
          <w:tcPr>
            <w:tcW w:w="190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1,638</w:t>
            </w:r>
          </w:p>
        </w:tc>
        <w:tc>
          <w:tcPr>
            <w:tcW w:w="17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1,335</w:t>
            </w:r>
          </w:p>
        </w:tc>
      </w:tr>
      <w:tr>
        <w:trPr>
          <w:trHeight w:val="202"/>
        </w:trPr>
        <w:tc>
          <w:tcPr>
            <w:tcW w:w="20" w:type="dxa"/>
            <w:vAlign w:val="bottom"/>
          </w:tcPr>
          <w:p>
            <w:pPr>
              <w:spacing w:after="0"/>
              <w:rPr>
                <w:sz w:val="17"/>
                <w:szCs w:val="17"/>
                <w:color w:val="auto"/>
              </w:rPr>
            </w:pP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Restricted stock units to acquire common stock as</w:t>
            </w: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determined by application of the treasury stock</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method</w:t>
            </w:r>
          </w:p>
        </w:tc>
        <w:tc>
          <w:tcPr>
            <w:tcW w:w="1500" w:type="dxa"/>
            <w:vAlign w:val="bottom"/>
            <w:gridSpan w:val="3"/>
          </w:tcPr>
          <w:p>
            <w:pPr>
              <w:jc w:val="right"/>
              <w:ind w:right="500"/>
              <w:spacing w:after="0"/>
              <w:rPr>
                <w:sz w:val="20"/>
                <w:szCs w:val="20"/>
                <w:color w:val="auto"/>
              </w:rPr>
            </w:pPr>
            <w:r>
              <w:rPr>
                <w:rFonts w:ascii="Arial" w:cs="Arial" w:eastAsia="Arial" w:hAnsi="Arial"/>
                <w:sz w:val="18"/>
                <w:szCs w:val="18"/>
                <w:color w:val="auto"/>
              </w:rPr>
              <w:t>392</w:t>
            </w:r>
          </w:p>
        </w:tc>
        <w:tc>
          <w:tcPr>
            <w:tcW w:w="1720" w:type="dxa"/>
            <w:vAlign w:val="bottom"/>
            <w:gridSpan w:val="4"/>
          </w:tcPr>
          <w:p>
            <w:pPr>
              <w:jc w:val="right"/>
              <w:ind w:right="348"/>
              <w:spacing w:after="0"/>
              <w:rPr>
                <w:sz w:val="20"/>
                <w:szCs w:val="20"/>
                <w:color w:val="auto"/>
              </w:rPr>
            </w:pPr>
            <w:r>
              <w:rPr>
                <w:rFonts w:ascii="Arial" w:cs="Arial" w:eastAsia="Arial" w:hAnsi="Arial"/>
                <w:sz w:val="18"/>
                <w:szCs w:val="18"/>
                <w:color w:val="auto"/>
              </w:rPr>
              <w:t>217</w:t>
            </w:r>
          </w:p>
        </w:tc>
        <w:tc>
          <w:tcPr>
            <w:tcW w:w="1900" w:type="dxa"/>
            <w:vAlign w:val="bottom"/>
            <w:gridSpan w:val="4"/>
          </w:tcPr>
          <w:p>
            <w:pPr>
              <w:jc w:val="right"/>
              <w:ind w:right="500"/>
              <w:spacing w:after="0"/>
              <w:rPr>
                <w:sz w:val="20"/>
                <w:szCs w:val="20"/>
                <w:color w:val="auto"/>
              </w:rPr>
            </w:pPr>
            <w:r>
              <w:rPr>
                <w:rFonts w:ascii="Arial" w:cs="Arial" w:eastAsia="Arial" w:hAnsi="Arial"/>
                <w:sz w:val="18"/>
                <w:szCs w:val="18"/>
                <w:color w:val="auto"/>
              </w:rPr>
              <w:t>422</w:t>
            </w:r>
          </w:p>
        </w:tc>
        <w:tc>
          <w:tcPr>
            <w:tcW w:w="1720" w:type="dxa"/>
            <w:vAlign w:val="bottom"/>
            <w:gridSpan w:val="4"/>
          </w:tcPr>
          <w:p>
            <w:pPr>
              <w:jc w:val="right"/>
              <w:ind w:right="420"/>
              <w:spacing w:after="0"/>
              <w:rPr>
                <w:sz w:val="20"/>
                <w:szCs w:val="20"/>
                <w:color w:val="auto"/>
              </w:rPr>
            </w:pPr>
            <w:r>
              <w:rPr>
                <w:rFonts w:ascii="Arial" w:cs="Arial" w:eastAsia="Arial" w:hAnsi="Arial"/>
                <w:sz w:val="18"/>
                <w:szCs w:val="18"/>
                <w:color w:val="auto"/>
              </w:rPr>
              <w:t>253</w:t>
            </w: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Potentially issuable shares in connection with certain</w:t>
            </w: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terms of the amended ViaSat 401(k) Profit Sharing</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w:t>
            </w:r>
          </w:p>
        </w:tc>
        <w:tc>
          <w:tcPr>
            <w:tcW w:w="15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91</w:t>
            </w:r>
          </w:p>
        </w:tc>
        <w:tc>
          <w:tcPr>
            <w:tcW w:w="1720" w:type="dxa"/>
            <w:vAlign w:val="bottom"/>
            <w:gridSpan w:val="4"/>
            <w:shd w:val="clear" w:color="auto" w:fill="CCEEFF"/>
          </w:tcPr>
          <w:p>
            <w:pPr>
              <w:jc w:val="right"/>
              <w:ind w:right="348"/>
              <w:spacing w:after="0"/>
              <w:rPr>
                <w:sz w:val="20"/>
                <w:szCs w:val="20"/>
                <w:color w:val="auto"/>
              </w:rPr>
            </w:pPr>
            <w:r>
              <w:rPr>
                <w:rFonts w:ascii="Arial" w:cs="Arial" w:eastAsia="Arial" w:hAnsi="Arial"/>
                <w:sz w:val="18"/>
                <w:szCs w:val="18"/>
                <w:color w:val="auto"/>
              </w:rPr>
              <w:t>113</w:t>
            </w:r>
          </w:p>
        </w:tc>
        <w:tc>
          <w:tcPr>
            <w:tcW w:w="190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97</w:t>
            </w:r>
          </w:p>
        </w:tc>
        <w:tc>
          <w:tcPr>
            <w:tcW w:w="17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119</w:t>
            </w: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Employee Stock Purchase Plan equivalents</w:t>
            </w:r>
          </w:p>
        </w:tc>
        <w:tc>
          <w:tcPr>
            <w:tcW w:w="1500" w:type="dxa"/>
            <w:vAlign w:val="bottom"/>
            <w:gridSpan w:val="3"/>
          </w:tcPr>
          <w:p>
            <w:pPr>
              <w:jc w:val="right"/>
              <w:ind w:right="500"/>
              <w:spacing w:after="0"/>
              <w:rPr>
                <w:sz w:val="20"/>
                <w:szCs w:val="20"/>
                <w:color w:val="auto"/>
              </w:rPr>
            </w:pPr>
            <w:r>
              <w:rPr>
                <w:rFonts w:ascii="Arial" w:cs="Arial" w:eastAsia="Arial" w:hAnsi="Arial"/>
                <w:sz w:val="18"/>
                <w:szCs w:val="18"/>
                <w:color w:val="auto"/>
              </w:rPr>
              <w:t>28</w:t>
            </w:r>
          </w:p>
        </w:tc>
        <w:tc>
          <w:tcPr>
            <w:tcW w:w="1720" w:type="dxa"/>
            <w:vAlign w:val="bottom"/>
            <w:gridSpan w:val="4"/>
          </w:tcPr>
          <w:p>
            <w:pPr>
              <w:jc w:val="right"/>
              <w:ind w:right="348"/>
              <w:spacing w:after="0"/>
              <w:rPr>
                <w:sz w:val="20"/>
                <w:szCs w:val="20"/>
                <w:color w:val="auto"/>
              </w:rPr>
            </w:pPr>
            <w:r>
              <w:rPr>
                <w:rFonts w:ascii="Arial" w:cs="Arial" w:eastAsia="Arial" w:hAnsi="Arial"/>
                <w:sz w:val="18"/>
                <w:szCs w:val="18"/>
                <w:color w:val="auto"/>
              </w:rPr>
              <w:t>15</w:t>
            </w:r>
          </w:p>
        </w:tc>
        <w:tc>
          <w:tcPr>
            <w:tcW w:w="1900" w:type="dxa"/>
            <w:vAlign w:val="bottom"/>
            <w:gridSpan w:val="4"/>
          </w:tcPr>
          <w:p>
            <w:pPr>
              <w:jc w:val="right"/>
              <w:ind w:right="500"/>
              <w:spacing w:after="0"/>
              <w:rPr>
                <w:sz w:val="20"/>
                <w:szCs w:val="20"/>
                <w:color w:val="auto"/>
              </w:rPr>
            </w:pPr>
            <w:r>
              <w:rPr>
                <w:rFonts w:ascii="Arial" w:cs="Arial" w:eastAsia="Arial" w:hAnsi="Arial"/>
                <w:sz w:val="18"/>
                <w:szCs w:val="18"/>
                <w:color w:val="auto"/>
              </w:rPr>
              <w:t>38</w:t>
            </w:r>
          </w:p>
        </w:tc>
        <w:tc>
          <w:tcPr>
            <w:tcW w:w="1720" w:type="dxa"/>
            <w:vAlign w:val="bottom"/>
            <w:gridSpan w:val="4"/>
          </w:tcPr>
          <w:p>
            <w:pPr>
              <w:jc w:val="right"/>
              <w:ind w:right="420"/>
              <w:spacing w:after="0"/>
              <w:rPr>
                <w:sz w:val="20"/>
                <w:szCs w:val="20"/>
                <w:color w:val="auto"/>
              </w:rPr>
            </w:pPr>
            <w:r>
              <w:rPr>
                <w:rFonts w:ascii="Arial" w:cs="Arial" w:eastAsia="Arial" w:hAnsi="Arial"/>
                <w:sz w:val="18"/>
                <w:szCs w:val="18"/>
                <w:color w:val="auto"/>
              </w:rPr>
              <w:t>21</w:t>
            </w: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used in computing diluted net income per share</w:t>
            </w:r>
          </w:p>
        </w:tc>
        <w:tc>
          <w:tcPr>
            <w:tcW w:w="50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attributable to ViaSat, Inc. common stockholders</w:t>
            </w:r>
          </w:p>
        </w:tc>
        <w:tc>
          <w:tcPr>
            <w:tcW w:w="15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43,352</w:t>
            </w:r>
          </w:p>
        </w:tc>
        <w:tc>
          <w:tcPr>
            <w:tcW w:w="1720" w:type="dxa"/>
            <w:vAlign w:val="bottom"/>
            <w:gridSpan w:val="4"/>
            <w:shd w:val="clear" w:color="auto" w:fill="CCEEFF"/>
          </w:tcPr>
          <w:p>
            <w:pPr>
              <w:jc w:val="right"/>
              <w:ind w:right="348"/>
              <w:spacing w:after="0"/>
              <w:rPr>
                <w:sz w:val="20"/>
                <w:szCs w:val="20"/>
                <w:color w:val="auto"/>
              </w:rPr>
            </w:pPr>
            <w:r>
              <w:rPr>
                <w:rFonts w:ascii="Arial" w:cs="Arial" w:eastAsia="Arial" w:hAnsi="Arial"/>
                <w:sz w:val="18"/>
                <w:szCs w:val="18"/>
                <w:color w:val="auto"/>
              </w:rPr>
              <w:t>34,725</w:t>
            </w:r>
          </w:p>
        </w:tc>
        <w:tc>
          <w:tcPr>
            <w:tcW w:w="190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42,799</w:t>
            </w:r>
          </w:p>
        </w:tc>
        <w:tc>
          <w:tcPr>
            <w:tcW w:w="17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33,591</w:t>
            </w: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40" w:firstLine="215"/>
        <w:spacing w:after="0" w:line="264" w:lineRule="auto"/>
        <w:rPr>
          <w:sz w:val="20"/>
          <w:szCs w:val="20"/>
          <w:color w:val="auto"/>
        </w:rPr>
      </w:pPr>
      <w:r>
        <w:rPr>
          <w:rFonts w:ascii="Arial" w:cs="Arial" w:eastAsia="Arial" w:hAnsi="Arial"/>
          <w:sz w:val="18"/>
          <w:szCs w:val="18"/>
          <w:color w:val="auto"/>
        </w:rPr>
        <w:t>Antidilutive shares relating to stock options excluded from the calculation were 165,000 and 56,099 shares for the three and nine months ended December 31, 2010, respectively. Antidilutive shares relating to stock options excluded from the calculation were 523,295 and 468,153 shares for the three and nine months ended January 1, 2010, respectively.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40" w:firstLine="215"/>
        <w:spacing w:after="0" w:line="264" w:lineRule="auto"/>
        <w:rPr>
          <w:sz w:val="20"/>
          <w:szCs w:val="20"/>
          <w:color w:val="auto"/>
        </w:rPr>
      </w:pPr>
      <w:r>
        <w:rPr>
          <w:rFonts w:ascii="Arial" w:cs="Arial" w:eastAsia="Arial" w:hAnsi="Arial"/>
          <w:sz w:val="18"/>
          <w:szCs w:val="18"/>
          <w:color w:val="auto"/>
        </w:rPr>
        <w:t>Antidilutive shares relating to restricted stock units excluded from the calculation were none and 109,652 shares for the three and nine months ended December 31, 2010, respectively. Antidilutive shares relating to restricted stock units excluded from the calculation were 364 and 136,704 shares for the three and nine months ended January 1, 2010,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Composition of Certain Balance Sheet Captions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3"/>
          </w:tcPr>
          <w:p>
            <w:pPr>
              <w:jc w:val="right"/>
              <w:ind w:right="968"/>
              <w:spacing w:after="0"/>
              <w:rPr>
                <w:sz w:val="20"/>
                <w:szCs w:val="20"/>
                <w:color w:val="auto"/>
              </w:rPr>
            </w:pPr>
            <w:r>
              <w:rPr>
                <w:rFonts w:ascii="Arial" w:cs="Arial" w:eastAsia="Arial" w:hAnsi="Arial"/>
                <w:sz w:val="14"/>
                <w:szCs w:val="14"/>
                <w:b w:val="1"/>
                <w:bCs w:val="1"/>
                <w:color w:val="auto"/>
              </w:rPr>
              <w:t>As of</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8720" w:type="dxa"/>
            <w:vAlign w:val="bottom"/>
          </w:tcPr>
          <w:p>
            <w:pPr>
              <w:spacing w:after="0"/>
              <w:rPr>
                <w:sz w:val="14"/>
                <w:szCs w:val="14"/>
                <w:color w:val="auto"/>
              </w:rPr>
            </w:pPr>
          </w:p>
        </w:tc>
        <w:tc>
          <w:tcPr>
            <w:tcW w:w="1780" w:type="dxa"/>
            <w:vAlign w:val="bottom"/>
            <w:gridSpan w:val="4"/>
          </w:tcPr>
          <w:p>
            <w:pPr>
              <w:spacing w:after="0"/>
              <w:rPr>
                <w:sz w:val="20"/>
                <w:szCs w:val="20"/>
                <w:color w:val="auto"/>
              </w:rPr>
            </w:pPr>
            <w:r>
              <w:rPr>
                <w:rFonts w:ascii="Arial" w:cs="Arial" w:eastAsia="Arial" w:hAnsi="Arial"/>
                <w:sz w:val="14"/>
                <w:szCs w:val="14"/>
                <w:b w:val="1"/>
                <w:bCs w:val="1"/>
                <w:color w:val="auto"/>
              </w:rPr>
              <w:t>December 31, 2010</w:t>
            </w:r>
          </w:p>
        </w:tc>
        <w:tc>
          <w:tcPr>
            <w:tcW w:w="920" w:type="dxa"/>
            <w:vAlign w:val="bottom"/>
            <w:gridSpan w:val="4"/>
          </w:tcPr>
          <w:p>
            <w:pPr>
              <w:ind w:left="20"/>
              <w:spacing w:after="0"/>
              <w:rPr>
                <w:sz w:val="20"/>
                <w:szCs w:val="20"/>
                <w:color w:val="auto"/>
              </w:rPr>
            </w:pPr>
            <w:r>
              <w:rPr>
                <w:rFonts w:ascii="Arial" w:cs="Arial" w:eastAsia="Arial" w:hAnsi="Arial"/>
                <w:sz w:val="14"/>
                <w:szCs w:val="14"/>
                <w:b w:val="1"/>
                <w:bCs w:val="1"/>
                <w:color w:val="auto"/>
              </w:rPr>
              <w:t>April 2, 2010</w:t>
            </w:r>
          </w:p>
        </w:tc>
        <w:tc>
          <w:tcPr>
            <w:tcW w:w="0" w:type="dxa"/>
            <w:vAlign w:val="bottom"/>
          </w:tcPr>
          <w:p>
            <w:pPr>
              <w:spacing w:after="0"/>
              <w:rPr>
                <w:sz w:val="1"/>
                <w:szCs w:val="1"/>
                <w:color w:val="auto"/>
              </w:rPr>
            </w:pPr>
          </w:p>
        </w:tc>
      </w:tr>
      <w:tr>
        <w:trPr>
          <w:trHeight w:val="142"/>
        </w:trPr>
        <w:tc>
          <w:tcPr>
            <w:tcW w:w="87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(In</w:t>
            </w: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1"/>
              </w:rPr>
              <w:t>thousands)</w:t>
            </w: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220"/>
              <w:spacing w:after="0"/>
              <w:rPr>
                <w:sz w:val="20"/>
                <w:szCs w:val="20"/>
                <w:color w:val="auto"/>
              </w:rPr>
            </w:pPr>
            <w:r>
              <w:rPr>
                <w:rFonts w:ascii="Arial" w:cs="Arial" w:eastAsia="Arial" w:hAnsi="Arial"/>
                <w:sz w:val="18"/>
                <w:szCs w:val="18"/>
                <w:color w:val="auto"/>
              </w:rPr>
              <w:t>Billed</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97,978</w:t>
            </w:r>
          </w:p>
        </w:tc>
        <w:tc>
          <w:tcPr>
            <w:tcW w:w="60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93,737</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Unbilled</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78,454</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83,153</w:t>
            </w:r>
          </w:p>
        </w:tc>
        <w:tc>
          <w:tcPr>
            <w:tcW w:w="0" w:type="dxa"/>
            <w:vAlign w:val="bottom"/>
          </w:tcPr>
          <w:p>
            <w:pPr>
              <w:spacing w:after="0"/>
              <w:rPr>
                <w:sz w:val="1"/>
                <w:szCs w:val="1"/>
                <w:color w:val="auto"/>
              </w:rPr>
            </w:pPr>
          </w:p>
        </w:tc>
      </w:tr>
      <w:tr>
        <w:trPr>
          <w:trHeight w:val="223"/>
        </w:trPr>
        <w:tc>
          <w:tcPr>
            <w:tcW w:w="8720" w:type="dxa"/>
            <w:vAlign w:val="bottom"/>
          </w:tcPr>
          <w:p>
            <w:pPr>
              <w:ind w:left="220"/>
              <w:spacing w:after="0"/>
              <w:rPr>
                <w:sz w:val="20"/>
                <w:szCs w:val="20"/>
                <w:color w:val="auto"/>
              </w:rPr>
            </w:pPr>
            <w:r>
              <w:rPr>
                <w:rFonts w:ascii="Arial" w:cs="Arial" w:eastAsia="Arial" w:hAnsi="Arial"/>
                <w:sz w:val="18"/>
                <w:szCs w:val="18"/>
                <w:color w:val="auto"/>
              </w:rPr>
              <w:t>Allowance for doubtful accounts</w:t>
            </w:r>
          </w:p>
        </w:tc>
        <w:tc>
          <w:tcPr>
            <w:tcW w:w="260" w:type="dxa"/>
            <w:vAlign w:val="bottom"/>
          </w:tcPr>
          <w:p>
            <w:pPr>
              <w:spacing w:after="0"/>
              <w:rPr>
                <w:sz w:val="19"/>
                <w:szCs w:val="19"/>
                <w:color w:val="auto"/>
              </w:rPr>
            </w:pPr>
          </w:p>
        </w:tc>
        <w:tc>
          <w:tcPr>
            <w:tcW w:w="1520" w:type="dxa"/>
            <w:vAlign w:val="bottom"/>
            <w:gridSpan w:val="3"/>
          </w:tcPr>
          <w:p>
            <w:pPr>
              <w:jc w:val="right"/>
              <w:ind w:right="488"/>
              <w:spacing w:after="0"/>
              <w:rPr>
                <w:sz w:val="20"/>
                <w:szCs w:val="20"/>
                <w:color w:val="auto"/>
              </w:rPr>
            </w:pPr>
            <w:r>
              <w:rPr>
                <w:rFonts w:ascii="Arial" w:cs="Arial" w:eastAsia="Arial" w:hAnsi="Arial"/>
                <w:sz w:val="18"/>
                <w:szCs w:val="18"/>
                <w:color w:val="auto"/>
              </w:rPr>
              <w:t>(483)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175,949</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20" w:type="dxa"/>
            <w:vAlign w:val="bottom"/>
            <w:vMerge w:val="restart"/>
          </w:tcPr>
          <w:p>
            <w:pPr>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Raw materials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46,636</w:t>
            </w:r>
          </w:p>
        </w:tc>
        <w:tc>
          <w:tcPr>
            <w:tcW w:w="6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36,255</w:t>
            </w:r>
          </w:p>
        </w:tc>
        <w:tc>
          <w:tcPr>
            <w:tcW w:w="0" w:type="dxa"/>
            <w:vAlign w:val="bottom"/>
          </w:tcPr>
          <w:p>
            <w:pPr>
              <w:spacing w:after="0"/>
              <w:rPr>
                <w:sz w:val="1"/>
                <w:szCs w:val="1"/>
                <w:color w:val="auto"/>
              </w:rPr>
            </w:pPr>
          </w:p>
        </w:tc>
      </w:tr>
      <w:tr>
        <w:trPr>
          <w:trHeight w:val="216"/>
        </w:trPr>
        <w:tc>
          <w:tcPr>
            <w:tcW w:w="8720" w:type="dxa"/>
            <w:vAlign w:val="bottom"/>
          </w:tcPr>
          <w:p>
            <w:pPr>
              <w:ind w:left="220"/>
              <w:spacing w:after="0"/>
              <w:rPr>
                <w:sz w:val="20"/>
                <w:szCs w:val="20"/>
                <w:color w:val="auto"/>
              </w:rPr>
            </w:pPr>
            <w:r>
              <w:rPr>
                <w:rFonts w:ascii="Arial" w:cs="Arial" w:eastAsia="Arial" w:hAnsi="Arial"/>
                <w:sz w:val="18"/>
                <w:szCs w:val="18"/>
                <w:color w:val="auto"/>
              </w:rPr>
              <w:t>Work in process</w:t>
            </w:r>
          </w:p>
        </w:tc>
        <w:tc>
          <w:tcPr>
            <w:tcW w:w="2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24,386</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21,345</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Finished goods</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24,725</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25,362</w:t>
            </w:r>
          </w:p>
        </w:tc>
        <w:tc>
          <w:tcPr>
            <w:tcW w:w="0" w:type="dxa"/>
            <w:vAlign w:val="bottom"/>
          </w:tcPr>
          <w:p>
            <w:pPr>
              <w:spacing w:after="0"/>
              <w:rPr>
                <w:sz w:val="1"/>
                <w:szCs w:val="1"/>
                <w:color w:val="auto"/>
              </w:rPr>
            </w:pPr>
          </w:p>
        </w:tc>
      </w:tr>
      <w:tr>
        <w:trPr>
          <w:trHeight w:val="223"/>
        </w:trPr>
        <w:tc>
          <w:tcPr>
            <w:tcW w:w="87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95,747</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220"/>
              <w:spacing w:after="0"/>
              <w:rPr>
                <w:sz w:val="20"/>
                <w:szCs w:val="20"/>
                <w:color w:val="auto"/>
              </w:rPr>
            </w:pPr>
            <w:r>
              <w:rPr>
                <w:rFonts w:ascii="Arial" w:cs="Arial" w:eastAsia="Arial" w:hAnsi="Arial"/>
                <w:sz w:val="18"/>
                <w:szCs w:val="18"/>
                <w:color w:val="auto"/>
              </w:rPr>
              <w:t>Prepaid expenses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20,477</w:t>
            </w:r>
          </w:p>
        </w:tc>
        <w:tc>
          <w:tcPr>
            <w:tcW w:w="60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13,239</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receivable</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2,999</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9,022</w:t>
            </w:r>
          </w:p>
        </w:tc>
        <w:tc>
          <w:tcPr>
            <w:tcW w:w="0" w:type="dxa"/>
            <w:vAlign w:val="bottom"/>
          </w:tcPr>
          <w:p>
            <w:pPr>
              <w:spacing w:after="0"/>
              <w:rPr>
                <w:sz w:val="1"/>
                <w:szCs w:val="1"/>
                <w:color w:val="auto"/>
              </w:rPr>
            </w:pPr>
          </w:p>
        </w:tc>
      </w:tr>
      <w:tr>
        <w:trPr>
          <w:trHeight w:val="223"/>
        </w:trPr>
        <w:tc>
          <w:tcPr>
            <w:tcW w:w="8720" w:type="dxa"/>
            <w:vAlign w:val="bottom"/>
          </w:tcPr>
          <w:p>
            <w:pPr>
              <w:ind w:left="2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1,853</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25,329</w:t>
            </w:r>
          </w:p>
        </w:tc>
        <w:tc>
          <w:tcPr>
            <w:tcW w:w="6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28,857</w:t>
            </w:r>
          </w:p>
        </w:tc>
        <w:tc>
          <w:tcPr>
            <w:tcW w:w="0" w:type="dxa"/>
            <w:vAlign w:val="bottom"/>
          </w:tcPr>
          <w:p>
            <w:pPr>
              <w:spacing w:after="0"/>
              <w:rPr>
                <w:sz w:val="1"/>
                <w:szCs w:val="1"/>
                <w:color w:val="auto"/>
              </w:rPr>
            </w:pPr>
          </w:p>
        </w:tc>
      </w:tr>
      <w:tr>
        <w:trPr>
          <w:trHeight w:val="20"/>
        </w:trPr>
        <w:tc>
          <w:tcPr>
            <w:tcW w:w="8720" w:type="dxa"/>
            <w:vAlign w:val="bottom"/>
            <w:vMerge w:val="restart"/>
          </w:tcPr>
          <w:p>
            <w:pPr>
              <w:spacing w:after="0"/>
              <w:rPr>
                <w:sz w:val="20"/>
                <w:szCs w:val="20"/>
                <w:color w:val="auto"/>
              </w:rPr>
            </w:pPr>
            <w:r>
              <w:rPr>
                <w:rFonts w:ascii="Arial" w:cs="Arial" w:eastAsia="Arial" w:hAnsi="Arial"/>
                <w:sz w:val="18"/>
                <w:szCs w:val="18"/>
                <w:color w:val="auto"/>
              </w:rPr>
              <w:t>Satellites, net: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Satellite — WildBlue-1 (estimated useful life of 10 years)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195,890</w:t>
            </w:r>
          </w:p>
        </w:tc>
        <w:tc>
          <w:tcPr>
            <w:tcW w:w="6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195,890</w:t>
            </w: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Capital lease of satellite capacity — Anik F2 (estimated useful life of 10 years)</w:t>
            </w:r>
          </w:p>
        </w:tc>
        <w:tc>
          <w:tcPr>
            <w:tcW w:w="2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99,090</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99,090</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Satellite under construction</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268,211</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209,432</w:t>
            </w:r>
          </w:p>
        </w:tc>
        <w:tc>
          <w:tcPr>
            <w:tcW w:w="0" w:type="dxa"/>
            <w:vAlign w:val="bottom"/>
          </w:tcPr>
          <w:p>
            <w:pPr>
              <w:spacing w:after="0"/>
              <w:rPr>
                <w:sz w:val="1"/>
                <w:szCs w:val="1"/>
                <w:color w:val="auto"/>
              </w:rPr>
            </w:pPr>
          </w:p>
        </w:tc>
      </w:tr>
      <w:tr>
        <w:trPr>
          <w:trHeight w:val="223"/>
        </w:trPr>
        <w:tc>
          <w:tcPr>
            <w:tcW w:w="87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563,191</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504,412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88"/>
              <w:spacing w:after="0"/>
              <w:rPr>
                <w:sz w:val="20"/>
                <w:szCs w:val="20"/>
                <w:color w:val="auto"/>
              </w:rPr>
            </w:pPr>
            <w:r>
              <w:rPr>
                <w:rFonts w:ascii="Arial" w:cs="Arial" w:eastAsia="Arial" w:hAnsi="Arial"/>
                <w:sz w:val="18"/>
                <w:szCs w:val="18"/>
                <w:color w:val="auto"/>
              </w:rPr>
              <w:t>(30,846)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(8,723)</w:t>
            </w:r>
          </w:p>
        </w:tc>
        <w:tc>
          <w:tcPr>
            <w:tcW w:w="0" w:type="dxa"/>
            <w:vAlign w:val="bottom"/>
          </w:tcPr>
          <w:p>
            <w:pPr>
              <w:spacing w:after="0"/>
              <w:rPr>
                <w:sz w:val="1"/>
                <w:szCs w:val="1"/>
                <w:color w:val="auto"/>
              </w:rPr>
            </w:pPr>
          </w:p>
        </w:tc>
      </w:tr>
      <w:tr>
        <w:trPr>
          <w:trHeight w:val="223"/>
        </w:trPr>
        <w:tc>
          <w:tcPr>
            <w:tcW w:w="87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532,345</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495,689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220"/>
              <w:spacing w:after="0"/>
              <w:rPr>
                <w:sz w:val="20"/>
                <w:szCs w:val="20"/>
                <w:color w:val="auto"/>
              </w:rPr>
            </w:pPr>
            <w:r>
              <w:rPr>
                <w:rFonts w:ascii="Arial" w:cs="Arial" w:eastAsia="Arial" w:hAnsi="Arial"/>
                <w:sz w:val="18"/>
                <w:szCs w:val="18"/>
                <w:color w:val="auto"/>
              </w:rPr>
              <w:t>Machinery and equipment (estimated useful life of 2-5 years)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111,591</w:t>
            </w:r>
          </w:p>
        </w:tc>
        <w:tc>
          <w:tcPr>
            <w:tcW w:w="60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96,484</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Computer equipment and software (estimated useful life of 3-5 years)</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62,022</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55,384</w:t>
            </w:r>
          </w:p>
        </w:tc>
        <w:tc>
          <w:tcPr>
            <w:tcW w:w="0" w:type="dxa"/>
            <w:vAlign w:val="bottom"/>
          </w:tcPr>
          <w:p>
            <w:pPr>
              <w:spacing w:after="0"/>
              <w:rPr>
                <w:sz w:val="1"/>
                <w:szCs w:val="1"/>
                <w:color w:val="auto"/>
              </w:rPr>
            </w:pPr>
          </w:p>
        </w:tc>
      </w:tr>
      <w:tr>
        <w:trPr>
          <w:trHeight w:val="216"/>
        </w:trPr>
        <w:tc>
          <w:tcPr>
            <w:tcW w:w="8720" w:type="dxa"/>
            <w:vAlign w:val="bottom"/>
          </w:tcPr>
          <w:p>
            <w:pPr>
              <w:ind w:left="220"/>
              <w:spacing w:after="0"/>
              <w:rPr>
                <w:sz w:val="20"/>
                <w:szCs w:val="20"/>
                <w:color w:val="auto"/>
              </w:rPr>
            </w:pPr>
            <w:r>
              <w:rPr>
                <w:rFonts w:ascii="Arial" w:cs="Arial" w:eastAsia="Arial" w:hAnsi="Arial"/>
                <w:sz w:val="18"/>
                <w:szCs w:val="18"/>
                <w:color w:val="auto"/>
              </w:rPr>
              <w:t>CPE leased equipment (estimated useful life of 3-5 years)</w:t>
            </w:r>
          </w:p>
        </w:tc>
        <w:tc>
          <w:tcPr>
            <w:tcW w:w="2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57,857</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41,469</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Furniture and fixtures (estimated useful life of 7 years)</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11,659</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10,760</w:t>
            </w:r>
          </w:p>
        </w:tc>
        <w:tc>
          <w:tcPr>
            <w:tcW w:w="0" w:type="dxa"/>
            <w:vAlign w:val="bottom"/>
          </w:tcPr>
          <w:p>
            <w:pPr>
              <w:spacing w:after="0"/>
              <w:rPr>
                <w:sz w:val="1"/>
                <w:szCs w:val="1"/>
                <w:color w:val="auto"/>
              </w:rPr>
            </w:pPr>
          </w:p>
        </w:tc>
      </w:tr>
      <w:tr>
        <w:trPr>
          <w:trHeight w:val="216"/>
        </w:trPr>
        <w:tc>
          <w:tcPr>
            <w:tcW w:w="8720" w:type="dxa"/>
            <w:vAlign w:val="bottom"/>
          </w:tcPr>
          <w:p>
            <w:pPr>
              <w:ind w:left="220"/>
              <w:spacing w:after="0"/>
              <w:rPr>
                <w:sz w:val="20"/>
                <w:szCs w:val="20"/>
                <w:color w:val="auto"/>
              </w:rPr>
            </w:pPr>
            <w:r>
              <w:rPr>
                <w:rFonts w:ascii="Arial" w:cs="Arial" w:eastAsia="Arial" w:hAnsi="Arial"/>
                <w:sz w:val="18"/>
                <w:szCs w:val="18"/>
                <w:color w:val="auto"/>
              </w:rPr>
              <w:t>Leasehold improvements (estimated useful life of 2-11 years)</w:t>
            </w:r>
          </w:p>
        </w:tc>
        <w:tc>
          <w:tcPr>
            <w:tcW w:w="2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23,862</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20,119</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Building (estimated useful life of 24 years)</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8,923</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8,923</w:t>
            </w:r>
          </w:p>
        </w:tc>
        <w:tc>
          <w:tcPr>
            <w:tcW w:w="0" w:type="dxa"/>
            <w:vAlign w:val="bottom"/>
          </w:tcPr>
          <w:p>
            <w:pPr>
              <w:spacing w:after="0"/>
              <w:rPr>
                <w:sz w:val="1"/>
                <w:szCs w:val="1"/>
                <w:color w:val="auto"/>
              </w:rPr>
            </w:pPr>
          </w:p>
        </w:tc>
      </w:tr>
      <w:tr>
        <w:trPr>
          <w:trHeight w:val="216"/>
        </w:trPr>
        <w:tc>
          <w:tcPr>
            <w:tcW w:w="8720" w:type="dxa"/>
            <w:vAlign w:val="bottom"/>
          </w:tcPr>
          <w:p>
            <w:pPr>
              <w:ind w:left="220"/>
              <w:spacing w:after="0"/>
              <w:rPr>
                <w:sz w:val="20"/>
                <w:szCs w:val="20"/>
                <w:color w:val="auto"/>
              </w:rPr>
            </w:pPr>
            <w:r>
              <w:rPr>
                <w:rFonts w:ascii="Arial" w:cs="Arial" w:eastAsia="Arial" w:hAnsi="Arial"/>
                <w:sz w:val="18"/>
                <w:szCs w:val="18"/>
                <w:color w:val="auto"/>
              </w:rPr>
              <w:t>Land</w:t>
            </w:r>
          </w:p>
        </w:tc>
        <w:tc>
          <w:tcPr>
            <w:tcW w:w="2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4,384</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4,384</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Construction in progress</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57,051</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18,578</w:t>
            </w:r>
          </w:p>
        </w:tc>
        <w:tc>
          <w:tcPr>
            <w:tcW w:w="0" w:type="dxa"/>
            <w:vAlign w:val="bottom"/>
          </w:tcPr>
          <w:p>
            <w:pPr>
              <w:spacing w:after="0"/>
              <w:rPr>
                <w:sz w:val="1"/>
                <w:szCs w:val="1"/>
                <w:color w:val="auto"/>
              </w:rPr>
            </w:pPr>
          </w:p>
        </w:tc>
      </w:tr>
      <w:tr>
        <w:trPr>
          <w:trHeight w:val="223"/>
        </w:trPr>
        <w:tc>
          <w:tcPr>
            <w:tcW w:w="87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337,349</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88"/>
              <w:spacing w:after="0"/>
              <w:rPr>
                <w:sz w:val="20"/>
                <w:szCs w:val="20"/>
                <w:color w:val="auto"/>
              </w:rPr>
            </w:pPr>
            <w:r>
              <w:rPr>
                <w:rFonts w:ascii="Arial" w:cs="Arial" w:eastAsia="Arial" w:hAnsi="Arial"/>
                <w:sz w:val="18"/>
                <w:szCs w:val="18"/>
                <w:color w:val="auto"/>
              </w:rPr>
              <w:t>(135,706)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(100,297)</w:t>
            </w:r>
          </w:p>
        </w:tc>
        <w:tc>
          <w:tcPr>
            <w:tcW w:w="0" w:type="dxa"/>
            <w:vAlign w:val="bottom"/>
          </w:tcPr>
          <w:p>
            <w:pPr>
              <w:spacing w:after="0"/>
              <w:rPr>
                <w:sz w:val="1"/>
                <w:szCs w:val="1"/>
                <w:color w:val="auto"/>
              </w:rPr>
            </w:pPr>
          </w:p>
        </w:tc>
      </w:tr>
      <w:tr>
        <w:trPr>
          <w:trHeight w:val="223"/>
        </w:trPr>
        <w:tc>
          <w:tcPr>
            <w:tcW w:w="87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201,643</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155,804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Other acquired intangible assets, net: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220"/>
              <w:spacing w:after="0"/>
              <w:rPr>
                <w:sz w:val="20"/>
                <w:szCs w:val="20"/>
                <w:color w:val="auto"/>
              </w:rPr>
            </w:pPr>
            <w:r>
              <w:rPr>
                <w:rFonts w:ascii="Arial" w:cs="Arial" w:eastAsia="Arial" w:hAnsi="Arial"/>
                <w:sz w:val="18"/>
                <w:szCs w:val="18"/>
                <w:color w:val="auto"/>
              </w:rPr>
              <w:t>Technology (estimated useful life of 3-9 years)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54,010</w:t>
            </w:r>
          </w:p>
        </w:tc>
        <w:tc>
          <w:tcPr>
            <w:tcW w:w="60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44,552</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Contracts and customer relationships (estimated useful life of 3-10 years)</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88,762</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86,707</w:t>
            </w:r>
          </w:p>
        </w:tc>
        <w:tc>
          <w:tcPr>
            <w:tcW w:w="0" w:type="dxa"/>
            <w:vAlign w:val="bottom"/>
          </w:tcPr>
          <w:p>
            <w:pPr>
              <w:spacing w:after="0"/>
              <w:rPr>
                <w:sz w:val="1"/>
                <w:szCs w:val="1"/>
                <w:color w:val="auto"/>
              </w:rPr>
            </w:pPr>
          </w:p>
        </w:tc>
      </w:tr>
      <w:tr>
        <w:trPr>
          <w:trHeight w:val="216"/>
        </w:trPr>
        <w:tc>
          <w:tcPr>
            <w:tcW w:w="8720" w:type="dxa"/>
            <w:vAlign w:val="bottom"/>
          </w:tcPr>
          <w:p>
            <w:pPr>
              <w:ind w:left="220"/>
              <w:spacing w:after="0"/>
              <w:rPr>
                <w:sz w:val="20"/>
                <w:szCs w:val="20"/>
                <w:color w:val="auto"/>
              </w:rPr>
            </w:pPr>
            <w:r>
              <w:rPr>
                <w:rFonts w:ascii="Arial" w:cs="Arial" w:eastAsia="Arial" w:hAnsi="Arial"/>
                <w:sz w:val="18"/>
                <w:szCs w:val="18"/>
                <w:color w:val="auto"/>
              </w:rPr>
              <w:t>Non-compete agreement (estimated useful life of 3-5 years)</w:t>
            </w:r>
          </w:p>
        </w:tc>
        <w:tc>
          <w:tcPr>
            <w:tcW w:w="2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9,323</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9,098</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Satellite co-location rights (estimated useful life of 10 years)</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8,600</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8,600</w:t>
            </w:r>
          </w:p>
        </w:tc>
        <w:tc>
          <w:tcPr>
            <w:tcW w:w="0" w:type="dxa"/>
            <w:vAlign w:val="bottom"/>
          </w:tcPr>
          <w:p>
            <w:pPr>
              <w:spacing w:after="0"/>
              <w:rPr>
                <w:sz w:val="1"/>
                <w:szCs w:val="1"/>
                <w:color w:val="auto"/>
              </w:rPr>
            </w:pPr>
          </w:p>
        </w:tc>
      </w:tr>
      <w:tr>
        <w:trPr>
          <w:trHeight w:val="216"/>
        </w:trPr>
        <w:tc>
          <w:tcPr>
            <w:tcW w:w="8720" w:type="dxa"/>
            <w:vAlign w:val="bottom"/>
          </w:tcPr>
          <w:p>
            <w:pPr>
              <w:ind w:left="220"/>
              <w:spacing w:after="0"/>
              <w:rPr>
                <w:sz w:val="20"/>
                <w:szCs w:val="20"/>
                <w:color w:val="auto"/>
              </w:rPr>
            </w:pPr>
            <w:r>
              <w:rPr>
                <w:rFonts w:ascii="Arial" w:cs="Arial" w:eastAsia="Arial" w:hAnsi="Arial"/>
                <w:sz w:val="18"/>
                <w:szCs w:val="18"/>
                <w:color w:val="auto"/>
              </w:rPr>
              <w:t>Trade name (estimated useful life of 3 years)</w:t>
            </w:r>
          </w:p>
        </w:tc>
        <w:tc>
          <w:tcPr>
            <w:tcW w:w="2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5,680</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5,680</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intangibles (estimated useful life of 8 months to 10 years)</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9,331</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9,326</w:t>
            </w:r>
          </w:p>
        </w:tc>
        <w:tc>
          <w:tcPr>
            <w:tcW w:w="0" w:type="dxa"/>
            <w:vAlign w:val="bottom"/>
          </w:tcPr>
          <w:p>
            <w:pPr>
              <w:spacing w:after="0"/>
              <w:rPr>
                <w:sz w:val="1"/>
                <w:szCs w:val="1"/>
                <w:color w:val="auto"/>
              </w:rPr>
            </w:pPr>
          </w:p>
        </w:tc>
      </w:tr>
      <w:tr>
        <w:trPr>
          <w:trHeight w:val="223"/>
        </w:trPr>
        <w:tc>
          <w:tcPr>
            <w:tcW w:w="87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175,706</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163,963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2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88"/>
              <w:spacing w:after="0"/>
              <w:rPr>
                <w:sz w:val="20"/>
                <w:szCs w:val="20"/>
                <w:color w:val="auto"/>
              </w:rPr>
            </w:pPr>
            <w:r>
              <w:rPr>
                <w:rFonts w:ascii="Arial" w:cs="Arial" w:eastAsia="Arial" w:hAnsi="Arial"/>
                <w:sz w:val="18"/>
                <w:szCs w:val="18"/>
                <w:color w:val="auto"/>
              </w:rPr>
              <w:t>(89,395)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(74,574)</w:t>
            </w:r>
          </w:p>
        </w:tc>
        <w:tc>
          <w:tcPr>
            <w:tcW w:w="0" w:type="dxa"/>
            <w:vAlign w:val="bottom"/>
          </w:tcPr>
          <w:p>
            <w:pPr>
              <w:spacing w:after="0"/>
              <w:rPr>
                <w:sz w:val="1"/>
                <w:szCs w:val="1"/>
                <w:color w:val="auto"/>
              </w:rPr>
            </w:pPr>
          </w:p>
        </w:tc>
      </w:tr>
      <w:tr>
        <w:trPr>
          <w:trHeight w:val="223"/>
        </w:trPr>
        <w:tc>
          <w:tcPr>
            <w:tcW w:w="87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86,311</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220"/>
              <w:spacing w:after="0"/>
              <w:rPr>
                <w:sz w:val="20"/>
                <w:szCs w:val="20"/>
                <w:color w:val="auto"/>
              </w:rPr>
            </w:pPr>
            <w:r>
              <w:rPr>
                <w:rFonts w:ascii="Arial" w:cs="Arial" w:eastAsia="Arial" w:hAnsi="Arial"/>
                <w:sz w:val="18"/>
                <w:szCs w:val="18"/>
                <w:color w:val="auto"/>
              </w:rPr>
              <w:t>Warranty reserve, current portion</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6,678</w:t>
            </w:r>
          </w:p>
        </w:tc>
        <w:tc>
          <w:tcPr>
            <w:tcW w:w="60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6,410</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vacation</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13,886</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13,437</w:t>
            </w:r>
          </w:p>
        </w:tc>
        <w:tc>
          <w:tcPr>
            <w:tcW w:w="0" w:type="dxa"/>
            <w:vAlign w:val="bottom"/>
          </w:tcPr>
          <w:p>
            <w:pPr>
              <w:spacing w:after="0"/>
              <w:rPr>
                <w:sz w:val="1"/>
                <w:szCs w:val="1"/>
                <w:color w:val="auto"/>
              </w:rPr>
            </w:pPr>
          </w:p>
        </w:tc>
      </w:tr>
      <w:tr>
        <w:trPr>
          <w:trHeight w:val="216"/>
        </w:trPr>
        <w:tc>
          <w:tcPr>
            <w:tcW w:w="8720" w:type="dxa"/>
            <w:vAlign w:val="bottom"/>
          </w:tcPr>
          <w:p>
            <w:pPr>
              <w:ind w:left="220"/>
              <w:spacing w:after="0"/>
              <w:rPr>
                <w:sz w:val="20"/>
                <w:szCs w:val="20"/>
                <w:color w:val="auto"/>
              </w:rPr>
            </w:pPr>
            <w:r>
              <w:rPr>
                <w:rFonts w:ascii="Arial" w:cs="Arial" w:eastAsia="Arial" w:hAnsi="Arial"/>
                <w:sz w:val="18"/>
                <w:szCs w:val="18"/>
                <w:color w:val="auto"/>
              </w:rPr>
              <w:t>Accrued employee compensation</w:t>
            </w:r>
          </w:p>
        </w:tc>
        <w:tc>
          <w:tcPr>
            <w:tcW w:w="2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11,298</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17,268</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Collections in excess of revenues and deferred revenues</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64,172</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46,180</w:t>
            </w:r>
          </w:p>
        </w:tc>
        <w:tc>
          <w:tcPr>
            <w:tcW w:w="0" w:type="dxa"/>
            <w:vAlign w:val="bottom"/>
          </w:tcPr>
          <w:p>
            <w:pPr>
              <w:spacing w:after="0"/>
              <w:rPr>
                <w:sz w:val="1"/>
                <w:szCs w:val="1"/>
                <w:color w:val="auto"/>
              </w:rPr>
            </w:pPr>
          </w:p>
        </w:tc>
      </w:tr>
      <w:tr>
        <w:trPr>
          <w:trHeight w:val="223"/>
        </w:trPr>
        <w:tc>
          <w:tcPr>
            <w:tcW w:w="8720" w:type="dxa"/>
            <w:vAlign w:val="bottom"/>
          </w:tcPr>
          <w:p>
            <w:pPr>
              <w:ind w:left="2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26,144</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122,178</w:t>
            </w:r>
          </w:p>
        </w:tc>
        <w:tc>
          <w:tcPr>
            <w:tcW w:w="6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102,251</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757" w:gutter="0" w:footer="0" w:header="0"/>
        </w:sect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757"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Acquired Intangible Assets</w:t>
      </w:r>
    </w:p>
    <w:p>
      <w:pPr>
        <w:spacing w:after="0" w:line="121"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During fiscal year 2011, the Company's goodwill increased by approximately $7.5 million, net, of which $7.9 million was related to the acquisition of Stonewood recorded within the Company's government systems segment. The Company also recorded a $0.7 million decrease to goodwill for the tax effect of certain pre-acquisition net operating loss carryovers with a corresponding adjustment to deferred tax assets within the Company's satellite service segment. The remaining change in goodwill of $0.3 million relates to the effect of foreign currency translation recorded within the Company's government systems and commercial networks segments.</w:t>
      </w:r>
    </w:p>
    <w:p>
      <w:pPr>
        <w:spacing w:after="0" w:line="80" w:lineRule="exact"/>
        <w:rPr>
          <w:sz w:val="20"/>
          <w:szCs w:val="20"/>
          <w:color w:val="auto"/>
        </w:rPr>
      </w:pPr>
    </w:p>
    <w:p>
      <w:pPr>
        <w:ind w:right="580" w:firstLine="222"/>
        <w:spacing w:after="0" w:line="312" w:lineRule="auto"/>
        <w:rPr>
          <w:sz w:val="20"/>
          <w:szCs w:val="20"/>
          <w:color w:val="auto"/>
        </w:rPr>
      </w:pPr>
      <w:r>
        <w:rPr>
          <w:rFonts w:ascii="Arial" w:cs="Arial" w:eastAsia="Arial" w:hAnsi="Arial"/>
          <w:sz w:val="16"/>
          <w:szCs w:val="16"/>
          <w:color w:val="auto"/>
        </w:rPr>
        <w:t>The other acquired intangible assets are amortized using the straight-line method over their estimated useful lives of eight months to ten years. Amortization expense related to other acquired intangible assets was $4.9 million and $1.9 million for the three months ended December 31, 2010 and January 1, 2010, respectively, and $14.6 million and $4.8 million for the nine months ended December 31, 2010 and January 1, 2010, respectively.</w:t>
      </w:r>
    </w:p>
    <w:p>
      <w:pPr>
        <w:spacing w:after="0" w:line="39" w:lineRule="exact"/>
        <w:rPr>
          <w:sz w:val="20"/>
          <w:szCs w:val="20"/>
          <w:color w:val="auto"/>
        </w:rPr>
      </w:pPr>
    </w:p>
    <w:p>
      <w:pPr>
        <w:ind w:firstLine="222"/>
        <w:spacing w:after="0" w:line="342" w:lineRule="auto"/>
        <w:rPr>
          <w:sz w:val="20"/>
          <w:szCs w:val="20"/>
          <w:color w:val="auto"/>
        </w:rPr>
      </w:pPr>
      <w:r>
        <w:rPr>
          <w:rFonts w:ascii="Arial" w:cs="Arial" w:eastAsia="Arial" w:hAnsi="Arial"/>
          <w:sz w:val="16"/>
          <w:szCs w:val="16"/>
          <w:color w:val="auto"/>
        </w:rPr>
        <w:t>The expected amortization expense of amortizable acquired intangible assets may change due to the effects of foreign currency fluctuations as a result of the international businesses acquired. Current and expected amortization expense for acquired intangible assets for each of the following periods is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gridSpan w:val="4"/>
          </w:tcPr>
          <w:p>
            <w:pPr>
              <w:ind w:left="4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For the nine months ended December 31, 2010</w:t>
            </w:r>
          </w:p>
        </w:tc>
        <w:tc>
          <w:tcPr>
            <w:tcW w:w="26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ind w:left="144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14,627</w:t>
            </w:r>
          </w:p>
        </w:tc>
        <w:tc>
          <w:tcPr>
            <w:tcW w:w="0" w:type="dxa"/>
            <w:vAlign w:val="bottom"/>
          </w:tcPr>
          <w:p>
            <w:pPr>
              <w:spacing w:after="0"/>
              <w:rPr>
                <w:sz w:val="1"/>
                <w:szCs w:val="1"/>
                <w:color w:val="auto"/>
              </w:rPr>
            </w:pPr>
          </w:p>
        </w:tc>
      </w:tr>
      <w:tr>
        <w:trPr>
          <w:trHeight w:val="432"/>
        </w:trPr>
        <w:tc>
          <w:tcPr>
            <w:tcW w:w="8720" w:type="dxa"/>
            <w:vAlign w:val="bottom"/>
            <w:gridSpan w:val="2"/>
          </w:tcPr>
          <w:p>
            <w:pPr>
              <w:spacing w:after="0"/>
              <w:rPr>
                <w:sz w:val="20"/>
                <w:szCs w:val="20"/>
                <w:color w:val="auto"/>
              </w:rPr>
            </w:pPr>
            <w:r>
              <w:rPr>
                <w:rFonts w:ascii="Arial" w:cs="Arial" w:eastAsia="Arial" w:hAnsi="Arial"/>
                <w:sz w:val="18"/>
                <w:szCs w:val="18"/>
                <w:color w:val="auto"/>
              </w:rPr>
              <w:t>Expected for the remainder of fiscal year 2011</w:t>
            </w:r>
          </w:p>
        </w:tc>
        <w:tc>
          <w:tcPr>
            <w:tcW w:w="260" w:type="dxa"/>
            <w:vAlign w:val="bottom"/>
          </w:tcPr>
          <w:p>
            <w:pPr>
              <w:spacing w:after="0"/>
              <w:rPr>
                <w:sz w:val="24"/>
                <w:szCs w:val="24"/>
                <w:color w:val="auto"/>
              </w:rPr>
            </w:pPr>
          </w:p>
        </w:tc>
        <w:tc>
          <w:tcPr>
            <w:tcW w:w="1540" w:type="dxa"/>
            <w:vAlign w:val="bottom"/>
            <w:gridSpan w:val="4"/>
          </w:tcPr>
          <w:p>
            <w:pPr>
              <w:ind w:left="144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2012</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Expected for fiscal year 2013</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2014</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Expected for fiscal year 2015</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7 — Senior Notes and Other Long-Term Debt</w:t>
            </w: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Total long-term debt consisted of the following as of December 31, 2010 and April 2, 2010:</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4"/>
          </w:tcPr>
          <w:p>
            <w:pPr>
              <w:ind w:left="160"/>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24"/>
                <w:szCs w:val="2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1800" w:type="dxa"/>
            <w:vAlign w:val="bottom"/>
            <w:gridSpan w:val="5"/>
          </w:tcPr>
          <w:p>
            <w:pPr>
              <w:spacing w:after="0"/>
              <w:rPr>
                <w:sz w:val="20"/>
                <w:szCs w:val="20"/>
                <w:color w:val="auto"/>
              </w:rPr>
            </w:pPr>
            <w:r>
              <w:rPr>
                <w:rFonts w:ascii="Arial" w:cs="Arial" w:eastAsia="Arial" w:hAnsi="Arial"/>
                <w:sz w:val="14"/>
                <w:szCs w:val="14"/>
                <w:b w:val="1"/>
                <w:bCs w:val="1"/>
                <w:color w:val="auto"/>
              </w:rPr>
              <w:t>December 31, 2010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April 2, 2010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(In</w:t>
            </w:r>
          </w:p>
        </w:tc>
        <w:tc>
          <w:tcPr>
            <w:tcW w:w="6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9"/>
              </w:rPr>
              <w:t>thousands)</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Senior Notes Due 2016 (the Notes)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Notes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275,000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Unamortized discount on the Notes</w:t>
            </w:r>
          </w:p>
        </w:tc>
        <w:tc>
          <w:tcPr>
            <w:tcW w:w="2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8"/>
              <w:spacing w:after="0"/>
              <w:rPr>
                <w:sz w:val="20"/>
                <w:szCs w:val="20"/>
                <w:color w:val="auto"/>
              </w:rPr>
            </w:pPr>
            <w:r>
              <w:rPr>
                <w:rFonts w:ascii="Arial" w:cs="Arial" w:eastAsia="Arial" w:hAnsi="Arial"/>
                <w:sz w:val="18"/>
                <w:szCs w:val="18"/>
                <w:color w:val="auto"/>
              </w:rPr>
              <w:t>(2,828)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(3,199)</w:t>
            </w:r>
          </w:p>
        </w:tc>
        <w:tc>
          <w:tcPr>
            <w:tcW w:w="0" w:type="dxa"/>
            <w:vAlign w:val="bottom"/>
          </w:tcPr>
          <w:p>
            <w:pPr>
              <w:spacing w:after="0"/>
              <w:rPr>
                <w:sz w:val="1"/>
                <w:szCs w:val="1"/>
                <w:color w:val="auto"/>
              </w:rPr>
            </w:pPr>
          </w:p>
        </w:tc>
      </w:tr>
      <w:tr>
        <w:trPr>
          <w:trHeight w:val="223"/>
        </w:trPr>
        <w:tc>
          <w:tcPr>
            <w:tcW w:w="8720" w:type="dxa"/>
            <w:vAlign w:val="bottom"/>
            <w:gridSpan w:val="2"/>
          </w:tcPr>
          <w:p>
            <w:pPr>
              <w:spacing w:after="0"/>
              <w:rPr>
                <w:sz w:val="20"/>
                <w:szCs w:val="20"/>
                <w:color w:val="auto"/>
              </w:rPr>
            </w:pPr>
            <w:r>
              <w:rPr>
                <w:rFonts w:ascii="Arial" w:cs="Arial" w:eastAsia="Arial" w:hAnsi="Arial"/>
                <w:sz w:val="18"/>
                <w:szCs w:val="18"/>
                <w:color w:val="auto"/>
              </w:rPr>
              <w:t>Total Notes, net of discount</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272,172</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271,801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the Notes</w:t>
            </w:r>
          </w:p>
        </w:tc>
        <w:tc>
          <w:tcPr>
            <w:tcW w:w="26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right"/>
              <w:ind w:right="56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8720" w:type="dxa"/>
            <w:vAlign w:val="bottom"/>
            <w:gridSpan w:val="2"/>
          </w:tcPr>
          <w:p>
            <w:pPr>
              <w:spacing w:after="0"/>
              <w:rPr>
                <w:sz w:val="20"/>
                <w:szCs w:val="20"/>
                <w:color w:val="auto"/>
              </w:rPr>
            </w:pPr>
            <w:r>
              <w:rPr>
                <w:rFonts w:ascii="Arial" w:cs="Arial" w:eastAsia="Arial" w:hAnsi="Arial"/>
                <w:sz w:val="18"/>
                <w:szCs w:val="18"/>
                <w:color w:val="auto"/>
              </w:rPr>
              <w:t>Total Notes long-term, net</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272,172</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271,801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Other Long-Term Debt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Line of credit</w:t>
            </w:r>
          </w:p>
        </w:tc>
        <w:tc>
          <w:tcPr>
            <w:tcW w:w="2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50,000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due 2013, interest rate 4.78%</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720" w:type="dxa"/>
            <w:vAlign w:val="bottom"/>
            <w:gridSpan w:val="2"/>
          </w:tcPr>
          <w:p>
            <w:pPr>
              <w:spacing w:after="0"/>
              <w:rPr>
                <w:sz w:val="20"/>
                <w:szCs w:val="20"/>
                <w:color w:val="auto"/>
              </w:rPr>
            </w:pPr>
            <w:r>
              <w:rPr>
                <w:rFonts w:ascii="Arial" w:cs="Arial" w:eastAsia="Arial" w:hAnsi="Arial"/>
                <w:sz w:val="18"/>
                <w:szCs w:val="18"/>
                <w:color w:val="auto"/>
              </w:rPr>
              <w:t>Total other long-term debt</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52,751</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other long-term debt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8720" w:type="dxa"/>
            <w:vAlign w:val="bottom"/>
            <w:gridSpan w:val="2"/>
          </w:tcPr>
          <w:p>
            <w:pPr>
              <w:spacing w:after="0"/>
              <w:rPr>
                <w:sz w:val="20"/>
                <w:szCs w:val="20"/>
                <w:color w:val="auto"/>
              </w:rPr>
            </w:pPr>
            <w:r>
              <w:rPr>
                <w:rFonts w:ascii="Arial" w:cs="Arial" w:eastAsia="Arial" w:hAnsi="Arial"/>
                <w:sz w:val="18"/>
                <w:szCs w:val="18"/>
                <w:color w:val="auto"/>
              </w:rPr>
              <w:t>Other long-term debt, net</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51,991</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324,923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331,801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Less: current portion</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324,163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331,801</w:t>
            </w: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ind w:left="5620"/>
              <w:spacing w:after="0"/>
              <w:rPr>
                <w:sz w:val="20"/>
                <w:szCs w:val="20"/>
                <w:color w:val="auto"/>
              </w:rPr>
            </w:pPr>
            <w:r>
              <w:rPr>
                <w:rFonts w:ascii="Arial" w:cs="Arial" w:eastAsia="Arial" w:hAnsi="Arial"/>
                <w:sz w:val="18"/>
                <w:szCs w:val="18"/>
                <w:color w:val="auto"/>
              </w:rPr>
              <w:t>16</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7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7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aggregate payments on the Company’s long-term debt obligations excluding the effects of discount accretion on its $275.0 million of Notes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60" w:type="dxa"/>
            <w:vAlign w:val="bottom"/>
            <w:gridSpan w:val="2"/>
          </w:tcPr>
          <w:p>
            <w:pPr>
              <w:spacing w:after="0"/>
              <w:rPr>
                <w:sz w:val="20"/>
                <w:szCs w:val="20"/>
                <w:color w:val="auto"/>
              </w:rPr>
            </w:pPr>
            <w:r>
              <w:rPr>
                <w:rFonts w:ascii="Arial" w:cs="Arial" w:eastAsia="Arial" w:hAnsi="Arial"/>
                <w:sz w:val="14"/>
                <w:szCs w:val="14"/>
                <w:b w:val="1"/>
                <w:bCs w:val="1"/>
                <w:color w:val="auto"/>
              </w:rPr>
              <w:t>For the Fiscal Years Ending</w:t>
            </w:r>
          </w:p>
        </w:tc>
        <w:tc>
          <w:tcPr>
            <w:tcW w:w="560" w:type="dxa"/>
            <w:vAlign w:val="bottom"/>
          </w:tcPr>
          <w:p>
            <w:pPr>
              <w:spacing w:after="0"/>
              <w:rPr>
                <w:sz w:val="14"/>
                <w:szCs w:val="14"/>
                <w:color w:val="auto"/>
              </w:rPr>
            </w:pPr>
          </w:p>
        </w:tc>
        <w:tc>
          <w:tcPr>
            <w:tcW w:w="100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r>
      <w:tr>
        <w:trPr>
          <w:trHeight w:val="210"/>
        </w:trPr>
        <w:tc>
          <w:tcPr>
            <w:tcW w:w="20" w:type="dxa"/>
            <w:vAlign w:val="bottom"/>
          </w:tcPr>
          <w:p>
            <w:pPr>
              <w:spacing w:after="0"/>
              <w:rPr>
                <w:sz w:val="18"/>
                <w:szCs w:val="18"/>
                <w:color w:val="auto"/>
              </w:rPr>
            </w:pPr>
          </w:p>
        </w:tc>
        <w:tc>
          <w:tcPr>
            <w:tcW w:w="9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 the remainder of fiscal year 2011</w:t>
            </w:r>
          </w:p>
        </w:tc>
        <w:tc>
          <w:tcPr>
            <w:tcW w:w="5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2012</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1,177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51,184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2014</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599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Thereafter</w:t>
            </w:r>
          </w:p>
        </w:tc>
        <w:tc>
          <w:tcPr>
            <w:tcW w:w="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327,960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Less: imputed interest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discount on the Notes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2,828</w:t>
            </w:r>
          </w:p>
        </w:tc>
        <w:tc>
          <w:tcPr>
            <w:tcW w:w="80" w:type="dxa"/>
            <w:vAlign w:val="bottom"/>
            <w:shd w:val="clear" w:color="auto" w:fill="CCEEFF"/>
          </w:tcPr>
          <w:p>
            <w:pPr>
              <w:spacing w:after="0"/>
              <w:rPr>
                <w:sz w:val="18"/>
                <w:szCs w:val="18"/>
                <w:color w:val="auto"/>
              </w:rPr>
            </w:pPr>
          </w:p>
        </w:tc>
      </w:tr>
      <w:tr>
        <w:trPr>
          <w:trHeight w:val="223"/>
        </w:trPr>
        <w:tc>
          <w:tcPr>
            <w:tcW w:w="9860" w:type="dxa"/>
            <w:vAlign w:val="bottom"/>
            <w:gridSpan w:val="2"/>
          </w:tcPr>
          <w:p>
            <w:pPr>
              <w:spacing w:after="0"/>
              <w:rPr>
                <w:sz w:val="20"/>
                <w:szCs w:val="20"/>
                <w:color w:val="auto"/>
              </w:rPr>
            </w:pPr>
            <w:r>
              <w:rPr>
                <w:rFonts w:ascii="Arial" w:cs="Arial" w:eastAsia="Arial" w:hAnsi="Arial"/>
                <w:sz w:val="18"/>
                <w:szCs w:val="18"/>
                <w:color w:val="auto"/>
              </w:rPr>
              <w:t>Total</w:t>
            </w:r>
          </w:p>
        </w:tc>
        <w:tc>
          <w:tcPr>
            <w:tcW w:w="5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324,923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2016</w:t>
      </w:r>
    </w:p>
    <w:p>
      <w:pPr>
        <w:spacing w:after="0" w:line="117" w:lineRule="exact"/>
        <w:rPr>
          <w:sz w:val="20"/>
          <w:szCs w:val="20"/>
          <w:color w:val="auto"/>
        </w:rPr>
      </w:pPr>
    </w:p>
    <w:p>
      <w:pPr>
        <w:ind w:right="140" w:firstLine="225"/>
        <w:spacing w:after="0" w:line="255" w:lineRule="auto"/>
        <w:rPr>
          <w:sz w:val="20"/>
          <w:szCs w:val="20"/>
          <w:color w:val="auto"/>
        </w:rPr>
      </w:pPr>
      <w:r>
        <w:rPr>
          <w:rFonts w:ascii="Arial" w:cs="Arial" w:eastAsia="Arial" w:hAnsi="Arial"/>
          <w:sz w:val="18"/>
          <w:szCs w:val="18"/>
          <w:color w:val="auto"/>
        </w:rPr>
        <w:t>On October 22, 2009, the Company issued $275.0 million in principal amount of Notes in a private placement to institutional buyers, which Notes were exchanged in May 2010 for substantially identical Notes that had been registered with the Securities and Exchange Commission (SEC). The Notes bear interest at the rate of 8.875% per year, payable semi-annually in cash in arrears, which interest payments commenced in March 2010. The Notes were issued with an original issue discount of 1.24%, or $3.4 million. The Notes are recorded as long-term debt, net of original issue discount, in the Company’s consolidated financial statements. The original issue discount and deferred financing cost associated with the issuance of the Notes is amortized to interest expense on a straight-line basis over the term of the Notes.</w:t>
      </w:r>
    </w:p>
    <w:p>
      <w:pPr>
        <w:spacing w:after="0" w:line="85" w:lineRule="exact"/>
        <w:rPr>
          <w:sz w:val="20"/>
          <w:szCs w:val="20"/>
          <w:color w:val="auto"/>
        </w:rPr>
      </w:pPr>
    </w:p>
    <w:p>
      <w:pPr>
        <w:ind w:right="60" w:firstLine="222"/>
        <w:spacing w:after="0" w:line="273" w:lineRule="auto"/>
        <w:rPr>
          <w:sz w:val="20"/>
          <w:szCs w:val="20"/>
          <w:color w:val="auto"/>
        </w:rPr>
      </w:pPr>
      <w:r>
        <w:rPr>
          <w:rFonts w:ascii="Arial" w:cs="Arial" w:eastAsia="Arial" w:hAnsi="Arial"/>
          <w:sz w:val="17"/>
          <w:szCs w:val="17"/>
          <w:color w:val="auto"/>
        </w:rPr>
        <w:t>The Notes are guaranteed on an unsecured senior basis by each of the Company’s existing and future subsidiaries that guarantees the Credit Facility (the Guarantor Subsidiaries). The Notes and the guarantees are the Company’s and the Guarantor Subsidiaries’ general senior unsecured obligations and rank equally in right of payment with all of the Company’s existing and future unsecured unsubordinated debt. The Notes and the guarantees are effectively junior in right of payment to their existing and future secured debt, including under the Credit Facility (to the extent of the value of the assets securing such debt), are structurally subordinated to all existing and future liabilities (including trade payables) of the Company’s subsidiaries that are not guarantors of the Notes, and are senior in right of payment to all of their existing and future subordinated indebtedness.</w:t>
      </w:r>
    </w:p>
    <w:p>
      <w:pPr>
        <w:spacing w:after="0" w:line="70" w:lineRule="exact"/>
        <w:rPr>
          <w:sz w:val="20"/>
          <w:szCs w:val="20"/>
          <w:color w:val="auto"/>
        </w:rPr>
      </w:pPr>
    </w:p>
    <w:p>
      <w:pPr>
        <w:ind w:right="360" w:firstLine="222"/>
        <w:spacing w:after="0" w:line="257" w:lineRule="auto"/>
        <w:rPr>
          <w:sz w:val="20"/>
          <w:szCs w:val="20"/>
          <w:color w:val="auto"/>
        </w:rPr>
      </w:pPr>
      <w:r>
        <w:rPr>
          <w:rFonts w:ascii="Arial" w:cs="Arial" w:eastAsia="Arial" w:hAnsi="Arial"/>
          <w:sz w:val="18"/>
          <w:szCs w:val="18"/>
          <w:color w:val="auto"/>
        </w:rPr>
        <w:t>The indenture agreement governing the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80" w:lineRule="exact"/>
        <w:rPr>
          <w:sz w:val="20"/>
          <w:szCs w:val="20"/>
          <w:color w:val="auto"/>
        </w:rPr>
      </w:pPr>
    </w:p>
    <w:p>
      <w:pPr>
        <w:ind w:right="40" w:firstLine="225"/>
        <w:spacing w:after="0" w:line="269" w:lineRule="auto"/>
        <w:rPr>
          <w:sz w:val="20"/>
          <w:szCs w:val="20"/>
          <w:color w:val="auto"/>
        </w:rPr>
      </w:pPr>
      <w:r>
        <w:rPr>
          <w:rFonts w:ascii="Arial" w:cs="Arial" w:eastAsia="Arial" w:hAnsi="Arial"/>
          <w:sz w:val="17"/>
          <w:szCs w:val="17"/>
          <w:color w:val="auto"/>
        </w:rPr>
        <w:t>Prior to September 15, 2012, the Company may redeem up to 35% of the Notes at a redemption price of 108.875% of the principal amount thereof, plus accrued and unpaid interest, if any, thereon to the redemption date, from the net cash proceeds of specified equity offerings. The Company may also redeem the Notes prior to September 15, 2012,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Notes and (ii) the excess, if any, of (a) the present value at such date of redemption of (1) the redemption price of such Notes on September 15, 2012 plus (2) all required interest payments due on such Notes through September 15, 2012 (excluding accrued but unpaid interest to the date of redemption), computed using a discount rate equal to the treasury rate (as defined under the indenture) plus 50 basis points, over (b) the then-outstanding principal amount of such Notes. The Notes may be redeemed, in whole or in part, at any time during the twelve months beginning on September 15, 2012 at a redemption price of 106.656%, during the twelve months beginning on September 15, 2013 at a redemption price of 104.438%, during the twelve months beginning on September 15, 2014 at a redemption price of 102.219%, and at any time on or after September 12, 2015 at a redemption price of 100%, in each case plus accrued and unpaid interest, if any, thereon to the redemption date.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280" w:firstLine="225"/>
        <w:spacing w:after="0" w:line="259" w:lineRule="auto"/>
        <w:rPr>
          <w:sz w:val="20"/>
          <w:szCs w:val="20"/>
          <w:color w:val="auto"/>
        </w:rPr>
      </w:pPr>
      <w:r>
        <w:rPr>
          <w:rFonts w:ascii="Arial" w:cs="Arial" w:eastAsia="Arial" w:hAnsi="Arial"/>
          <w:sz w:val="18"/>
          <w:szCs w:val="18"/>
          <w:color w:val="auto"/>
        </w:rPr>
        <w:t>In the event a change of control occurs (as defined under the indenture), each holder will have the right to require the Company to repurchase all or any part (equal to $2,000 or larger integral multiples of $1,000) of such holder’s Notes at a purchase price in cash equal to 101% of the aggregate principal amount of the Notes repurchased plus accrued and unpaid interest, if any, to the date of purchase (subject to the right of holders of record on the relevant record date to receive interest due on the relevant interest payment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right="60" w:firstLine="215"/>
        <w:spacing w:after="0" w:line="269" w:lineRule="auto"/>
        <w:rPr>
          <w:sz w:val="20"/>
          <w:szCs w:val="20"/>
          <w:color w:val="auto"/>
        </w:rPr>
      </w:pPr>
      <w:r>
        <w:rPr>
          <w:rFonts w:ascii="Arial" w:cs="Arial" w:eastAsia="Arial" w:hAnsi="Arial"/>
          <w:sz w:val="17"/>
          <w:szCs w:val="17"/>
          <w:color w:val="auto"/>
        </w:rPr>
        <w:t>As of December 31, 2010, the Credit Facility provided a revolving line of credit of $275.0 million (including up to $35.0 million in letters of credit). Borrowings under the Credit Facility bear interest, at the Company’s option, at either (1) the highest of the Federal Funds rate plus 0.50%, the Eurodollar rate plus 1.00% or the administrative agent’s prime rate as announced from time to time, or (2) at the Eurodollar rate plus, in the case of each of (1) and (2), an applicable margin that is based on the ratio of the Company’s debt to earnings before interest, taxes, depreciation and amortization (EBITDA). At December 31, 2010, the weighted average effective interest rate on the Company’s outstanding borrowings under the Credit Facility was 4.28%. The Company has capitalized certain amounts of interest expense on the Credit Facility in connection with the construction of ViaSat-1 and other assets currently under construction. The Credit Facility is guaranteed by certain of the Company’s domestic subsidiaries and collateralized by substantially all of the Company’s and the Guarantor Subsidiaries’ assets. The Credit Facility contains financial covenants regarding a maximum leverage ratio, a maximum senior secured leverage ratio and a minimum interest coverage ratio. In addition, the Credit Facility contains covenants that restrict, among other things, the Company’s ability to sell assets, make investments and acquisitions, make capital expenditures, grant liens, pay dividends and make certain other restricted payments.</w:t>
      </w:r>
    </w:p>
    <w:p>
      <w:pPr>
        <w:spacing w:after="0" w:line="75"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The Company was in compliance with its financial covenants under the Credit Facility as of December 31, 2010. At December 31, 2010, the Company had $50.0 million in principal amount of outstanding borrowings under the Credit Facility and $14.8 million outstanding under standby letters of credit, leaving borrowing availability under the Credit Facility as of December 31, 2010 of $210.2 million.</w:t>
      </w:r>
    </w:p>
    <w:p>
      <w:pPr>
        <w:spacing w:after="0" w:line="73" w:lineRule="exact"/>
        <w:rPr>
          <w:sz w:val="20"/>
          <w:szCs w:val="20"/>
          <w:color w:val="auto"/>
        </w:rPr>
      </w:pPr>
    </w:p>
    <w:p>
      <w:pPr>
        <w:ind w:right="180" w:firstLine="225"/>
        <w:spacing w:after="0" w:line="291" w:lineRule="auto"/>
        <w:rPr>
          <w:sz w:val="20"/>
          <w:szCs w:val="20"/>
          <w:color w:val="auto"/>
        </w:rPr>
      </w:pPr>
      <w:r>
        <w:rPr>
          <w:rFonts w:ascii="Arial" w:cs="Arial" w:eastAsia="Arial" w:hAnsi="Arial"/>
          <w:sz w:val="16"/>
          <w:szCs w:val="16"/>
          <w:color w:val="auto"/>
        </w:rPr>
        <w:t>On January 25, 2011, subsequent to the third quarter of fiscal year 2011, the Company further amended the Credit Facility to (1) increase the Company’s revolving line of credit from $275.0 million to $325.0 million, (2) extend the maturity date of the Credit Facility from July 1, 2012 to January 25, 2016,</w:t>
      </w:r>
    </w:p>
    <w:p>
      <w:pPr>
        <w:ind w:right="220" w:firstLine="8"/>
        <w:spacing w:after="0" w:line="261"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decrease the commitment fee and the applicable margin for Eurodollar and base rate loans under the Credit Facility, and (4) amend certain financial and other covenants to provide the Company with increased flexibility.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leases</w:t>
      </w:r>
    </w:p>
    <w:p>
      <w:pPr>
        <w:spacing w:after="0" w:line="117" w:lineRule="exact"/>
        <w:rPr>
          <w:sz w:val="20"/>
          <w:szCs w:val="20"/>
          <w:color w:val="auto"/>
        </w:rPr>
      </w:pPr>
    </w:p>
    <w:p>
      <w:pPr>
        <w:jc w:val="both"/>
        <w:ind w:right="100" w:firstLine="225"/>
        <w:spacing w:after="0" w:line="259" w:lineRule="auto"/>
        <w:rPr>
          <w:sz w:val="20"/>
          <w:szCs w:val="20"/>
          <w:color w:val="auto"/>
        </w:rPr>
      </w:pPr>
      <w:r>
        <w:rPr>
          <w:rFonts w:ascii="Arial" w:cs="Arial" w:eastAsia="Arial" w:hAnsi="Arial"/>
          <w:sz w:val="18"/>
          <w:szCs w:val="18"/>
          <w:color w:val="auto"/>
        </w:rPr>
        <w:t>Occasionally the Company may enter into capital lease agreements for various machinery, equipment, computer-related equipment, software, furniture or fixtures. As of December 31, 2010, the Company had approximately $2.8 million outstanding under capital leases payable over a weighted average period of 36 months. These lease agreements bear interest at a weighted average rate of 4.78% and can be extended on a month-to-month basis after the original term. The Company had no capital lease arrangements as of April 2, 2010.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Product Warranty</w:t>
      </w:r>
    </w:p>
    <w:p>
      <w:pPr>
        <w:spacing w:after="0" w:line="121"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twelve months are classified as a current liability. For mature products, the warranty cost estimates are based on historical experience with the particular product. For newer products that do not have a history of warranty cost, the Company bases its estimates on its experience with the technology involved and the type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during the nine months ended December 31, 2010 and January 1, 2010.</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Nine Months Ended</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540" w:type="dxa"/>
            <w:vAlign w:val="bottom"/>
          </w:tcPr>
          <w:p>
            <w:pPr>
              <w:spacing w:after="0"/>
              <w:rPr>
                <w:sz w:val="12"/>
                <w:szCs w:val="12"/>
                <w:color w:val="auto"/>
              </w:rPr>
            </w:pPr>
          </w:p>
        </w:tc>
        <w:tc>
          <w:tcPr>
            <w:tcW w:w="180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December 31, 2010</w:t>
            </w: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January 1, 2010</w:t>
            </w:r>
          </w:p>
        </w:tc>
        <w:tc>
          <w:tcPr>
            <w:tcW w:w="100" w:type="dxa"/>
            <w:vAlign w:val="bottom"/>
          </w:tcPr>
          <w:p>
            <w:pPr>
              <w:spacing w:after="0"/>
              <w:rPr>
                <w:sz w:val="12"/>
                <w:szCs w:val="12"/>
                <w:color w:val="auto"/>
              </w:rPr>
            </w:pPr>
          </w:p>
        </w:tc>
      </w:tr>
      <w:tr>
        <w:trPr>
          <w:trHeight w:val="142"/>
        </w:trPr>
        <w:tc>
          <w:tcPr>
            <w:tcW w:w="85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ind w:left="560"/>
              <w:spacing w:after="0" w:line="142" w:lineRule="exact"/>
              <w:rPr>
                <w:sz w:val="20"/>
                <w:szCs w:val="20"/>
                <w:color w:val="auto"/>
              </w:rPr>
            </w:pPr>
            <w:r>
              <w:rPr>
                <w:rFonts w:ascii="Arial" w:cs="Arial" w:eastAsia="Arial" w:hAnsi="Arial"/>
                <w:sz w:val="14"/>
                <w:szCs w:val="14"/>
                <w:b w:val="1"/>
                <w:bCs w:val="1"/>
                <w:color w:val="auto"/>
              </w:rPr>
              <w:t>(In</w:t>
            </w: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9"/>
              </w:rPr>
              <w:t>thousands)</w:t>
            </w:r>
          </w:p>
        </w:tc>
        <w:tc>
          <w:tcPr>
            <w:tcW w:w="3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11,208</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11,194</w:t>
            </w:r>
          </w:p>
        </w:tc>
      </w:tr>
      <w:tr>
        <w:trPr>
          <w:trHeight w:val="216"/>
        </w:trPr>
        <w:tc>
          <w:tcPr>
            <w:tcW w:w="8540" w:type="dxa"/>
            <w:vAlign w:val="bottom"/>
          </w:tcPr>
          <w:p>
            <w:pPr>
              <w:ind w:left="220"/>
              <w:spacing w:after="0"/>
              <w:rPr>
                <w:sz w:val="20"/>
                <w:szCs w:val="20"/>
                <w:color w:val="auto"/>
              </w:rPr>
            </w:pPr>
            <w:r>
              <w:rPr>
                <w:rFonts w:ascii="Arial" w:cs="Arial" w:eastAsia="Arial" w:hAnsi="Arial"/>
                <w:sz w:val="18"/>
                <w:szCs w:val="18"/>
                <w:color w:val="auto"/>
              </w:rPr>
              <w:t>Change in liability for warranties issued in period</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5,903</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4,602</w:t>
            </w:r>
          </w:p>
        </w:tc>
      </w:tr>
      <w:tr>
        <w:trPr>
          <w:trHeight w:val="216"/>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Settlements made (in cash or in kind) during the period</w:t>
            </w:r>
          </w:p>
        </w:tc>
        <w:tc>
          <w:tcPr>
            <w:tcW w:w="3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08"/>
              <w:spacing w:after="0"/>
              <w:rPr>
                <w:sz w:val="20"/>
                <w:szCs w:val="20"/>
                <w:color w:val="auto"/>
              </w:rPr>
            </w:pPr>
            <w:r>
              <w:rPr>
                <w:rFonts w:ascii="Arial" w:cs="Arial" w:eastAsia="Arial" w:hAnsi="Arial"/>
                <w:sz w:val="18"/>
                <w:szCs w:val="18"/>
                <w:color w:val="auto"/>
              </w:rPr>
              <w:t>(4,042)</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(4,929)</w:t>
            </w: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Balance, end of period</w:t>
            </w: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13,069</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10,867</w:t>
            </w:r>
          </w:p>
        </w:tc>
        <w:tc>
          <w:tcPr>
            <w:tcW w:w="100" w:type="dxa"/>
            <w:vAlign w:val="bottom"/>
          </w:tcPr>
          <w:p>
            <w:pPr>
              <w:spacing w:after="0"/>
              <w:rPr>
                <w:sz w:val="19"/>
                <w:szCs w:val="19"/>
                <w:color w:val="auto"/>
              </w:rPr>
            </w:pPr>
          </w:p>
        </w:tc>
      </w:tr>
      <w:tr>
        <w:trPr>
          <w:trHeight w:val="20"/>
        </w:trPr>
        <w:tc>
          <w:tcPr>
            <w:tcW w:w="8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121" w:lineRule="exact"/>
        <w:rPr>
          <w:sz w:val="20"/>
          <w:szCs w:val="20"/>
          <w:color w:val="auto"/>
        </w:rPr>
      </w:pPr>
    </w:p>
    <w:p>
      <w:pPr>
        <w:ind w:right="180" w:firstLine="222"/>
        <w:spacing w:after="0" w:line="279" w:lineRule="auto"/>
        <w:rPr>
          <w:sz w:val="20"/>
          <w:szCs w:val="20"/>
          <w:color w:val="auto"/>
        </w:rPr>
      </w:pPr>
      <w:r>
        <w:rPr>
          <w:rFonts w:ascii="Arial" w:cs="Arial" w:eastAsia="Arial" w:hAnsi="Arial"/>
          <w:sz w:val="17"/>
          <w:szCs w:val="17"/>
          <w:color w:val="auto"/>
        </w:rPr>
        <w:t>The Company is involved in a variety of claims, suits, investigations and proceedings arising in the ordinary course of business, including actions with respect to intellectual property claims, breach of contract claims, labor and employment claims, tax and other matters.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121" w:lineRule="exact"/>
        <w:rPr>
          <w:sz w:val="20"/>
          <w:szCs w:val="20"/>
          <w:color w:val="auto"/>
        </w:rPr>
      </w:pPr>
    </w:p>
    <w:p>
      <w:pPr>
        <w:ind w:right="20" w:firstLine="222"/>
        <w:spacing w:after="0" w:line="270" w:lineRule="auto"/>
        <w:rPr>
          <w:sz w:val="20"/>
          <w:szCs w:val="20"/>
          <w:color w:val="auto"/>
        </w:rPr>
      </w:pPr>
      <w:r>
        <w:rPr>
          <w:rFonts w:ascii="Arial" w:cs="Arial" w:eastAsia="Arial" w:hAnsi="Arial"/>
          <w:sz w:val="17"/>
          <w:szCs w:val="17"/>
          <w:color w:val="auto"/>
        </w:rPr>
        <w:t>The Company currently estimates its annual effective income tax rate to be approximately 7.7% for fiscal year 2011, as compared to the actual 15.0% effective income tax rate in fiscal year 2010. The effective income tax rate of approximately 1.8% for the first nine months of fiscal year 2011 was lower than the expected annual effective tax rate primarily due to the recording of research and development tax credits allowed for in the third quarter of fiscal year 2011 by the Tax Relief, Unemployment Insurance Reauthorization, and Job Creation Act of 2010, enacted on December 17, 2010, which extended the research and development tax credit from January 1, 2010 to December 31, 2011. In the first two quarters of fiscal year 2011, the Company’s estimated annual effective income tax rate did not include the effect of the extension of the research and development tax credit, which resulted in a catch-up adjustment of approximately $2.8 million in the third quarter of fiscal year 2011. Also as a result of the extension of the research and development tax credit, approximately $1.5 million of research and development tax credit generated in the fourth quarter of fiscal year 2010 was recognized as a discrete tax benefit in the third quarter of fiscal year 2011. In addition, in the third quarter of fiscal year 2011, approximately $2.1 million of previously unrecognized tax benefits were recognized due to the expiration of the statute of limitations for certain previously filed tax returns.</w:t>
      </w:r>
    </w:p>
    <w:p>
      <w:pPr>
        <w:spacing w:after="0" w:line="70"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For the three and nine months ended December 31, 2010, the Company’s gross unrecognized tax benefits increased by $2.9 million and $3.5 million, respectively. In the next twelve months, it is reasonably possible that the amount of unrecognized tax benefits will decrease by $3.3 million as a result of the expiration of the statute of limitations for previously filed tax returns.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Stonewood acquisition</w:t>
      </w:r>
    </w:p>
    <w:p>
      <w:pPr>
        <w:spacing w:after="0" w:line="117" w:lineRule="exact"/>
        <w:rPr>
          <w:sz w:val="20"/>
          <w:szCs w:val="20"/>
          <w:color w:val="auto"/>
        </w:rPr>
      </w:pPr>
    </w:p>
    <w:p>
      <w:pPr>
        <w:ind w:right="160" w:firstLine="225"/>
        <w:spacing w:after="0" w:line="291" w:lineRule="auto"/>
        <w:rPr>
          <w:sz w:val="20"/>
          <w:szCs w:val="20"/>
          <w:color w:val="auto"/>
        </w:rPr>
      </w:pPr>
      <w:r>
        <w:rPr>
          <w:rFonts w:ascii="Arial" w:cs="Arial" w:eastAsia="Arial" w:hAnsi="Arial"/>
          <w:sz w:val="16"/>
          <w:szCs w:val="16"/>
          <w:color w:val="auto"/>
        </w:rPr>
        <w:t>On July 8, 2010, the Company completed the acquisition of all outstanding shares of the parent company of Stonewood. Stonewood is a leader in the design, manufacture and delivery of data at rest encryption products and services. Stonewood products are used to encrypt data on computer hard drives so that a lost or stolen laptop does not result in the compromise of classified information or the loss of intellectual property, which enhances the Company’s current encryption security offerings within the Company’s information assurance products in the government systems segment. The purchase price of approximately $18.8 million was comprised of $4.6 million related to the fair value of 144,962 shares of the Company’s common stock issued at the closing and $14.2 million in cash consideration paid to former Stonewood stockholders. The $14.2 million in cash consideration paid to the former Stonewood stockholders less cash acquired of $0.7 million resulted in a net cash outlay of approximately $13.5 million.</w:t>
      </w:r>
    </w:p>
    <w:p>
      <w:pPr>
        <w:spacing w:after="0" w:line="59" w:lineRule="exact"/>
        <w:rPr>
          <w:sz w:val="20"/>
          <w:szCs w:val="20"/>
          <w:color w:val="auto"/>
        </w:rPr>
      </w:pPr>
    </w:p>
    <w:p>
      <w:pPr>
        <w:ind w:right="60" w:firstLine="222"/>
        <w:spacing w:after="0" w:line="293" w:lineRule="auto"/>
        <w:rPr>
          <w:sz w:val="20"/>
          <w:szCs w:val="20"/>
          <w:color w:val="auto"/>
        </w:rPr>
      </w:pPr>
      <w:r>
        <w:rPr>
          <w:rFonts w:ascii="Arial" w:cs="Arial" w:eastAsia="Arial" w:hAnsi="Arial"/>
          <w:sz w:val="16"/>
          <w:szCs w:val="16"/>
          <w:color w:val="auto"/>
        </w:rPr>
        <w:t>The Company accounts for business combinations pursuant to the authoritative guidance for business combinations (SFAS 141R, “Business Combinations,” / ASC 805). Accordingly, the Company allocated the purchase price of the acquired company to the net tangible assets and intangible assets acquired based upon their estimated fair values. Under the authoritative guidance for business combinations, acquisition-related transaction costs and acquisition-related restructuring charges are not included as components of consideration transferred but are accounted for as expenses in the period in which the costs are incurred. Total merger-related transaction costs incurred by the Company were approximately $0.9 million, of which none and $0.9 million were incurred and recorded in selling, general and administrative expenses in the three and nine months ended December 31, 2010, respectively.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preliminary purchase price allocation of the acquired assets and assumed liabilities based on the estimated fair values as of July 8, 2010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40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4,382</w:t>
            </w:r>
          </w:p>
        </w:tc>
      </w:tr>
      <w:tr>
        <w:trPr>
          <w:trHeight w:val="216"/>
        </w:trPr>
        <w:tc>
          <w:tcPr>
            <w:tcW w:w="2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484</w:t>
            </w: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11,199</w:t>
            </w:r>
          </w:p>
        </w:tc>
      </w:tr>
      <w:tr>
        <w:trPr>
          <w:trHeight w:val="223"/>
        </w:trPr>
        <w:tc>
          <w:tcPr>
            <w:tcW w:w="2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 acquired</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23,921</w:t>
            </w:r>
          </w:p>
        </w:tc>
      </w:tr>
      <w:tr>
        <w:trPr>
          <w:trHeight w:val="216"/>
        </w:trPr>
        <w:tc>
          <w:tcPr>
            <w:tcW w:w="2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(1,843)</w:t>
            </w: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Other long term liabilities</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(3,245)</w:t>
            </w:r>
          </w:p>
        </w:tc>
      </w:tr>
      <w:tr>
        <w:trPr>
          <w:trHeight w:val="230"/>
        </w:trPr>
        <w:tc>
          <w:tcPr>
            <w:tcW w:w="20" w:type="dxa"/>
            <w:vAlign w:val="bottom"/>
          </w:tcPr>
          <w:p>
            <w:pPr>
              <w:spacing w:after="0"/>
              <w:rPr>
                <w:sz w:val="20"/>
                <w:szCs w:val="20"/>
                <w:color w:val="auto"/>
              </w:rPr>
            </w:pPr>
          </w:p>
        </w:tc>
        <w:tc>
          <w:tcPr>
            <w:tcW w:w="10400" w:type="dxa"/>
            <w:vAlign w:val="bottom"/>
          </w:tcPr>
          <w:p>
            <w:pPr>
              <w:ind w:left="200"/>
              <w:spacing w:after="0"/>
              <w:rPr>
                <w:sz w:val="20"/>
                <w:szCs w:val="20"/>
                <w:color w:val="auto"/>
              </w:rPr>
            </w:pPr>
            <w:r>
              <w:rPr>
                <w:rFonts w:ascii="Arial" w:cs="Arial" w:eastAsia="Arial" w:hAnsi="Arial"/>
                <w:sz w:val="18"/>
                <w:szCs w:val="18"/>
                <w:color w:val="auto"/>
              </w:rPr>
              <w:t>Total liabilities assumed</w:t>
            </w:r>
          </w:p>
        </w:tc>
        <w:tc>
          <w:tcPr>
            <w:tcW w:w="2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18,833</w:t>
            </w:r>
          </w:p>
        </w:tc>
      </w:tr>
      <w:tr>
        <w:trPr>
          <w:trHeight w:val="20"/>
        </w:trPr>
        <w:tc>
          <w:tcPr>
            <w:tcW w:w="20" w:type="dxa"/>
            <w:vAlign w:val="bottom"/>
          </w:tcPr>
          <w:p>
            <w:pPr>
              <w:spacing w:after="0" w:line="20" w:lineRule="exact"/>
              <w:rPr>
                <w:sz w:val="1"/>
                <w:szCs w:val="1"/>
                <w:color w:val="auto"/>
              </w:rPr>
            </w:pPr>
          </w:p>
        </w:tc>
        <w:tc>
          <w:tcPr>
            <w:tcW w:w="10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Amounts assigned to identifiable intangible assets are being amortized on a straight-line basis over their estimated useful lives and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4"/>
            <w:vMerge w:val="restart"/>
          </w:tcPr>
          <w:p>
            <w:pPr>
              <w:jc w:val="center"/>
              <w:ind w:right="720"/>
              <w:spacing w:after="0"/>
              <w:rPr>
                <w:sz w:val="20"/>
                <w:szCs w:val="20"/>
                <w:color w:val="auto"/>
              </w:rPr>
            </w:pPr>
            <w:r>
              <w:rPr>
                <w:rFonts w:ascii="Arial" w:cs="Arial" w:eastAsia="Arial" w:hAnsi="Arial"/>
                <w:sz w:val="14"/>
                <w:szCs w:val="14"/>
                <w:b w:val="1"/>
                <w:bCs w:val="1"/>
                <w:color w:val="auto"/>
                <w:w w:val="96"/>
              </w:rPr>
              <w:t>Preliminary</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9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4"/>
            <w:vMerge w:val="continue"/>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weighted</w:t>
            </w:r>
          </w:p>
        </w:tc>
        <w:tc>
          <w:tcPr>
            <w:tcW w:w="0" w:type="dxa"/>
            <w:vAlign w:val="bottom"/>
          </w:tcPr>
          <w:p>
            <w:pPr>
              <w:spacing w:after="0"/>
              <w:rPr>
                <w:sz w:val="1"/>
                <w:szCs w:val="1"/>
                <w:color w:val="auto"/>
              </w:rPr>
            </w:pPr>
          </w:p>
        </w:tc>
      </w:tr>
      <w:tr>
        <w:trPr>
          <w:trHeight w:val="149"/>
        </w:trPr>
        <w:tc>
          <w:tcPr>
            <w:tcW w:w="9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94"/>
              </w:rPr>
              <w:t>fair value</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9080" w:type="dxa"/>
            <w:vAlign w:val="bottom"/>
          </w:tcPr>
          <w:p>
            <w:pPr>
              <w:spacing w:after="0"/>
              <w:rPr>
                <w:sz w:val="14"/>
                <w:szCs w:val="14"/>
                <w:color w:val="auto"/>
              </w:rPr>
            </w:pPr>
          </w:p>
        </w:tc>
        <w:tc>
          <w:tcPr>
            <w:tcW w:w="1560" w:type="dxa"/>
            <w:vAlign w:val="bottom"/>
            <w:gridSpan w:val="5"/>
          </w:tcPr>
          <w:p>
            <w:pPr>
              <w:spacing w:after="0"/>
              <w:rPr>
                <w:sz w:val="20"/>
                <w:szCs w:val="20"/>
                <w:color w:val="auto"/>
              </w:rPr>
            </w:pPr>
            <w:r>
              <w:rPr>
                <w:rFonts w:ascii="Arial" w:cs="Arial" w:eastAsia="Arial" w:hAnsi="Arial"/>
                <w:sz w:val="14"/>
                <w:szCs w:val="14"/>
                <w:b w:val="1"/>
                <w:bCs w:val="1"/>
                <w:color w:val="auto"/>
              </w:rPr>
              <w:t>(In thousands)</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life</w:t>
            </w:r>
          </w:p>
        </w:tc>
        <w:tc>
          <w:tcPr>
            <w:tcW w:w="0" w:type="dxa"/>
            <w:vAlign w:val="bottom"/>
          </w:tcPr>
          <w:p>
            <w:pPr>
              <w:spacing w:after="0"/>
              <w:rPr>
                <w:sz w:val="1"/>
                <w:szCs w:val="1"/>
                <w:color w:val="auto"/>
              </w:rPr>
            </w:pPr>
          </w:p>
        </w:tc>
      </w:tr>
      <w:tr>
        <w:trPr>
          <w:trHeight w:val="20"/>
        </w:trPr>
        <w:tc>
          <w:tcPr>
            <w:tcW w:w="9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9,026</w:t>
            </w:r>
          </w:p>
        </w:tc>
        <w:tc>
          <w:tcPr>
            <w:tcW w:w="6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1,977</w:t>
            </w:r>
          </w:p>
        </w:tc>
        <w:tc>
          <w:tcPr>
            <w:tcW w:w="6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196</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9080" w:type="dxa"/>
            <w:vAlign w:val="bottom"/>
          </w:tcPr>
          <w:p>
            <w:pPr>
              <w:spacing w:after="0"/>
              <w:rPr>
                <w:sz w:val="20"/>
                <w:szCs w:val="20"/>
                <w:color w:val="auto"/>
              </w:rPr>
            </w:pPr>
            <w:r>
              <w:rPr>
                <w:rFonts w:ascii="Arial" w:cs="Arial" w:eastAsia="Arial" w:hAnsi="Arial"/>
                <w:sz w:val="18"/>
                <w:szCs w:val="18"/>
                <w:color w:val="auto"/>
              </w:rPr>
              <w:t>Total identifiable intangible assets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11,199</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9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20" w:firstLine="222"/>
        <w:spacing w:after="0" w:line="259" w:lineRule="auto"/>
        <w:rPr>
          <w:sz w:val="20"/>
          <w:szCs w:val="20"/>
          <w:color w:val="auto"/>
        </w:rPr>
      </w:pPr>
      <w:r>
        <w:rPr>
          <w:rFonts w:ascii="Arial" w:cs="Arial" w:eastAsia="Arial" w:hAnsi="Arial"/>
          <w:sz w:val="18"/>
          <w:szCs w:val="18"/>
          <w:color w:val="auto"/>
        </w:rPr>
        <w:t>The intangible assets acquired in the Stonewood business combination were determined, in accordance with the authoritative guidance for business combinations, based on the estimated fair values using valuation techniques consistent with the market approach and/or income approach to measure fair value. The remaining useful lives were estimated based on the underlying agreements and/or the future economic benefit expected to be received from the assets.</w:t>
      </w:r>
    </w:p>
    <w:p>
      <w:pPr>
        <w:spacing w:after="0" w:line="79" w:lineRule="exact"/>
        <w:rPr>
          <w:sz w:val="20"/>
          <w:szCs w:val="20"/>
          <w:color w:val="auto"/>
        </w:rPr>
      </w:pPr>
    </w:p>
    <w:p>
      <w:pPr>
        <w:ind w:right="200" w:firstLine="222"/>
        <w:spacing w:after="0" w:line="297" w:lineRule="auto"/>
        <w:rPr>
          <w:sz w:val="20"/>
          <w:szCs w:val="20"/>
          <w:color w:val="auto"/>
        </w:rPr>
      </w:pPr>
      <w:r>
        <w:rPr>
          <w:rFonts w:ascii="Arial" w:cs="Arial" w:eastAsia="Arial" w:hAnsi="Arial"/>
          <w:sz w:val="16"/>
          <w:szCs w:val="16"/>
          <w:color w:val="auto"/>
        </w:rPr>
        <w:t>The acquisition of Stonewood is beneficial to the Company as it enhances the Company’s current encryption security offerings within the Company’s information assurance products and provides additional solutions in the design, manufacture and delivery of data at rest encryption products and services. These benefits and additional opportunities were among the factors that contributed to a purchase price resulting in the recognition of preliminary estimated goodwill, which was recorded within the Company’s government systems segment. The intangible assets and goodwill recognized are not deductible for federal income tax purposes. The purchase price allocation is preliminary due to pending resolution of certain Stonewood tax attributes.</w:t>
      </w:r>
    </w:p>
    <w:p>
      <w:pPr>
        <w:spacing w:after="0" w:line="50" w:lineRule="exact"/>
        <w:rPr>
          <w:sz w:val="20"/>
          <w:szCs w:val="20"/>
          <w:color w:val="auto"/>
        </w:rPr>
      </w:pPr>
    </w:p>
    <w:p>
      <w:pPr>
        <w:ind w:right="180" w:firstLine="222"/>
        <w:spacing w:after="0" w:line="308" w:lineRule="auto"/>
        <w:rPr>
          <w:sz w:val="20"/>
          <w:szCs w:val="20"/>
          <w:color w:val="auto"/>
        </w:rPr>
      </w:pPr>
      <w:r>
        <w:rPr>
          <w:rFonts w:ascii="Arial" w:cs="Arial" w:eastAsia="Arial" w:hAnsi="Arial"/>
          <w:sz w:val="17"/>
          <w:szCs w:val="17"/>
          <w:color w:val="auto"/>
        </w:rPr>
        <w:t>The condensed consolidated financial statements include the operating results of Stonewood from the date of acquisition. Pro forma results of operations have not been presented because the effect of the acquisition was insignificant to the financial statements for all periods presented.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WildBlue acquisition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On December 15, 2009, the Company completed the acquisition of all outstanding shares of WildBlue, a privately held provider of broadband internet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service, delivering two-way broadband internet access via satellite in the contiguous United States. The purchase price of approximately $574.6 million was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comprised primarily of $131.9 million related to the fair value of 4,286,250 shares of the Company’s common stock issued at the closing date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$442.7 million in cash consideration. The $442.7 million in cash consideration paid to the former WildBlue stockholders less cash and restricted cash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acquired of $64.7 million resulted in a net cash outlay of approximately $378.0 million. As of April 2, 2010, all of the acquired restricted cash had become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unrestricted. The acquisition was accounted for as a purchase and accordingly, the condensed consolidated financial statements include the operating results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WildBlue from the date of acquisition. During the third quarter of fiscal year 2011, the Company recorded a $0.7 million adjustment to the final purchase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price allocation for WildBlue related to pre-acquisition net operating loss carryovers, reducing the Company’s satellite services segment goodwill with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corresponding adjustment to deferred tax assets.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117"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The unaudited financial information in the table below summarizes the combined results of operations for the Company and WildBlue on a pro forma basis, as though the companies had been combined as of the beginning of fiscal year 2010. The pro forma financial information is presented for informational purposes only and may not be indicative of the results of operations that would have been achieved if the acquisition had taken place at the beginning of fiscal year 2010. The pro forma financial information for the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three and nine month periods ended January 1, 2010 includes the business combination accounting effect on historical WildBlue revenue, elimination of the historical ViaSat revenues and related costs of revenues derived from sales of CPE units to WildBlue, amortization and depreciation charges from acquired intangible and tangible assets, the difference between WildBlue’s and ViaSat’s historical interest expense/interest income due to ViaSat’s new capitalization structure as a result of the acquisition, related tax effects and adjustment to shares outstanding for shares issued for the acquisition.</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60" w:type="dxa"/>
            <w:vAlign w:val="bottom"/>
          </w:tcPr>
          <w:p>
            <w:pPr>
              <w:spacing w:after="0"/>
              <w:rPr>
                <w:sz w:val="14"/>
                <w:szCs w:val="14"/>
                <w:color w:val="auto"/>
              </w:rPr>
            </w:pPr>
          </w:p>
        </w:tc>
        <w:tc>
          <w:tcPr>
            <w:tcW w:w="192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8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5"/>
              </w:rPr>
              <w:t>January 1, 2010</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January 1,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1840" w:type="dxa"/>
            <w:vAlign w:val="bottom"/>
            <w:gridSpan w:val="3"/>
          </w:tcPr>
          <w:p>
            <w:pPr>
              <w:jc w:val="right"/>
              <w:ind w:right="354"/>
              <w:spacing w:after="0" w:line="142" w:lineRule="exact"/>
              <w:rPr>
                <w:sz w:val="20"/>
                <w:szCs w:val="20"/>
                <w:color w:val="auto"/>
              </w:rPr>
            </w:pPr>
            <w:r>
              <w:rPr>
                <w:rFonts w:ascii="Arial" w:cs="Arial" w:eastAsia="Arial" w:hAnsi="Arial"/>
                <w:sz w:val="14"/>
                <w:szCs w:val="14"/>
                <w:b w:val="1"/>
                <w:bCs w:val="1"/>
                <w:color w:val="auto"/>
                <w:w w:val="92"/>
              </w:rPr>
              <w:t>except 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196,779</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605,310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60" w:type="dxa"/>
            <w:vAlign w:val="bottom"/>
            <w:vMerge w:val="restart"/>
          </w:tcPr>
          <w:p>
            <w:pPr>
              <w:spacing w:after="0"/>
              <w:rPr>
                <w:sz w:val="20"/>
                <w:szCs w:val="20"/>
                <w:color w:val="auto"/>
              </w:rPr>
            </w:pPr>
            <w:r>
              <w:rPr>
                <w:rFonts w:ascii="Arial" w:cs="Arial" w:eastAsia="Arial" w:hAnsi="Arial"/>
                <w:sz w:val="18"/>
                <w:szCs w:val="18"/>
                <w:color w:val="auto"/>
              </w:rPr>
              <w:t>Net income attributable to ViaSat, Inc.</w:t>
            </w: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60" w:type="dxa"/>
            <w:vAlign w:val="bottom"/>
            <w:vMerge w:val="continue"/>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4,114</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 attributable to ViaSat, Inc. common stockholders</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60" w:type="dxa"/>
            <w:vAlign w:val="bottom"/>
            <w:vMerge w:val="restart"/>
          </w:tcPr>
          <w:p>
            <w:pPr>
              <w:spacing w:after="0"/>
              <w:rPr>
                <w:sz w:val="20"/>
                <w:szCs w:val="20"/>
                <w:color w:val="auto"/>
              </w:rPr>
            </w:pPr>
            <w:r>
              <w:rPr>
                <w:rFonts w:ascii="Arial" w:cs="Arial" w:eastAsia="Arial" w:hAnsi="Arial"/>
                <w:sz w:val="18"/>
                <w:szCs w:val="18"/>
                <w:color w:val="auto"/>
              </w:rPr>
              <w:t>Diluted net income per share attributable to ViaSat, Inc. common stockholders</w:t>
            </w: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60" w:type="dxa"/>
            <w:vAlign w:val="bottom"/>
            <w:vMerge w:val="continue"/>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Restructuring</w:t>
      </w:r>
    </w:p>
    <w:p>
      <w:pPr>
        <w:spacing w:after="0" w:line="121"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In the third quarter of fiscal year 2010, the Company initiated a post-acquisition restructuring plan related to the termination of certain duplicative employee positions upon the acquisition of WildBlue. Under the terms of the plan, the Company recorded no restructuring charges and restructuring charges of approximately $0.5 million as part of selling, general and administrative expenses within the satellite services segment during the three and nine months ended December 31, 2010, respectively, and approximately $2.7 million as part of selling, general, and administrative expenses within the satellite services segment during the three and nine months ended January 1, 2010. As of December 31, 2010 and April 2, 2010, $0.3 million of restructuring charges remained unpaid and were recorded in accrued liabilities. During the nine months ended December 31, 2010 and January 1, 2010, the Company paid approximately $0.5 million and $2.4 million of the outstanding restructuring liabilities,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Segment Information</w:t>
      </w:r>
    </w:p>
    <w:p>
      <w:pPr>
        <w:spacing w:after="0" w:line="121" w:lineRule="exact"/>
        <w:rPr>
          <w:sz w:val="20"/>
          <w:szCs w:val="20"/>
          <w:color w:val="auto"/>
        </w:rPr>
      </w:pPr>
    </w:p>
    <w:p>
      <w:pPr>
        <w:ind w:right="140" w:firstLine="222"/>
        <w:spacing w:after="0" w:line="269" w:lineRule="auto"/>
        <w:rPr>
          <w:sz w:val="20"/>
          <w:szCs w:val="20"/>
          <w:color w:val="auto"/>
        </w:rPr>
      </w:pPr>
      <w:r>
        <w:rPr>
          <w:rFonts w:ascii="Arial" w:cs="Arial" w:eastAsia="Arial" w:hAnsi="Arial"/>
          <w:sz w:val="17"/>
          <w:szCs w:val="17"/>
          <w:color w:val="auto"/>
        </w:rPr>
        <w:t>The Company’s reporting segments, comprised of the government systems, commercial networks and satellite services segments, are primarily distinguished by the type of customer and the related contractual requirements. The Company’s government systems segment develops and produces network-centric, IP-based secure government communications systems, products and solutions. The more regulated government environment is subject to unique contractual requirements and possesses economic characteristics which differ from the commercial networks and satellite services segments. The Company’s commercial networks segment develops and produces a variety of advanced end-to-end satellite communication systems and ground networking equipment and products. The Company’s satellite services segment complements both the government systems and commercial networks segments by providing wholesale and retail satellite-based broadband internet services in the United States via our satellite and capacity agreements, as well as managed network services for the satellite communication systems of the Company’s consumer, enterprise and mobile broadband customers. The Company’s satellite services segment includes the Company’s recently acquired WildBlue business and the Company’s ViaSat-1 satellite-related activities. The Company’s segments are determined consistent with the way management currently organizes and evaluates financial information internally for making operating decisions and assessing performance.</w:t>
      </w:r>
    </w:p>
    <w:p>
      <w:pPr>
        <w:spacing w:after="0" w:line="75" w:lineRule="exact"/>
        <w:rPr>
          <w:sz w:val="20"/>
          <w:szCs w:val="20"/>
          <w:color w:val="auto"/>
        </w:rPr>
      </w:pPr>
    </w:p>
    <w:p>
      <w:pPr>
        <w:ind w:right="760" w:firstLine="215"/>
        <w:spacing w:after="0" w:line="308" w:lineRule="auto"/>
        <w:rPr>
          <w:sz w:val="20"/>
          <w:szCs w:val="20"/>
          <w:color w:val="auto"/>
        </w:rPr>
      </w:pPr>
      <w:r>
        <w:rPr>
          <w:rFonts w:ascii="Arial" w:cs="Arial" w:eastAsia="Arial" w:hAnsi="Arial"/>
          <w:sz w:val="17"/>
          <w:szCs w:val="17"/>
          <w:color w:val="auto"/>
        </w:rPr>
        <w:t>As discussed further in Note 2, included in the government systems segment operating profit for the nine months ended December 31, 2010 is an $8.5 million forward loss recorded during the first quarter of fiscal year 2011 on a government satellite communications program.</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9"/>
              </w:rPr>
              <w:t>Nine Months Ended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December 31, 2010</w:t>
            </w:r>
          </w:p>
        </w:tc>
        <w:tc>
          <w:tcPr>
            <w:tcW w:w="12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January 1, 2010</w:t>
            </w:r>
          </w:p>
        </w:tc>
        <w:tc>
          <w:tcPr>
            <w:tcW w:w="5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w w:val="71"/>
              </w:rPr>
              <w:t>thousands)</w:t>
            </w:r>
          </w:p>
        </w:tc>
        <w:tc>
          <w:tcPr>
            <w:tcW w:w="1720" w:type="dxa"/>
            <w:vAlign w:val="bottom"/>
            <w:gridSpan w:val="3"/>
          </w:tcPr>
          <w:p>
            <w:pPr>
              <w:jc w:val="right"/>
              <w:ind w:right="560"/>
              <w:spacing w:after="0" w:line="142" w:lineRule="exact"/>
              <w:rPr>
                <w:sz w:val="20"/>
                <w:szCs w:val="20"/>
                <w:color w:val="auto"/>
              </w:rPr>
            </w:pPr>
            <w:r>
              <w:rPr>
                <w:rFonts w:ascii="Arial" w:cs="Arial" w:eastAsia="Arial" w:hAnsi="Arial"/>
                <w:sz w:val="14"/>
                <w:szCs w:val="14"/>
                <w:b w:val="1"/>
                <w:bCs w:val="1"/>
                <w:color w:val="auto"/>
                <w:w w:val="90"/>
              </w:rPr>
              <w:t>December 31, 2010</w:t>
            </w: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January 1,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80" w:type="dxa"/>
            <w:vAlign w:val="bottom"/>
            <w:gridSpan w:val="2"/>
            <w:vMerge w:val="continue"/>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Government Systems</w:t>
            </w: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97,561</w:t>
            </w:r>
          </w:p>
        </w:tc>
        <w:tc>
          <w:tcPr>
            <w:tcW w:w="5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53"/>
              <w:spacing w:after="0"/>
              <w:rPr>
                <w:sz w:val="20"/>
                <w:szCs w:val="20"/>
                <w:color w:val="auto"/>
              </w:rPr>
            </w:pPr>
            <w:r>
              <w:rPr>
                <w:rFonts w:ascii="Arial" w:cs="Arial" w:eastAsia="Arial" w:hAnsi="Arial"/>
                <w:sz w:val="18"/>
                <w:szCs w:val="18"/>
                <w:color w:val="auto"/>
              </w:rPr>
              <w:t>89,078</w:t>
            </w:r>
          </w:p>
        </w:tc>
        <w:tc>
          <w:tcPr>
            <w:tcW w:w="62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281,343</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284,453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Networks</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39,048</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53"/>
              <w:spacing w:after="0"/>
              <w:rPr>
                <w:sz w:val="20"/>
                <w:szCs w:val="20"/>
                <w:color w:val="auto"/>
              </w:rPr>
            </w:pPr>
            <w:r>
              <w:rPr>
                <w:rFonts w:ascii="Arial" w:cs="Arial" w:eastAsia="Arial" w:hAnsi="Arial"/>
                <w:sz w:val="18"/>
                <w:szCs w:val="18"/>
                <w:color w:val="auto"/>
              </w:rPr>
              <w:t>55,009</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128,979</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172,709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Satellite Services</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59,332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253"/>
              <w:spacing w:after="0"/>
              <w:rPr>
                <w:sz w:val="20"/>
                <w:szCs w:val="20"/>
                <w:color w:val="auto"/>
              </w:rPr>
            </w:pPr>
            <w:r>
              <w:rPr>
                <w:rFonts w:ascii="Arial" w:cs="Arial" w:eastAsia="Arial" w:hAnsi="Arial"/>
                <w:sz w:val="18"/>
                <w:szCs w:val="18"/>
                <w:color w:val="auto"/>
              </w:rPr>
              <w:t>12,277</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175,512</w:t>
            </w: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Elimination of intersegment revenues</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5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195,941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156,364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585,834</w:t>
            </w:r>
          </w:p>
        </w:tc>
        <w:tc>
          <w:tcPr>
            <w:tcW w:w="5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475,438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profits (losses)</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Government Systems</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8,166</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253"/>
              <w:spacing w:after="0"/>
              <w:rPr>
                <w:sz w:val="20"/>
                <w:szCs w:val="20"/>
                <w:color w:val="auto"/>
              </w:rPr>
            </w:pPr>
            <w:r>
              <w:rPr>
                <w:rFonts w:ascii="Arial" w:cs="Arial" w:eastAsia="Arial" w:hAnsi="Arial"/>
                <w:sz w:val="18"/>
                <w:szCs w:val="18"/>
                <w:color w:val="auto"/>
              </w:rPr>
              <w:t>10,780</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22,632</w:t>
            </w: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Networks</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(4,160)</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93"/>
              <w:spacing w:after="0"/>
              <w:rPr>
                <w:sz w:val="20"/>
                <w:szCs w:val="20"/>
                <w:color w:val="auto"/>
              </w:rPr>
            </w:pPr>
            <w:r>
              <w:rPr>
                <w:rFonts w:ascii="Arial" w:cs="Arial" w:eastAsia="Arial" w:hAnsi="Arial"/>
                <w:sz w:val="18"/>
                <w:szCs w:val="18"/>
                <w:color w:val="auto"/>
              </w:rPr>
              <w:t>(835)</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(7,677)</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Satellite Services</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7,929</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93"/>
              <w:spacing w:after="0"/>
              <w:rPr>
                <w:sz w:val="20"/>
                <w:szCs w:val="20"/>
                <w:color w:val="auto"/>
              </w:rPr>
            </w:pPr>
            <w:r>
              <w:rPr>
                <w:rFonts w:ascii="Arial" w:cs="Arial" w:eastAsia="Arial" w:hAnsi="Arial"/>
                <w:sz w:val="18"/>
                <w:szCs w:val="18"/>
                <w:color w:val="auto"/>
              </w:rPr>
              <w:t>(6,177)</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27,096</w:t>
            </w:r>
          </w:p>
        </w:tc>
        <w:tc>
          <w:tcPr>
            <w:tcW w:w="3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Elimination of intersegment operating profits</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Segment operating profit before corporate and amortization</w:t>
            </w:r>
          </w:p>
        </w:tc>
        <w:tc>
          <w:tcPr>
            <w:tcW w:w="5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11,935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42,051</w:t>
            </w:r>
          </w:p>
        </w:tc>
        <w:tc>
          <w:tcPr>
            <w:tcW w:w="5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93"/>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44</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Amortization of acquired intangible assets</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(4,923)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93"/>
              <w:spacing w:after="0"/>
              <w:rPr>
                <w:sz w:val="20"/>
                <w:szCs w:val="20"/>
                <w:color w:val="auto"/>
              </w:rPr>
            </w:pPr>
            <w:r>
              <w:rPr>
                <w:rFonts w:ascii="Arial" w:cs="Arial" w:eastAsia="Arial" w:hAnsi="Arial"/>
                <w:sz w:val="18"/>
                <w:szCs w:val="18"/>
                <w:color w:val="auto"/>
              </w:rPr>
              <w:t>(1,901)</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(14,627)</w:t>
            </w:r>
          </w:p>
        </w:tc>
        <w:tc>
          <w:tcPr>
            <w:tcW w:w="3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(4,768)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7,012</w:t>
            </w:r>
          </w:p>
        </w:tc>
        <w:tc>
          <w:tcPr>
            <w:tcW w:w="58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53"/>
              <w:spacing w:after="0"/>
              <w:rPr>
                <w:sz w:val="20"/>
                <w:szCs w:val="20"/>
                <w:color w:val="auto"/>
              </w:rPr>
            </w:pPr>
            <w:r>
              <w:rPr>
                <w:rFonts w:ascii="Arial" w:cs="Arial" w:eastAsia="Arial" w:hAnsi="Arial"/>
                <w:sz w:val="18"/>
                <w:szCs w:val="18"/>
                <w:color w:val="auto"/>
              </w:rPr>
              <w:t>1,862</w:t>
            </w:r>
          </w:p>
        </w:tc>
        <w:tc>
          <w:tcPr>
            <w:tcW w:w="62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27,468</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Amortization of acquired intangible assets by segment for the three and nine months ended December 31, 2010 and January 1, 2010 was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right"/>
              <w:ind w:right="85"/>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Nine Months Ended</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December 31, 2010</w:t>
            </w:r>
          </w:p>
        </w:tc>
        <w:tc>
          <w:tcPr>
            <w:tcW w:w="12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January 1, 2010</w:t>
            </w:r>
          </w:p>
        </w:tc>
        <w:tc>
          <w:tcPr>
            <w:tcW w:w="5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w w:val="71"/>
              </w:rPr>
              <w:t>thousands)</w:t>
            </w:r>
          </w:p>
        </w:tc>
        <w:tc>
          <w:tcPr>
            <w:tcW w:w="17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December 31, 2010</w:t>
            </w: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January 1,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80" w:type="dxa"/>
            <w:vAlign w:val="bottom"/>
            <w:gridSpan w:val="2"/>
            <w:vMerge w:val="continue"/>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714</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33"/>
              <w:spacing w:after="0"/>
              <w:rPr>
                <w:sz w:val="20"/>
                <w:szCs w:val="20"/>
                <w:color w:val="auto"/>
              </w:rPr>
            </w:pPr>
            <w:r>
              <w:rPr>
                <w:rFonts w:ascii="Arial" w:cs="Arial" w:eastAsia="Arial" w:hAnsi="Arial"/>
                <w:sz w:val="18"/>
                <w:szCs w:val="18"/>
                <w:color w:val="auto"/>
              </w:rPr>
              <w:t>272</w:t>
            </w:r>
          </w:p>
        </w:tc>
        <w:tc>
          <w:tcPr>
            <w:tcW w:w="68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1,806</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Commercial Networks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971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233"/>
              <w:spacing w:after="0"/>
              <w:rPr>
                <w:sz w:val="20"/>
                <w:szCs w:val="20"/>
                <w:color w:val="auto"/>
              </w:rPr>
            </w:pPr>
            <w:r>
              <w:rPr>
                <w:rFonts w:ascii="Arial" w:cs="Arial" w:eastAsia="Arial" w:hAnsi="Arial"/>
                <w:sz w:val="18"/>
                <w:szCs w:val="18"/>
                <w:color w:val="auto"/>
              </w:rPr>
              <w:t>1,089</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3,107</w:t>
            </w:r>
          </w:p>
        </w:tc>
        <w:tc>
          <w:tcPr>
            <w:tcW w:w="4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3,412</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3,238</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33"/>
              <w:spacing w:after="0"/>
              <w:rPr>
                <w:sz w:val="20"/>
                <w:szCs w:val="20"/>
                <w:color w:val="auto"/>
              </w:rPr>
            </w:pPr>
            <w:r>
              <w:rPr>
                <w:rFonts w:ascii="Arial" w:cs="Arial" w:eastAsia="Arial" w:hAnsi="Arial"/>
                <w:sz w:val="18"/>
                <w:szCs w:val="18"/>
                <w:color w:val="auto"/>
              </w:rPr>
              <w:t>540</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9,714</w:t>
            </w: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Total amortization of acquired intangible assets</w:t>
            </w: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4,923</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1,901</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14,627</w:t>
            </w:r>
          </w:p>
        </w:tc>
        <w:tc>
          <w:tcPr>
            <w:tcW w:w="56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20" w:firstLine="215"/>
        <w:spacing w:after="0" w:line="277" w:lineRule="auto"/>
        <w:rPr>
          <w:sz w:val="20"/>
          <w:szCs w:val="20"/>
          <w:color w:val="auto"/>
        </w:rPr>
      </w:pPr>
      <w:r>
        <w:rPr>
          <w:rFonts w:ascii="Arial" w:cs="Arial" w:eastAsia="Arial" w:hAnsi="Arial"/>
          <w:sz w:val="18"/>
          <w:szCs w:val="18"/>
          <w:color w:val="auto"/>
        </w:rPr>
        <w:t>Assets identifiable to segments include: accounts receivable, unbilled accounts receivable, inventory, acquired intangible assets and goodwill. Segment assets as of December 31, 2010 and April 2, 2010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5220" w:type="dxa"/>
            <w:vAlign w:val="bottom"/>
            <w:gridSpan w:val="4"/>
          </w:tcPr>
          <w:p>
            <w:pPr>
              <w:ind w:left="3400"/>
              <w:spacing w:after="0"/>
              <w:rPr>
                <w:sz w:val="20"/>
                <w:szCs w:val="20"/>
                <w:color w:val="auto"/>
              </w:rPr>
            </w:pPr>
            <w:r>
              <w:rPr>
                <w:rFonts w:ascii="Arial" w:cs="Arial" w:eastAsia="Arial" w:hAnsi="Arial"/>
                <w:sz w:val="14"/>
                <w:szCs w:val="14"/>
                <w:b w:val="1"/>
                <w:bCs w:val="1"/>
                <w:color w:val="auto"/>
              </w:rPr>
              <w:t>December 31, 2010</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April 2, 2010</w:t>
            </w: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(In</w:t>
            </w:r>
          </w:p>
        </w:tc>
        <w:tc>
          <w:tcPr>
            <w:tcW w:w="660" w:type="dxa"/>
            <w:vAlign w:val="bottom"/>
          </w:tcPr>
          <w:p>
            <w:pPr>
              <w:spacing w:after="0" w:line="142" w:lineRule="exact"/>
              <w:rPr>
                <w:sz w:val="20"/>
                <w:szCs w:val="20"/>
                <w:color w:val="auto"/>
              </w:rPr>
            </w:pPr>
            <w:r>
              <w:rPr>
                <w:rFonts w:ascii="Arial" w:cs="Arial" w:eastAsia="Arial" w:hAnsi="Arial"/>
                <w:sz w:val="14"/>
                <w:szCs w:val="14"/>
                <w:b w:val="1"/>
                <w:bCs w:val="1"/>
                <w:color w:val="auto"/>
                <w:w w:val="84"/>
              </w:rPr>
              <w:t>thousands)</w:t>
            </w: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3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Government Systems</w:t>
            </w:r>
          </w:p>
        </w:tc>
        <w:tc>
          <w:tcPr>
            <w:tcW w:w="3680" w:type="dxa"/>
            <w:vAlign w:val="bottom"/>
            <w:gridSpan w:val="2"/>
          </w:tcPr>
          <w:p>
            <w:pPr>
              <w:ind w:left="34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215,020</w:t>
            </w:r>
          </w:p>
        </w:tc>
        <w:tc>
          <w:tcPr>
            <w:tcW w:w="6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168,703</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Networks</w:t>
            </w:r>
          </w:p>
        </w:tc>
        <w:tc>
          <w:tcPr>
            <w:tcW w:w="3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128,369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146,990</w:t>
            </w:r>
          </w:p>
        </w:tc>
      </w:tr>
      <w:tr>
        <w:trPr>
          <w:trHeight w:val="223"/>
        </w:trPr>
        <w:tc>
          <w:tcPr>
            <w:tcW w:w="20" w:type="dxa"/>
            <w:vAlign w:val="bottom"/>
          </w:tcPr>
          <w:p>
            <w:pPr>
              <w:spacing w:after="0"/>
              <w:rPr>
                <w:sz w:val="19"/>
                <w:szCs w:val="19"/>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Satellite Services</w:t>
            </w:r>
          </w:p>
        </w:tc>
        <w:tc>
          <w:tcPr>
            <w:tcW w:w="34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96,331</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107,919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segment assets</w:t>
            </w:r>
          </w:p>
        </w:tc>
        <w:tc>
          <w:tcPr>
            <w:tcW w:w="3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439,720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423,612</w:t>
            </w:r>
          </w:p>
        </w:tc>
      </w:tr>
      <w:tr>
        <w:trPr>
          <w:trHeight w:val="223"/>
        </w:trPr>
        <w:tc>
          <w:tcPr>
            <w:tcW w:w="20" w:type="dxa"/>
            <w:vAlign w:val="bottom"/>
          </w:tcPr>
          <w:p>
            <w:pPr>
              <w:spacing w:after="0"/>
              <w:rPr>
                <w:sz w:val="19"/>
                <w:szCs w:val="19"/>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Corporate assets</w:t>
            </w:r>
          </w:p>
        </w:tc>
        <w:tc>
          <w:tcPr>
            <w:tcW w:w="34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916,181</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869,940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680" w:type="dxa"/>
            <w:vAlign w:val="bottom"/>
            <w:gridSpan w:val="2"/>
            <w:shd w:val="clear" w:color="auto" w:fill="CCEEFF"/>
          </w:tcPr>
          <w:p>
            <w:pPr>
              <w:ind w:left="34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1,355,901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1,293,552</w:t>
            </w: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acquired intangible assets and goodwill included in segment assets as of December 31, 2010 and April 2, 2010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4"/>
          </w:tcPr>
          <w:p>
            <w:pPr>
              <w:jc w:val="center"/>
              <w:ind w:left="96"/>
              <w:spacing w:after="0"/>
              <w:rPr>
                <w:sz w:val="20"/>
                <w:szCs w:val="20"/>
                <w:color w:val="auto"/>
              </w:rPr>
            </w:pPr>
            <w:r>
              <w:rPr>
                <w:rFonts w:ascii="Arial" w:cs="Arial" w:eastAsia="Arial" w:hAnsi="Arial"/>
                <w:sz w:val="14"/>
                <w:szCs w:val="14"/>
                <w:b w:val="1"/>
                <w:bCs w:val="1"/>
                <w:color w:val="auto"/>
                <w:w w:val="95"/>
              </w:rPr>
              <w:t>Net Acquired Intangible</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Goodwill</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left="516"/>
              <w:spacing w:after="0"/>
              <w:rPr>
                <w:sz w:val="20"/>
                <w:szCs w:val="20"/>
                <w:color w:val="auto"/>
              </w:rPr>
            </w:pPr>
            <w:r>
              <w:rPr>
                <w:rFonts w:ascii="Arial" w:cs="Arial" w:eastAsia="Arial" w:hAnsi="Arial"/>
                <w:sz w:val="14"/>
                <w:szCs w:val="14"/>
                <w:b w:val="1"/>
                <w:bCs w:val="1"/>
                <w:color w:val="auto"/>
                <w:w w:val="82"/>
              </w:rPr>
              <w:t>Assets</w:t>
            </w: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December 31, 2010</w:t>
            </w:r>
          </w:p>
        </w:tc>
        <w:tc>
          <w:tcPr>
            <w:tcW w:w="920" w:type="dxa"/>
            <w:vAlign w:val="bottom"/>
            <w:gridSpan w:val="3"/>
          </w:tcPr>
          <w:p>
            <w:pPr>
              <w:ind w:left="140"/>
              <w:spacing w:after="0" w:line="142" w:lineRule="exact"/>
              <w:rPr>
                <w:sz w:val="20"/>
                <w:szCs w:val="20"/>
                <w:color w:val="auto"/>
              </w:rPr>
            </w:pPr>
            <w:r>
              <w:rPr>
                <w:rFonts w:ascii="Arial" w:cs="Arial" w:eastAsia="Arial" w:hAnsi="Arial"/>
                <w:sz w:val="14"/>
                <w:szCs w:val="14"/>
                <w:b w:val="1"/>
                <w:bCs w:val="1"/>
                <w:color w:val="auto"/>
                <w:w w:val="92"/>
              </w:rPr>
              <w:t>April 2, 2010</w:t>
            </w:r>
          </w:p>
        </w:tc>
        <w:tc>
          <w:tcPr>
            <w:tcW w:w="6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w w:val="71"/>
              </w:rPr>
              <w:t>thousands)</w:t>
            </w:r>
          </w:p>
        </w:tc>
        <w:tc>
          <w:tcPr>
            <w:tcW w:w="16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December 31, 2010</w:t>
            </w:r>
          </w:p>
        </w:tc>
        <w:tc>
          <w:tcPr>
            <w:tcW w:w="90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w w:val="94"/>
              </w:rPr>
              <w:t>April 2,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00" w:type="dxa"/>
            <w:vAlign w:val="bottom"/>
            <w:gridSpan w:val="2"/>
            <w:vMerge w:val="continue"/>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3"/>
              </w:rPr>
              <w:t>11,442</w:t>
            </w:r>
          </w:p>
        </w:tc>
        <w:tc>
          <w:tcPr>
            <w:tcW w:w="4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33"/>
              <w:spacing w:after="0"/>
              <w:rPr>
                <w:sz w:val="20"/>
                <w:szCs w:val="20"/>
                <w:color w:val="auto"/>
              </w:rPr>
            </w:pPr>
            <w:r>
              <w:rPr>
                <w:rFonts w:ascii="Arial" w:cs="Arial" w:eastAsia="Arial" w:hAnsi="Arial"/>
                <w:sz w:val="18"/>
                <w:szCs w:val="18"/>
                <w:color w:val="auto"/>
              </w:rPr>
              <w:t>1,708</w:t>
            </w: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30,218</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22,161</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Commercial Networks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6,291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233"/>
              <w:spacing w:after="0"/>
              <w:rPr>
                <w:sz w:val="20"/>
                <w:szCs w:val="20"/>
                <w:color w:val="auto"/>
              </w:rPr>
            </w:pPr>
            <w:r>
              <w:rPr>
                <w:rFonts w:ascii="Arial" w:cs="Arial" w:eastAsia="Arial" w:hAnsi="Arial"/>
                <w:sz w:val="18"/>
                <w:szCs w:val="18"/>
                <w:color w:val="auto"/>
              </w:rPr>
              <w:t>9,389</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43,684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43,461</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68,578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33"/>
              <w:spacing w:after="0"/>
              <w:rPr>
                <w:sz w:val="20"/>
                <w:szCs w:val="20"/>
                <w:color w:val="auto"/>
              </w:rPr>
            </w:pPr>
            <w:r>
              <w:rPr>
                <w:rFonts w:ascii="Arial" w:cs="Arial" w:eastAsia="Arial" w:hAnsi="Arial"/>
                <w:sz w:val="18"/>
                <w:szCs w:val="18"/>
                <w:color w:val="auto"/>
                <w:w w:val="87"/>
              </w:rPr>
              <w:t>78,292</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8,657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9,402</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3"/>
              </w:rPr>
              <w:t>86,311</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89,389</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82,559</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 information by geographic area for the three and nine months ended December 31, 2010 and January 1, 2010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w w:val="98"/>
              </w:rPr>
              <w:t>Three Months Ended</w:t>
            </w:r>
          </w:p>
        </w:tc>
        <w:tc>
          <w:tcPr>
            <w:tcW w:w="64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w w:val="97"/>
              </w:rPr>
              <w:t>Nine Months Ended</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December 31, 2010</w:t>
            </w:r>
          </w:p>
        </w:tc>
        <w:tc>
          <w:tcPr>
            <w:tcW w:w="1260" w:type="dxa"/>
            <w:vAlign w:val="bottom"/>
            <w:gridSpan w:val="3"/>
          </w:tcPr>
          <w:p>
            <w:pPr>
              <w:ind w:left="280"/>
              <w:spacing w:after="0" w:line="142" w:lineRule="exact"/>
              <w:rPr>
                <w:sz w:val="20"/>
                <w:szCs w:val="20"/>
                <w:color w:val="auto"/>
              </w:rPr>
            </w:pPr>
            <w:r>
              <w:rPr>
                <w:rFonts w:ascii="Arial" w:cs="Arial" w:eastAsia="Arial" w:hAnsi="Arial"/>
                <w:sz w:val="14"/>
                <w:szCs w:val="14"/>
                <w:b w:val="1"/>
                <w:bCs w:val="1"/>
                <w:color w:val="auto"/>
                <w:w w:val="92"/>
              </w:rPr>
              <w:t>January 1, 2010</w:t>
            </w:r>
          </w:p>
        </w:tc>
        <w:tc>
          <w:tcPr>
            <w:tcW w:w="580" w:type="dxa"/>
            <w:vAlign w:val="bottom"/>
            <w:vMerge w:val="restart"/>
          </w:tcPr>
          <w:p>
            <w:pPr>
              <w:ind w:left="60"/>
              <w:spacing w:after="0"/>
              <w:rPr>
                <w:sz w:val="20"/>
                <w:szCs w:val="20"/>
                <w:color w:val="auto"/>
              </w:rPr>
            </w:pPr>
            <w:r>
              <w:rPr>
                <w:rFonts w:ascii="Arial" w:cs="Arial" w:eastAsia="Arial" w:hAnsi="Arial"/>
                <w:sz w:val="13"/>
                <w:szCs w:val="13"/>
                <w:b w:val="1"/>
                <w:bCs w:val="1"/>
                <w:color w:val="auto"/>
                <w:w w:val="71"/>
              </w:rPr>
              <w:t>thousands)</w:t>
            </w:r>
          </w:p>
        </w:tc>
        <w:tc>
          <w:tcPr>
            <w:tcW w:w="17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December 31, 2010</w:t>
            </w: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January 1,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80" w:type="dxa"/>
            <w:vAlign w:val="bottom"/>
            <w:vMerge w:val="continue"/>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165,763</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13"/>
              <w:spacing w:after="0"/>
              <w:rPr>
                <w:sz w:val="20"/>
                <w:szCs w:val="20"/>
                <w:color w:val="auto"/>
              </w:rPr>
            </w:pPr>
            <w:r>
              <w:rPr>
                <w:rFonts w:ascii="Arial" w:cs="Arial" w:eastAsia="Arial" w:hAnsi="Arial"/>
                <w:sz w:val="18"/>
                <w:szCs w:val="18"/>
                <w:color w:val="auto"/>
                <w:w w:val="95"/>
              </w:rPr>
              <w:t>120,321</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493,863</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380,723</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20,301</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513"/>
              <w:spacing w:after="0"/>
              <w:rPr>
                <w:sz w:val="20"/>
                <w:szCs w:val="20"/>
                <w:color w:val="auto"/>
              </w:rPr>
            </w:pPr>
            <w:r>
              <w:rPr>
                <w:rFonts w:ascii="Arial" w:cs="Arial" w:eastAsia="Arial" w:hAnsi="Arial"/>
                <w:sz w:val="18"/>
                <w:szCs w:val="18"/>
                <w:color w:val="auto"/>
              </w:rPr>
              <w:t>24,662</w:t>
            </w:r>
          </w:p>
        </w:tc>
        <w:tc>
          <w:tcPr>
            <w:tcW w:w="36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62,502</w:t>
            </w:r>
          </w:p>
        </w:tc>
        <w:tc>
          <w:tcPr>
            <w:tcW w:w="3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64,261</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5,870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13"/>
              <w:spacing w:after="0"/>
              <w:rPr>
                <w:sz w:val="20"/>
                <w:szCs w:val="20"/>
                <w:color w:val="auto"/>
              </w:rPr>
            </w:pPr>
            <w:r>
              <w:rPr>
                <w:rFonts w:ascii="Arial" w:cs="Arial" w:eastAsia="Arial" w:hAnsi="Arial"/>
                <w:sz w:val="18"/>
                <w:szCs w:val="18"/>
                <w:color w:val="auto"/>
              </w:rPr>
              <w:t>5,944</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18,715</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18,380</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North America other than United States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2,370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513"/>
              <w:spacing w:after="0"/>
              <w:rPr>
                <w:sz w:val="20"/>
                <w:szCs w:val="20"/>
                <w:color w:val="auto"/>
              </w:rPr>
            </w:pPr>
            <w:r>
              <w:rPr>
                <w:rFonts w:ascii="Arial" w:cs="Arial" w:eastAsia="Arial" w:hAnsi="Arial"/>
                <w:sz w:val="18"/>
                <w:szCs w:val="18"/>
                <w:color w:val="auto"/>
              </w:rPr>
              <w:t>2,782</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5,469</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5,650</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Latin America</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1,637</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13"/>
              <w:spacing w:after="0"/>
              <w:rPr>
                <w:sz w:val="20"/>
                <w:szCs w:val="20"/>
                <w:color w:val="auto"/>
              </w:rPr>
            </w:pPr>
            <w:r>
              <w:rPr>
                <w:rFonts w:ascii="Arial" w:cs="Arial" w:eastAsia="Arial" w:hAnsi="Arial"/>
                <w:sz w:val="18"/>
                <w:szCs w:val="18"/>
                <w:color w:val="auto"/>
              </w:rPr>
              <w:t>2,655</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6,424</w:t>
            </w:r>
          </w:p>
        </w:tc>
        <w:tc>
          <w:tcPr>
            <w:tcW w:w="0" w:type="dxa"/>
            <w:vAlign w:val="bottom"/>
          </w:tcPr>
          <w:p>
            <w:pPr>
              <w:spacing w:after="0"/>
              <w:rPr>
                <w:sz w:val="1"/>
                <w:szCs w:val="1"/>
                <w:color w:val="auto"/>
              </w:rPr>
            </w:pPr>
          </w:p>
        </w:tc>
      </w:tr>
      <w:tr>
        <w:trPr>
          <w:trHeight w:val="223"/>
        </w:trPr>
        <w:tc>
          <w:tcPr>
            <w:tcW w:w="5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195,941</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156,364</w:t>
            </w:r>
          </w:p>
        </w:tc>
        <w:tc>
          <w:tcPr>
            <w:tcW w:w="5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585,834</w:t>
            </w:r>
          </w:p>
        </w:tc>
        <w:tc>
          <w:tcPr>
            <w:tcW w:w="5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475,438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distinguishes revenues from external customers by geographic area based on customer location.</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480" w:firstLine="222"/>
        <w:spacing w:after="0" w:line="277" w:lineRule="auto"/>
        <w:rPr>
          <w:sz w:val="20"/>
          <w:szCs w:val="20"/>
          <w:color w:val="auto"/>
        </w:rPr>
      </w:pPr>
      <w:r>
        <w:rPr>
          <w:rFonts w:ascii="Arial" w:cs="Arial" w:eastAsia="Arial" w:hAnsi="Arial"/>
          <w:sz w:val="18"/>
          <w:szCs w:val="18"/>
          <w:color w:val="auto"/>
        </w:rPr>
        <w:t>The net book value of long-lived assets located outside the United States was $5.4 million and $4.4 million at December 31, 2010 and April 2, 2010,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Certain Relationships and Related-Party Transactions</w:t>
      </w:r>
    </w:p>
    <w:p>
      <w:pPr>
        <w:spacing w:after="0" w:line="121"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color w:val="auto"/>
        </w:rPr>
        <w:t>Michael Targoff, a director of the Company since February 2003, currently serves as the Chief Executive Officer and the Vice Chairman of the board of directors of Loral Space &amp; Communications, Inc. (Loral), the parent of Space Systems/Loral, Inc. (SS/L), and is also a director of Telesat Holdings Inc., a joint venture company formed by Loral and the Public Sector Pension Investment Board to acquire Telesat Canada in October 2007. John Stenbit, a director of the Company since August 2004, also currently serves on the board of directors of Loral.</w:t>
      </w:r>
    </w:p>
    <w:p>
      <w:pPr>
        <w:spacing w:after="0" w:line="79"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In January 2008, the Company entered into a satellite construction contract with SS/L under which the Company purchased a new high-capacity Ka-band spot-beam satellite (ViaSat-1) designed by the Company and currently under construction by SS/L for approximately $209.1 million, subject to purchase price adjustments based on satellite performance. In addition, the Company entered into a beam sharing agreement with Loral, whereby Loral is responsible for contributing 15% of the total costs (estimated at approximately $57.6 million) associated with the ViaSat-1 satellite project. The Company’s purchase of the ViaSat-1 satellite from SS/L was approved by the disinterested members of the Company’s Board of Directors, after a determination by the disinterested members of the Company’s Board that the terms and conditions of the purchase were fair to and in the best interests of the Company and its stockholders.</w:t>
      </w:r>
    </w:p>
    <w:p>
      <w:pPr>
        <w:spacing w:after="0" w:line="57"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During the nine months ended December 31, 2010 and January 1, 2010, under the satellite construction contract, the Company paid $23.1 million and $51.3 million, respectively, to SS/L and had no outstanding payables and $3.8 million payable to SS/L as of December 31, 2010 and April 2, 2010, respectively. During the nine months ended December 31, 2010 and January 1, 2010, the Company also received $8.2 million and $2.4 million, respectively, from SS/L under the beam sharing agreement with Loral. Accounts receivable due from SS/L under the beam sharing agreement with Loral were less than $0.1 million and $3.8 million as of December 31, 2010 and April 2, 2010, respectively.</w:t>
      </w:r>
    </w:p>
    <w:p>
      <w:pPr>
        <w:spacing w:after="0" w:line="80"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From time to time the Company enters into various contracts in the ordinary course of business with SS/L and Telesat Canada. Under a contract with SS/L, the Company recognized $1.2 million and $1.4 million in revenue during the three and nine months ended December 31, 2010, respectively, and received $3.9 million of cash during the nine months ended December 31, 2010. The Company recognized no revenue during the three and nine months ended January 1, 2010 and had no cash receipts during the nine months ended January 1, 2010 related to a contract with SS/L. Collections in excess of revenues and deferred revenues related to a contract with SS/L were $2.5 million and $0.8 million as of December 31, 2010 and April 2, 2010, respectively. Accounts receivable due from Telesat Canada as of December 31, 2010 and April 2, 2010 were $0.1 million and $0.9 million, respectively. The Company also recognized $1.0 million and $6.0 million of expense related to Telesat Canada during the three and nine months ended December 31, 2010, respectively, and no material amounts during the three and nine months ended January 1, 2010. All other amounts related to SS/L and Telesat Canada, excluding activities under the ViaSat-1 related satellite contracts, were not material.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Financial Statements of Parent and Subsidiary Guarantors</w:t>
      </w:r>
    </w:p>
    <w:p>
      <w:pPr>
        <w:spacing w:after="0" w:line="121" w:lineRule="exact"/>
        <w:rPr>
          <w:sz w:val="20"/>
          <w:szCs w:val="20"/>
          <w:color w:val="auto"/>
        </w:rPr>
      </w:pPr>
    </w:p>
    <w:p>
      <w:pPr>
        <w:ind w:right="180" w:firstLine="225"/>
        <w:spacing w:after="0" w:line="291" w:lineRule="auto"/>
        <w:rPr>
          <w:sz w:val="20"/>
          <w:szCs w:val="20"/>
          <w:color w:val="auto"/>
        </w:rPr>
      </w:pPr>
      <w:r>
        <w:rPr>
          <w:rFonts w:ascii="Arial" w:cs="Arial" w:eastAsia="Arial" w:hAnsi="Arial"/>
          <w:sz w:val="16"/>
          <w:szCs w:val="16"/>
          <w:color w:val="auto"/>
        </w:rPr>
        <w:t>On October 22, 2009, the Company issued $275.0 million in principal amount of Notes in a private placement to institutional buyers. The Notes were exchanged in May 2010 for substantially identical Notes that had been registered with the SEC. The Notes are jointly and severally guaranteed on a full and unconditional basis by each of the Guarantor Subsidiaries, which are 100% owned by the Company. The indenture governing the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59" w:lineRule="exact"/>
        <w:rPr>
          <w:sz w:val="20"/>
          <w:szCs w:val="20"/>
          <w:color w:val="auto"/>
        </w:rPr>
      </w:pPr>
    </w:p>
    <w:p>
      <w:pPr>
        <w:ind w:right="180" w:firstLine="222"/>
        <w:spacing w:after="0" w:line="312" w:lineRule="auto"/>
        <w:rPr>
          <w:sz w:val="20"/>
          <w:szCs w:val="20"/>
          <w:color w:val="auto"/>
        </w:rPr>
      </w:pPr>
      <w:r>
        <w:rPr>
          <w:rFonts w:ascii="Arial" w:cs="Arial" w:eastAsia="Arial" w:hAnsi="Arial"/>
          <w:sz w:val="16"/>
          <w:szCs w:val="16"/>
          <w:color w:val="auto"/>
        </w:rPr>
        <w:t>The following supplemental financial information sets forth, on a condensed consolidating basis, the balance sheets, statements of operations and statements of cash flows for the Company (as “Issuing Parent Company”), the Guarantor Subsidiaries, the non-guarantor subsidiaries and total consolidated Company and subsidiaries as of December 31, 2010 and April 2, 2010 and for the three and nine months ended December 31, 2010 and January 1, 2010.</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 as of December 31, 2010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Issuing Parent</w:t>
            </w:r>
          </w:p>
        </w:tc>
        <w:tc>
          <w:tcPr>
            <w:tcW w:w="420" w:type="dxa"/>
            <w:vAlign w:val="bottom"/>
          </w:tcPr>
          <w:p>
            <w:pPr>
              <w:spacing w:after="0"/>
              <w:rPr>
                <w:sz w:val="14"/>
                <w:szCs w:val="14"/>
                <w:color w:val="auto"/>
              </w:rPr>
            </w:pPr>
          </w:p>
        </w:tc>
        <w:tc>
          <w:tcPr>
            <w:tcW w:w="96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Guarantor</w:t>
            </w:r>
          </w:p>
        </w:tc>
        <w:tc>
          <w:tcPr>
            <w:tcW w:w="360" w:type="dxa"/>
            <w:vAlign w:val="bottom"/>
          </w:tcPr>
          <w:p>
            <w:pPr>
              <w:spacing w:after="0"/>
              <w:rPr>
                <w:sz w:val="14"/>
                <w:szCs w:val="14"/>
                <w:color w:val="auto"/>
              </w:rPr>
            </w:pPr>
          </w:p>
        </w:tc>
        <w:tc>
          <w:tcPr>
            <w:tcW w:w="1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Non-Guarantor</w:t>
            </w:r>
          </w:p>
        </w:tc>
        <w:tc>
          <w:tcPr>
            <w:tcW w:w="6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Consolidation and</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rPr>
              <w:t>Elimination</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b w:val="1"/>
                <w:bCs w:val="1"/>
                <w:color w:val="auto"/>
                <w:w w:val="97"/>
              </w:rPr>
              <w:t>Company</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4"/>
              </w:rPr>
              <w:t>Adjustments</w:t>
            </w: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15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5"/>
              </w:rPr>
              <w:t>(Unaudited, in thousands)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6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27,719</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8,778</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8,867</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157,538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10,796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7,615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175,949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85,730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2,805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16,480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866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19,383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4,728</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1,218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306,850</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32,380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20,505</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359,735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Satellites,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268,211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264,134</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98,632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95,985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8,101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201,643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acquired intangible assets,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7,190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68,579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10,542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63,940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8,534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10,085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82,559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Investments in subsidiaries and intercompany</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503,399</w:t>
            </w: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7,572</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(513,485)</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70,791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21,874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643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93,308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1,319,013</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494,000</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57,448</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(514,560)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1,355,901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vMerge w:val="restart"/>
          </w:tcPr>
          <w:p>
            <w:pPr>
              <w:ind w:left="800"/>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47,248</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7,030</w:t>
            </w:r>
          </w:p>
        </w:tc>
        <w:tc>
          <w:tcPr>
            <w:tcW w:w="220" w:type="dxa"/>
            <w:vAlign w:val="bottom"/>
          </w:tcPr>
          <w:p>
            <w:pPr>
              <w:spacing w:after="0"/>
              <w:rPr>
                <w:sz w:val="18"/>
                <w:szCs w:val="18"/>
                <w:color w:val="auto"/>
              </w:rPr>
            </w:pP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745</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95,038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22,783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4,357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Current portion of other long-term debt</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680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142,366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30,493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5,102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Senior Notes due 2016, net</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272,172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272,172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long-term debt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50,235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Intercompany payables</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17,245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17,570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(34,815)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18,240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8,688</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3,381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500,258</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40,937</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26,053</w:t>
            </w: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(34,815)</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532,433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ViaSat, Inc. stockholders’ equity</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ViaSat, Inc. stockholders’ equity</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818,755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453,063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31,395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(483,647)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Noncontrolling interest in subsidiary</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3,902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equity</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818,755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453,063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31,395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(479,745)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823,468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Total liabilities and equity</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1,319,013</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494,000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57,448</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(514,560)</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1,355,901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 as of April 2, 2010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Issuing Parent</w:t>
            </w:r>
          </w:p>
        </w:tc>
        <w:tc>
          <w:tcPr>
            <w:tcW w:w="420" w:type="dxa"/>
            <w:vAlign w:val="bottom"/>
          </w:tcPr>
          <w:p>
            <w:pPr>
              <w:spacing w:after="0"/>
              <w:rPr>
                <w:sz w:val="14"/>
                <w:szCs w:val="14"/>
                <w:color w:val="auto"/>
              </w:rPr>
            </w:pPr>
          </w:p>
        </w:tc>
        <w:tc>
          <w:tcPr>
            <w:tcW w:w="96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Guarantor</w:t>
            </w:r>
          </w:p>
        </w:tc>
        <w:tc>
          <w:tcPr>
            <w:tcW w:w="360" w:type="dxa"/>
            <w:vAlign w:val="bottom"/>
          </w:tcPr>
          <w:p>
            <w:pPr>
              <w:spacing w:after="0"/>
              <w:rPr>
                <w:sz w:val="14"/>
                <w:szCs w:val="14"/>
                <w:color w:val="auto"/>
              </w:rPr>
            </w:pPr>
          </w:p>
        </w:tc>
        <w:tc>
          <w:tcPr>
            <w:tcW w:w="1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Non-Guarantor</w:t>
            </w:r>
          </w:p>
        </w:tc>
        <w:tc>
          <w:tcPr>
            <w:tcW w:w="6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Consolidation and</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rPr>
              <w:t>Elimination</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b w:val="1"/>
                <w:bCs w:val="1"/>
                <w:color w:val="auto"/>
                <w:w w:val="97"/>
              </w:rPr>
              <w:t>Company</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4"/>
              </w:rPr>
              <w:t>Adjustments</w:t>
            </w: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15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5"/>
              </w:rPr>
              <w:t>(Unaudited, in thousands)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64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66,258</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16,216</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7,157</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89,631</w:t>
            </w:r>
          </w:p>
        </w:tc>
        <w:tc>
          <w:tcPr>
            <w:tcW w:w="0" w:type="dxa"/>
            <w:vAlign w:val="bottom"/>
          </w:tcPr>
          <w:p>
            <w:pPr>
              <w:spacing w:after="0"/>
              <w:rPr>
                <w:sz w:val="1"/>
                <w:szCs w:val="1"/>
                <w:color w:val="auto"/>
              </w:rPr>
            </w:pP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160,807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11,983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3,561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176,351</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75,222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1,427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82,962</w:t>
            </w:r>
          </w:p>
        </w:tc>
        <w:tc>
          <w:tcPr>
            <w:tcW w:w="0" w:type="dxa"/>
            <w:vAlign w:val="bottom"/>
          </w:tcPr>
          <w:p>
            <w:pPr>
              <w:spacing w:after="0"/>
              <w:rPr>
                <w:sz w:val="1"/>
                <w:szCs w:val="1"/>
                <w:color w:val="auto"/>
              </w:rPr>
            </w:pP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16,480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866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17,346</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25,457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896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28,857</w:t>
            </w:r>
          </w:p>
        </w:tc>
        <w:tc>
          <w:tcPr>
            <w:tcW w:w="0" w:type="dxa"/>
            <w:vAlign w:val="bottom"/>
          </w:tcPr>
          <w:p>
            <w:pPr>
              <w:spacing w:after="0"/>
              <w:rPr>
                <w:sz w:val="1"/>
                <w:szCs w:val="1"/>
                <w:color w:val="auto"/>
              </w:rPr>
            </w:pPr>
          </w:p>
        </w:tc>
      </w:tr>
      <w:tr>
        <w:trPr>
          <w:trHeight w:val="223"/>
        </w:trPr>
        <w:tc>
          <w:tcPr>
            <w:tcW w:w="442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344,224</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37,882</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13,041</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Satellites,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209,431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286,258</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495,689</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66,928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82,679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7,141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155,804</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acquired intangible assets,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10,872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78,292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89,389</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63,940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9,279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1,805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75,024</w:t>
            </w:r>
          </w:p>
        </w:tc>
        <w:tc>
          <w:tcPr>
            <w:tcW w:w="0" w:type="dxa"/>
            <w:vAlign w:val="bottom"/>
          </w:tcPr>
          <w:p>
            <w:pPr>
              <w:spacing w:after="0"/>
              <w:rPr>
                <w:sz w:val="1"/>
                <w:szCs w:val="1"/>
                <w:color w:val="auto"/>
              </w:rPr>
            </w:pPr>
          </w:p>
        </w:tc>
      </w:tr>
      <w:tr>
        <w:trPr>
          <w:trHeight w:val="202"/>
        </w:trPr>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Investments in subsidiaries and intercompany</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596,313</w:t>
            </w: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7,654</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(606,291)</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60,812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21,070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617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82,499</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1,352,520</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517,784</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30,483</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(607,235)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1,293,552</w:t>
            </w:r>
          </w:p>
        </w:tc>
        <w:tc>
          <w:tcPr>
            <w:tcW w:w="0" w:type="dxa"/>
            <w:vAlign w:val="bottom"/>
          </w:tcPr>
          <w:p>
            <w:pPr>
              <w:spacing w:after="0"/>
              <w:rPr>
                <w:sz w:val="1"/>
                <w:szCs w:val="1"/>
                <w:color w:val="auto"/>
              </w:rPr>
            </w:pPr>
          </w:p>
        </w:tc>
      </w:tr>
      <w:tr>
        <w:trPr>
          <w:trHeight w:val="20"/>
        </w:trPr>
        <w:tc>
          <w:tcPr>
            <w:tcW w:w="4420" w:type="dxa"/>
            <w:vAlign w:val="bottom"/>
            <w:vMerge w:val="restart"/>
          </w:tcPr>
          <w:p>
            <w:pPr>
              <w:ind w:left="820"/>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71,765</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5,920</w:t>
            </w:r>
          </w:p>
        </w:tc>
        <w:tc>
          <w:tcPr>
            <w:tcW w:w="220" w:type="dxa"/>
            <w:vAlign w:val="bottom"/>
          </w:tcPr>
          <w:p>
            <w:pPr>
              <w:spacing w:after="0"/>
              <w:rPr>
                <w:sz w:val="18"/>
                <w:szCs w:val="18"/>
                <w:color w:val="auto"/>
              </w:rPr>
            </w:pP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670</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78,355</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85,960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14,602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1,689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102,251</w:t>
            </w:r>
          </w:p>
        </w:tc>
        <w:tc>
          <w:tcPr>
            <w:tcW w:w="0" w:type="dxa"/>
            <w:vAlign w:val="bottom"/>
          </w:tcPr>
          <w:p>
            <w:pPr>
              <w:spacing w:after="0"/>
              <w:rPr>
                <w:sz w:val="1"/>
                <w:szCs w:val="1"/>
                <w:color w:val="auto"/>
              </w:rPr>
            </w:pPr>
          </w:p>
        </w:tc>
      </w:tr>
      <w:tr>
        <w:trPr>
          <w:trHeight w:val="223"/>
        </w:trPr>
        <w:tc>
          <w:tcPr>
            <w:tcW w:w="442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157,725</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20,522</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2,359</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Senior Notes due 2016,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271,801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271,801</w:t>
            </w:r>
          </w:p>
        </w:tc>
        <w:tc>
          <w:tcPr>
            <w:tcW w:w="0" w:type="dxa"/>
            <w:vAlign w:val="bottom"/>
          </w:tcPr>
          <w:p>
            <w:pPr>
              <w:spacing w:after="0"/>
              <w:rPr>
                <w:sz w:val="1"/>
                <w:szCs w:val="1"/>
                <w:color w:val="auto"/>
              </w:rPr>
            </w:pP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rPr>
              <w:t>Other long-term debt</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60,000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Intercompany payables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93,468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14,505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(107,973)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16,356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7,990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24,395</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599,350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28,512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16,913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(107,973)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536,802</w:t>
            </w:r>
          </w:p>
        </w:tc>
        <w:tc>
          <w:tcPr>
            <w:tcW w:w="0" w:type="dxa"/>
            <w:vAlign w:val="bottom"/>
          </w:tcPr>
          <w:p>
            <w:pPr>
              <w:spacing w:after="0"/>
              <w:rPr>
                <w:sz w:val="1"/>
                <w:szCs w:val="1"/>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Equity:</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ViaSat, Inc. stockholders’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rPr>
              <w:t>Total ViaSat, Inc. stockholders’ equity</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753,170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489,272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13,570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(503,007)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753,005</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in subsidiary</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3,745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3,745</w:t>
            </w:r>
          </w:p>
        </w:tc>
        <w:tc>
          <w:tcPr>
            <w:tcW w:w="0" w:type="dxa"/>
            <w:vAlign w:val="bottom"/>
          </w:tcPr>
          <w:p>
            <w:pPr>
              <w:spacing w:after="0"/>
              <w:rPr>
                <w:sz w:val="1"/>
                <w:szCs w:val="1"/>
                <w:color w:val="auto"/>
              </w:rPr>
            </w:pPr>
          </w:p>
        </w:tc>
      </w:tr>
      <w:tr>
        <w:trPr>
          <w:trHeight w:val="230"/>
        </w:trPr>
        <w:tc>
          <w:tcPr>
            <w:tcW w:w="4420" w:type="dxa"/>
            <w:vAlign w:val="bottom"/>
          </w:tcPr>
          <w:p>
            <w:pPr>
              <w:ind w:left="220"/>
              <w:spacing w:after="0"/>
              <w:rPr>
                <w:sz w:val="20"/>
                <w:szCs w:val="20"/>
                <w:color w:val="auto"/>
              </w:rPr>
            </w:pPr>
            <w:r>
              <w:rPr>
                <w:rFonts w:ascii="Arial" w:cs="Arial" w:eastAsia="Arial" w:hAnsi="Arial"/>
                <w:sz w:val="18"/>
                <w:szCs w:val="18"/>
                <w:color w:val="auto"/>
              </w:rPr>
              <w:t>Total equity</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753,170</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489,272</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13,570</w:t>
            </w: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(499,262)</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756,750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 and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1,352,520</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517,784</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30,483</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(607,235)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1,293,552</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Operations for the Three Months Ended December 31, 2010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Issuing Parent</w:t>
            </w:r>
          </w:p>
        </w:tc>
        <w:tc>
          <w:tcPr>
            <w:tcW w:w="400" w:type="dxa"/>
            <w:vAlign w:val="bottom"/>
          </w:tcPr>
          <w:p>
            <w:pPr>
              <w:spacing w:after="0"/>
              <w:rPr>
                <w:sz w:val="14"/>
                <w:szCs w:val="14"/>
                <w:color w:val="auto"/>
              </w:rPr>
            </w:pPr>
          </w:p>
        </w:tc>
        <w:tc>
          <w:tcPr>
            <w:tcW w:w="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Guarantor</w:t>
            </w:r>
          </w:p>
        </w:tc>
        <w:tc>
          <w:tcPr>
            <w:tcW w:w="380" w:type="dxa"/>
            <w:vAlign w:val="bottom"/>
          </w:tcPr>
          <w:p>
            <w:pPr>
              <w:spacing w:after="0"/>
              <w:rPr>
                <w:sz w:val="14"/>
                <w:szCs w:val="14"/>
                <w:color w:val="auto"/>
              </w:rPr>
            </w:pPr>
          </w:p>
        </w:tc>
        <w:tc>
          <w:tcPr>
            <w:tcW w:w="1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Non-Guarantor</w:t>
            </w:r>
          </w:p>
        </w:tc>
        <w:tc>
          <w:tcPr>
            <w:tcW w:w="6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Consolidation and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Elimination</w:t>
            </w:r>
          </w:p>
        </w:tc>
        <w:tc>
          <w:tcPr>
            <w:tcW w:w="26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51"/>
              <w:spacing w:after="0"/>
              <w:rPr>
                <w:sz w:val="20"/>
                <w:szCs w:val="20"/>
                <w:color w:val="auto"/>
              </w:rPr>
            </w:pPr>
            <w:r>
              <w:rPr>
                <w:rFonts w:ascii="Arial" w:cs="Arial" w:eastAsia="Arial" w:hAnsi="Arial"/>
                <w:sz w:val="14"/>
                <w:szCs w:val="14"/>
                <w:b w:val="1"/>
                <w:bCs w:val="1"/>
                <w:color w:val="auto"/>
                <w:w w:val="93"/>
              </w:rPr>
              <w:t>Company</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8"/>
              </w:rPr>
              <w:t>Subsidiaries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4"/>
              </w:rPr>
              <w:t>Adjustments</w:t>
            </w:r>
          </w:p>
        </w:tc>
        <w:tc>
          <w:tcPr>
            <w:tcW w:w="2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14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4"/>
              </w:rPr>
              <w:t>(Unaudited, in thousands)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Product revenues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119,849</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1,944</w:t>
            </w:r>
          </w:p>
        </w:tc>
        <w:tc>
          <w:tcPr>
            <w:tcW w:w="200" w:type="dxa"/>
            <w:vAlign w:val="bottom"/>
          </w:tcPr>
          <w:p>
            <w:pPr>
              <w:spacing w:after="0"/>
              <w:rPr>
                <w:sz w:val="18"/>
                <w:szCs w:val="18"/>
                <w:color w:val="auto"/>
              </w:rPr>
            </w:pP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4,733</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(92)</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126,434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 revenues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13,757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53,976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2,188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69,507</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133,606</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55,920</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6,921</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195,941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Cost of product revenues</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88,745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3,347</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3,015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95,009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 revenues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8,604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31,769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1,964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26,081</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11,571</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2,777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Independent research and development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6,546</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Amortization of acquired intangible assets</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1,189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3,238</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496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4,923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2,441</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5,995</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(1,450)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2,523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5,995</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(1,546)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(5,952)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(5,929)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in net income (loss) of consolidated</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subsidiaries</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4,423</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(4,423)</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12,898</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5,968</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(1,542)</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Net income (loss) attributable to noncontrolling</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net of tax</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Net income (loss) attributable to ViaSat, Inc.</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12,898</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5,968</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(1,542)</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vMerge w:val="restart"/>
          </w:tcPr>
          <w:p>
            <w:pPr>
              <w:jc w:val="right"/>
              <w:ind w:right="10"/>
              <w:spacing w:after="0"/>
              <w:rPr>
                <w:sz w:val="20"/>
                <w:szCs w:val="20"/>
                <w:color w:val="auto"/>
              </w:rPr>
            </w:pPr>
            <w:r>
              <w:rPr>
                <w:rFonts w:ascii="Arial" w:cs="Arial" w:eastAsia="Arial" w:hAnsi="Arial"/>
                <w:sz w:val="18"/>
                <w:szCs w:val="18"/>
                <w:color w:val="auto"/>
              </w:rPr>
              <w:t>26</w:t>
            </w: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Operations for the Nine Months Ended December 31, 2010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Issuing Parent</w:t>
            </w:r>
          </w:p>
        </w:tc>
        <w:tc>
          <w:tcPr>
            <w:tcW w:w="400" w:type="dxa"/>
            <w:vAlign w:val="bottom"/>
          </w:tcPr>
          <w:p>
            <w:pPr>
              <w:spacing w:after="0"/>
              <w:rPr>
                <w:sz w:val="14"/>
                <w:szCs w:val="14"/>
                <w:color w:val="auto"/>
              </w:rPr>
            </w:pPr>
          </w:p>
        </w:tc>
        <w:tc>
          <w:tcPr>
            <w:tcW w:w="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Guarantor</w:t>
            </w:r>
          </w:p>
        </w:tc>
        <w:tc>
          <w:tcPr>
            <w:tcW w:w="380" w:type="dxa"/>
            <w:vAlign w:val="bottom"/>
          </w:tcPr>
          <w:p>
            <w:pPr>
              <w:spacing w:after="0"/>
              <w:rPr>
                <w:sz w:val="14"/>
                <w:szCs w:val="14"/>
                <w:color w:val="auto"/>
              </w:rPr>
            </w:pPr>
          </w:p>
        </w:tc>
        <w:tc>
          <w:tcPr>
            <w:tcW w:w="1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Non-Guarantor</w:t>
            </w:r>
          </w:p>
        </w:tc>
        <w:tc>
          <w:tcPr>
            <w:tcW w:w="6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Consolidation and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Elimination</w:t>
            </w:r>
          </w:p>
        </w:tc>
        <w:tc>
          <w:tcPr>
            <w:tcW w:w="26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51"/>
              <w:spacing w:after="0"/>
              <w:rPr>
                <w:sz w:val="20"/>
                <w:szCs w:val="20"/>
                <w:color w:val="auto"/>
              </w:rPr>
            </w:pPr>
            <w:r>
              <w:rPr>
                <w:rFonts w:ascii="Arial" w:cs="Arial" w:eastAsia="Arial" w:hAnsi="Arial"/>
                <w:sz w:val="14"/>
                <w:szCs w:val="14"/>
                <w:b w:val="1"/>
                <w:bCs w:val="1"/>
                <w:color w:val="auto"/>
                <w:w w:val="93"/>
              </w:rPr>
              <w:t>Company</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8"/>
              </w:rPr>
              <w:t>Subsidiaries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4"/>
              </w:rPr>
              <w:t>Adjustments</w:t>
            </w:r>
          </w:p>
        </w:tc>
        <w:tc>
          <w:tcPr>
            <w:tcW w:w="2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14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4"/>
              </w:rPr>
              <w:t>(Unaudited, in thousands)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Product revenues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367,629</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4,124</w:t>
            </w:r>
          </w:p>
        </w:tc>
        <w:tc>
          <w:tcPr>
            <w:tcW w:w="200" w:type="dxa"/>
            <w:vAlign w:val="bottom"/>
          </w:tcPr>
          <w:p>
            <w:pPr>
              <w:spacing w:after="0"/>
              <w:rPr>
                <w:sz w:val="18"/>
                <w:szCs w:val="18"/>
                <w:color w:val="auto"/>
              </w:rPr>
            </w:pP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10,118</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(2,849)</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379,022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 revenues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39,227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160,984</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7,865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206,812</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406,856</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165,108</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17,983</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585,834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Cost of product revenues</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269,181</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5,337</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6,367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(2,711)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278,174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 revenues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26,431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91,476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5,999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(1,224)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122,682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77,078</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38,109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6,135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121,286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Independent research and development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21,191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412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Amortization of acquired intangible assets</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3,682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9,715</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1,230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14,627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9,293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20,471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(2,160)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(3,149)</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(281)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279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6,664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20,471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(2,434)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(5,578)</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5,779</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236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in net income (loss) of consolidated</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subsidiaries</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11,865</w:t>
            </w: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(11,865)</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24,107</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14,692</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(2,670)</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(12,001)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Net income (loss) attributable to noncontrolling</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net of tax</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157</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Net income (loss) attributable to ViaSat, Inc.</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24,107</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14,692</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(2,670)</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vMerge w:val="restart"/>
          </w:tcPr>
          <w:p>
            <w:pPr>
              <w:jc w:val="right"/>
              <w:ind w:right="10"/>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Operations for the Three Months Ended January 1, 2010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89"/>
              </w:rPr>
              <w:t>Issuing</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jc w:val="center"/>
              <w:ind w:right="699"/>
              <w:spacing w:after="0"/>
              <w:rPr>
                <w:sz w:val="20"/>
                <w:szCs w:val="20"/>
                <w:color w:val="auto"/>
              </w:rPr>
            </w:pPr>
            <w:r>
              <w:rPr>
                <w:rFonts w:ascii="Arial" w:cs="Arial" w:eastAsia="Arial" w:hAnsi="Arial"/>
                <w:sz w:val="14"/>
                <w:szCs w:val="14"/>
                <w:b w:val="1"/>
                <w:bCs w:val="1"/>
                <w:color w:val="auto"/>
                <w:w w:val="93"/>
              </w:rPr>
              <w:t>Non-</w:t>
            </w:r>
          </w:p>
        </w:tc>
        <w:tc>
          <w:tcPr>
            <w:tcW w:w="12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Consolidation</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Guarantor</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and</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Parent</w:t>
            </w:r>
          </w:p>
        </w:tc>
        <w:tc>
          <w:tcPr>
            <w:tcW w:w="2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gridSpan w:val="3"/>
          </w:tcPr>
          <w:p>
            <w:pPr>
              <w:jc w:val="center"/>
              <w:ind w:right="559"/>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Elimination</w:t>
            </w:r>
          </w:p>
        </w:tc>
        <w:tc>
          <w:tcPr>
            <w:tcW w:w="3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840" w:type="dxa"/>
            <w:vAlign w:val="bottom"/>
            <w:gridSpan w:val="4"/>
          </w:tcPr>
          <w:p>
            <w:pPr>
              <w:jc w:val="center"/>
              <w:ind w:right="99"/>
              <w:spacing w:after="0"/>
              <w:rPr>
                <w:sz w:val="20"/>
                <w:szCs w:val="20"/>
                <w:color w:val="auto"/>
              </w:rPr>
            </w:pPr>
            <w:r>
              <w:rPr>
                <w:rFonts w:ascii="Arial" w:cs="Arial" w:eastAsia="Arial" w:hAnsi="Arial"/>
                <w:sz w:val="14"/>
                <w:szCs w:val="14"/>
                <w:b w:val="1"/>
                <w:bCs w:val="1"/>
                <w:color w:val="auto"/>
                <w:w w:val="88"/>
              </w:rPr>
              <w:t>Subsidiaries</w:t>
            </w:r>
          </w:p>
        </w:tc>
        <w:tc>
          <w:tcPr>
            <w:tcW w:w="12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Adjustments</w:t>
            </w: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w w:val="82"/>
              </w:rPr>
              <w:t>thousands)</w:t>
            </w: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3"/>
          </w:tcPr>
          <w:p>
            <w:pPr>
              <w:jc w:val="right"/>
              <w:ind w:right="91"/>
              <w:spacing w:after="0" w:line="142" w:lineRule="exact"/>
              <w:rPr>
                <w:sz w:val="20"/>
                <w:szCs w:val="20"/>
                <w:color w:val="auto"/>
              </w:rPr>
            </w:pPr>
            <w:r>
              <w:rPr>
                <w:rFonts w:ascii="Arial" w:cs="Arial" w:eastAsia="Arial" w:hAnsi="Arial"/>
                <w:sz w:val="14"/>
                <w:szCs w:val="14"/>
                <w:b w:val="1"/>
                <w:bCs w:val="1"/>
                <w:color w:val="auto"/>
              </w:rPr>
              <w:t>(Unaudited, in</w:t>
            </w: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Product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136,258</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166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59"/>
              <w:spacing w:after="0"/>
              <w:rPr>
                <w:sz w:val="20"/>
                <w:szCs w:val="20"/>
                <w:color w:val="auto"/>
              </w:rPr>
            </w:pPr>
            <w:r>
              <w:rPr>
                <w:rFonts w:ascii="Arial" w:cs="Arial" w:eastAsia="Arial" w:hAnsi="Arial"/>
                <w:sz w:val="18"/>
                <w:szCs w:val="18"/>
                <w:color w:val="auto"/>
              </w:rPr>
              <w:t>722</w:t>
            </w:r>
          </w:p>
        </w:tc>
        <w:tc>
          <w:tcPr>
            <w:tcW w:w="200" w:type="dxa"/>
            <w:vAlign w:val="bottom"/>
          </w:tcPr>
          <w:p>
            <w:pPr>
              <w:jc w:val="right"/>
              <w:ind w:right="2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137,146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 revenues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10,023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59"/>
              <w:spacing w:after="0"/>
              <w:rPr>
                <w:sz w:val="20"/>
                <w:szCs w:val="20"/>
                <w:color w:val="auto"/>
              </w:rPr>
            </w:pPr>
            <w:r>
              <w:rPr>
                <w:rFonts w:ascii="Arial" w:cs="Arial" w:eastAsia="Arial" w:hAnsi="Arial"/>
                <w:sz w:val="18"/>
                <w:szCs w:val="18"/>
                <w:color w:val="auto"/>
              </w:rPr>
              <w:t>1,032</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19,218</w:t>
            </w: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146,281</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9,004</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1,754</w:t>
            </w:r>
          </w:p>
        </w:tc>
        <w:tc>
          <w:tcPr>
            <w:tcW w:w="6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156,364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Cost of product revenues</w:t>
            </w:r>
          </w:p>
        </w:tc>
        <w:tc>
          <w:tcPr>
            <w:tcW w:w="1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97,378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163</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59"/>
              <w:spacing w:after="0"/>
              <w:rPr>
                <w:sz w:val="20"/>
                <w:szCs w:val="20"/>
                <w:color w:val="auto"/>
              </w:rPr>
            </w:pPr>
            <w:r>
              <w:rPr>
                <w:rFonts w:ascii="Arial" w:cs="Arial" w:eastAsia="Arial" w:hAnsi="Arial"/>
                <w:sz w:val="18"/>
                <w:szCs w:val="18"/>
                <w:color w:val="auto"/>
              </w:rPr>
              <w:t>1,172</w:t>
            </w:r>
          </w:p>
        </w:tc>
        <w:tc>
          <w:tcPr>
            <w:tcW w:w="2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98,708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 revenues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5,855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59"/>
              <w:spacing w:after="0"/>
              <w:rPr>
                <w:sz w:val="20"/>
                <w:szCs w:val="20"/>
                <w:color w:val="auto"/>
              </w:rPr>
            </w:pPr>
            <w:r>
              <w:rPr>
                <w:rFonts w:ascii="Arial" w:cs="Arial" w:eastAsia="Arial" w:hAnsi="Arial"/>
                <w:sz w:val="18"/>
                <w:szCs w:val="18"/>
                <w:color w:val="auto"/>
              </w:rPr>
              <w:t>1,253</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29,096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4,960</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59"/>
              <w:spacing w:after="0"/>
              <w:rPr>
                <w:sz w:val="20"/>
                <w:szCs w:val="20"/>
                <w:color w:val="auto"/>
              </w:rPr>
            </w:pPr>
            <w:r>
              <w:rPr>
                <w:rFonts w:ascii="Arial" w:cs="Arial" w:eastAsia="Arial" w:hAnsi="Arial"/>
                <w:sz w:val="18"/>
                <w:szCs w:val="18"/>
                <w:color w:val="auto"/>
              </w:rPr>
              <w:t>362</w:t>
            </w:r>
          </w:p>
        </w:tc>
        <w:tc>
          <w:tcPr>
            <w:tcW w:w="2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34,416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Independent research and development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7,811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Amortization of acquired intangible assets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1,259</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540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59"/>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4,882</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(1,638)</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99"/>
              <w:spacing w:after="0"/>
              <w:rPr>
                <w:sz w:val="20"/>
                <w:szCs w:val="20"/>
                <w:color w:val="auto"/>
              </w:rPr>
            </w:pPr>
            <w:r>
              <w:rPr>
                <w:rFonts w:ascii="Arial" w:cs="Arial" w:eastAsia="Arial" w:hAnsi="Arial"/>
                <w:sz w:val="18"/>
                <w:szCs w:val="18"/>
                <w:color w:val="auto"/>
              </w:rPr>
              <w:t>(1,188)</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59"/>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(2,121)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99"/>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(1,637)</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99"/>
              <w:spacing w:after="0"/>
              <w:rPr>
                <w:sz w:val="20"/>
                <w:szCs w:val="20"/>
                <w:color w:val="auto"/>
              </w:rPr>
            </w:pPr>
            <w:r>
              <w:rPr>
                <w:rFonts w:ascii="Arial" w:cs="Arial" w:eastAsia="Arial" w:hAnsi="Arial"/>
                <w:sz w:val="18"/>
                <w:szCs w:val="18"/>
                <w:color w:val="auto"/>
              </w:rPr>
              <w:t>(1,196)</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(2,752)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99"/>
              <w:spacing w:after="0"/>
              <w:rPr>
                <w:sz w:val="20"/>
                <w:szCs w:val="20"/>
                <w:color w:val="auto"/>
              </w:rPr>
            </w:pPr>
            <w:r>
              <w:rPr>
                <w:rFonts w:ascii="Arial" w:cs="Arial" w:eastAsia="Arial" w:hAnsi="Arial"/>
                <w:sz w:val="18"/>
                <w:szCs w:val="18"/>
                <w:color w:val="auto"/>
              </w:rPr>
              <w:t>(199)</w:t>
            </w:r>
          </w:p>
        </w:tc>
        <w:tc>
          <w:tcPr>
            <w:tcW w:w="2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Equity in net income (loss) of consolidated subsidiaries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(2,461)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59"/>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2,461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3,441</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(1,648)</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6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2,267</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Net income (loss) attributable to noncontrolling</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net of tax</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59"/>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color w:val="auto"/>
              </w:rPr>
              <w:t>Net income (loss) attributable to ViaSat, Inc.</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3,441</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(1,648</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Operations for the Nine Months Ended January 1, 2010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89"/>
              </w:rPr>
              <w:t>Issuing</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jc w:val="center"/>
              <w:ind w:right="699"/>
              <w:spacing w:after="0"/>
              <w:rPr>
                <w:sz w:val="20"/>
                <w:szCs w:val="20"/>
                <w:color w:val="auto"/>
              </w:rPr>
            </w:pPr>
            <w:r>
              <w:rPr>
                <w:rFonts w:ascii="Arial" w:cs="Arial" w:eastAsia="Arial" w:hAnsi="Arial"/>
                <w:sz w:val="14"/>
                <w:szCs w:val="14"/>
                <w:b w:val="1"/>
                <w:bCs w:val="1"/>
                <w:color w:val="auto"/>
                <w:w w:val="93"/>
              </w:rPr>
              <w:t>Non-</w:t>
            </w:r>
          </w:p>
        </w:tc>
        <w:tc>
          <w:tcPr>
            <w:tcW w:w="12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Consolidation</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Guarantor</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and</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Parent</w:t>
            </w:r>
          </w:p>
        </w:tc>
        <w:tc>
          <w:tcPr>
            <w:tcW w:w="2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gridSpan w:val="3"/>
          </w:tcPr>
          <w:p>
            <w:pPr>
              <w:jc w:val="center"/>
              <w:ind w:right="559"/>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Elimination</w:t>
            </w:r>
          </w:p>
        </w:tc>
        <w:tc>
          <w:tcPr>
            <w:tcW w:w="3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840" w:type="dxa"/>
            <w:vAlign w:val="bottom"/>
            <w:gridSpan w:val="4"/>
          </w:tcPr>
          <w:p>
            <w:pPr>
              <w:jc w:val="center"/>
              <w:ind w:right="99"/>
              <w:spacing w:after="0"/>
              <w:rPr>
                <w:sz w:val="20"/>
                <w:szCs w:val="20"/>
                <w:color w:val="auto"/>
              </w:rPr>
            </w:pPr>
            <w:r>
              <w:rPr>
                <w:rFonts w:ascii="Arial" w:cs="Arial" w:eastAsia="Arial" w:hAnsi="Arial"/>
                <w:sz w:val="14"/>
                <w:szCs w:val="14"/>
                <w:b w:val="1"/>
                <w:bCs w:val="1"/>
                <w:color w:val="auto"/>
                <w:w w:val="88"/>
              </w:rPr>
              <w:t>Subsidiaries</w:t>
            </w:r>
          </w:p>
        </w:tc>
        <w:tc>
          <w:tcPr>
            <w:tcW w:w="12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Adjustments</w:t>
            </w: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w w:val="82"/>
              </w:rPr>
              <w:t>thousands)</w:t>
            </w: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3"/>
          </w:tcPr>
          <w:p>
            <w:pPr>
              <w:jc w:val="right"/>
              <w:ind w:right="91"/>
              <w:spacing w:after="0" w:line="142" w:lineRule="exact"/>
              <w:rPr>
                <w:sz w:val="20"/>
                <w:szCs w:val="20"/>
                <w:color w:val="auto"/>
              </w:rPr>
            </w:pPr>
            <w:r>
              <w:rPr>
                <w:rFonts w:ascii="Arial" w:cs="Arial" w:eastAsia="Arial" w:hAnsi="Arial"/>
                <w:sz w:val="14"/>
                <w:szCs w:val="14"/>
                <w:b w:val="1"/>
                <w:bCs w:val="1"/>
                <w:color w:val="auto"/>
              </w:rPr>
              <w:t>(Unaudited, in</w:t>
            </w: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Product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434,824</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166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59"/>
              <w:spacing w:after="0"/>
              <w:rPr>
                <w:sz w:val="20"/>
                <w:szCs w:val="20"/>
                <w:color w:val="auto"/>
              </w:rPr>
            </w:pPr>
            <w:r>
              <w:rPr>
                <w:rFonts w:ascii="Arial" w:cs="Arial" w:eastAsia="Arial" w:hAnsi="Arial"/>
                <w:sz w:val="18"/>
                <w:szCs w:val="18"/>
                <w:color w:val="auto"/>
              </w:rPr>
              <w:t>3,239</w:t>
            </w:r>
          </w:p>
        </w:tc>
        <w:tc>
          <w:tcPr>
            <w:tcW w:w="200" w:type="dxa"/>
            <w:vAlign w:val="bottom"/>
          </w:tcPr>
          <w:p>
            <w:pPr>
              <w:jc w:val="right"/>
              <w:ind w:right="2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(340)</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437,889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 revenues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26,240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59"/>
              <w:spacing w:after="0"/>
              <w:rPr>
                <w:sz w:val="20"/>
                <w:szCs w:val="20"/>
                <w:color w:val="auto"/>
              </w:rPr>
            </w:pPr>
            <w:r>
              <w:rPr>
                <w:rFonts w:ascii="Arial" w:cs="Arial" w:eastAsia="Arial" w:hAnsi="Arial"/>
                <w:sz w:val="18"/>
                <w:szCs w:val="18"/>
                <w:color w:val="auto"/>
              </w:rPr>
              <w:t>4,238</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37,549</w:t>
            </w: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461,064</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9,004</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7,477</w:t>
            </w:r>
          </w:p>
        </w:tc>
        <w:tc>
          <w:tcPr>
            <w:tcW w:w="6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(2,107)</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475,438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Cost of product revenues</w:t>
            </w:r>
          </w:p>
        </w:tc>
        <w:tc>
          <w:tcPr>
            <w:tcW w:w="1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305,887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163</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59"/>
              <w:spacing w:after="0"/>
              <w:rPr>
                <w:sz w:val="20"/>
                <w:szCs w:val="20"/>
                <w:color w:val="auto"/>
              </w:rPr>
            </w:pPr>
            <w:r>
              <w:rPr>
                <w:rFonts w:ascii="Arial" w:cs="Arial" w:eastAsia="Arial" w:hAnsi="Arial"/>
                <w:sz w:val="18"/>
                <w:szCs w:val="18"/>
                <w:color w:val="auto"/>
              </w:rPr>
              <w:t>3,393</w:t>
            </w:r>
          </w:p>
        </w:tc>
        <w:tc>
          <w:tcPr>
            <w:tcW w:w="2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(338)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309,105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 revenues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16,292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59"/>
              <w:spacing w:after="0"/>
              <w:rPr>
                <w:sz w:val="20"/>
                <w:szCs w:val="20"/>
                <w:color w:val="auto"/>
              </w:rPr>
            </w:pPr>
            <w:r>
              <w:rPr>
                <w:rFonts w:ascii="Arial" w:cs="Arial" w:eastAsia="Arial" w:hAnsi="Arial"/>
                <w:sz w:val="18"/>
                <w:szCs w:val="18"/>
                <w:color w:val="auto"/>
              </w:rPr>
              <w:t>4,384</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83,822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4,960</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59"/>
              <w:spacing w:after="0"/>
              <w:rPr>
                <w:sz w:val="20"/>
                <w:szCs w:val="20"/>
                <w:color w:val="auto"/>
              </w:rPr>
            </w:pPr>
            <w:r>
              <w:rPr>
                <w:rFonts w:ascii="Arial" w:cs="Arial" w:eastAsia="Arial" w:hAnsi="Arial"/>
                <w:sz w:val="18"/>
                <w:szCs w:val="18"/>
                <w:color w:val="auto"/>
              </w:rPr>
              <w:t>1,479</w:t>
            </w:r>
          </w:p>
        </w:tc>
        <w:tc>
          <w:tcPr>
            <w:tcW w:w="2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90,259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Independent research and development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21,167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59"/>
              <w:spacing w:after="0"/>
              <w:rPr>
                <w:sz w:val="20"/>
                <w:szCs w:val="20"/>
                <w:color w:val="auto"/>
              </w:rPr>
            </w:pPr>
            <w:r>
              <w:rPr>
                <w:rFonts w:ascii="Arial" w:cs="Arial" w:eastAsia="Arial" w:hAnsi="Arial"/>
                <w:sz w:val="18"/>
                <w:szCs w:val="18"/>
                <w:color w:val="auto"/>
              </w:rPr>
              <w:t>392</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Amortization of acquired intangible assets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3,918</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540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59"/>
              <w:spacing w:after="0"/>
              <w:rPr>
                <w:sz w:val="20"/>
                <w:szCs w:val="20"/>
                <w:color w:val="auto"/>
              </w:rPr>
            </w:pPr>
            <w:r>
              <w:rPr>
                <w:rFonts w:ascii="Arial" w:cs="Arial" w:eastAsia="Arial" w:hAnsi="Arial"/>
                <w:sz w:val="18"/>
                <w:szCs w:val="18"/>
                <w:color w:val="auto"/>
              </w:rPr>
              <w:t>310</w:t>
            </w:r>
          </w:p>
        </w:tc>
        <w:tc>
          <w:tcPr>
            <w:tcW w:w="2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29,978</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(1,638)</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99"/>
              <w:spacing w:after="0"/>
              <w:rPr>
                <w:sz w:val="20"/>
                <w:szCs w:val="20"/>
                <w:color w:val="auto"/>
              </w:rPr>
            </w:pPr>
            <w:r>
              <w:rPr>
                <w:rFonts w:ascii="Arial" w:cs="Arial" w:eastAsia="Arial" w:hAnsi="Arial"/>
                <w:sz w:val="18"/>
                <w:szCs w:val="18"/>
                <w:color w:val="auto"/>
              </w:rPr>
              <w:t>(2,481)</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59"/>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(2,530)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99"/>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28,031</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(1,637)</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99"/>
              <w:spacing w:after="0"/>
              <w:rPr>
                <w:sz w:val="20"/>
                <w:szCs w:val="20"/>
                <w:color w:val="auto"/>
              </w:rPr>
            </w:pPr>
            <w:r>
              <w:rPr>
                <w:rFonts w:ascii="Arial" w:cs="Arial" w:eastAsia="Arial" w:hAnsi="Arial"/>
                <w:sz w:val="18"/>
                <w:szCs w:val="18"/>
                <w:color w:val="auto"/>
              </w:rPr>
              <w:t>(2,485)</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2,911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99"/>
              <w:spacing w:after="0"/>
              <w:rPr>
                <w:sz w:val="20"/>
                <w:szCs w:val="20"/>
                <w:color w:val="auto"/>
              </w:rPr>
            </w:pPr>
            <w:r>
              <w:rPr>
                <w:rFonts w:ascii="Arial" w:cs="Arial" w:eastAsia="Arial" w:hAnsi="Arial"/>
                <w:sz w:val="18"/>
                <w:szCs w:val="18"/>
                <w:color w:val="auto"/>
              </w:rPr>
              <w:t>(157)</w:t>
            </w:r>
          </w:p>
        </w:tc>
        <w:tc>
          <w:tcPr>
            <w:tcW w:w="2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Equity in net income (loss) of consolidated subsidiaries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(3,732)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59"/>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3,732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21,388</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(1,648)</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(2,328)</w:t>
            </w:r>
          </w:p>
        </w:tc>
        <w:tc>
          <w:tcPr>
            <w:tcW w:w="6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3,035</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Net income (loss) attributable to noncontrolling</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net of tax</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59"/>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(243)</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color w:val="auto"/>
              </w:rPr>
              <w:t>Net income (loss) attributable to ViaSat, Inc.</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21,388</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(1,648</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(2,328</w:t>
            </w: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Cash Flows for the Nine Months Ended December 31, 2010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Consolidation</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Issuing Parent</w:t>
            </w:r>
          </w:p>
        </w:tc>
        <w:tc>
          <w:tcPr>
            <w:tcW w:w="260" w:type="dxa"/>
            <w:vAlign w:val="bottom"/>
          </w:tcPr>
          <w:p>
            <w:pPr>
              <w:spacing w:after="0"/>
              <w:rPr>
                <w:sz w:val="12"/>
                <w:szCs w:val="12"/>
                <w:color w:val="auto"/>
              </w:rPr>
            </w:pPr>
          </w:p>
        </w:tc>
        <w:tc>
          <w:tcPr>
            <w:tcW w:w="128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Guarantor</w:t>
            </w:r>
          </w:p>
        </w:tc>
        <w:tc>
          <w:tcPr>
            <w:tcW w:w="220" w:type="dxa"/>
            <w:vAlign w:val="bottom"/>
          </w:tcPr>
          <w:p>
            <w:pPr>
              <w:spacing w:after="0"/>
              <w:rPr>
                <w:sz w:val="12"/>
                <w:szCs w:val="12"/>
                <w:color w:val="auto"/>
              </w:rPr>
            </w:pPr>
          </w:p>
        </w:tc>
        <w:tc>
          <w:tcPr>
            <w:tcW w:w="17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Non-Guarantor</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and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Elimination</w:t>
            </w:r>
          </w:p>
        </w:tc>
        <w:tc>
          <w:tcPr>
            <w:tcW w:w="24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Company</w:t>
            </w:r>
          </w:p>
        </w:tc>
        <w:tc>
          <w:tcPr>
            <w:tcW w:w="1540" w:type="dxa"/>
            <w:vAlign w:val="bottom"/>
            <w:gridSpan w:val="4"/>
          </w:tcPr>
          <w:p>
            <w:pPr>
              <w:ind w:left="260"/>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Pr>
          <w:p>
            <w:pPr>
              <w:spacing w:after="0"/>
              <w:rPr>
                <w:sz w:val="14"/>
                <w:szCs w:val="14"/>
                <w:color w:val="auto"/>
              </w:rPr>
            </w:pPr>
          </w:p>
        </w:tc>
        <w:tc>
          <w:tcPr>
            <w:tcW w:w="17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Subsidiaries</w:t>
            </w:r>
          </w:p>
        </w:tc>
        <w:tc>
          <w:tcPr>
            <w:tcW w:w="240" w:type="dxa"/>
            <w:vAlign w:val="bottom"/>
          </w:tcPr>
          <w:p>
            <w:pPr>
              <w:spacing w:after="0"/>
              <w:rPr>
                <w:sz w:val="14"/>
                <w:szCs w:val="14"/>
                <w:color w:val="auto"/>
              </w:rPr>
            </w:pPr>
          </w:p>
        </w:tc>
        <w:tc>
          <w:tcPr>
            <w:tcW w:w="11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24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6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(Unaudited, in thousands)</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42,141</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81,364</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60</w:t>
            </w:r>
          </w:p>
        </w:tc>
        <w:tc>
          <w:tcPr>
            <w:tcW w:w="4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(253)</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123,312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Purchase of property, equipment and satellites</w:t>
            </w:r>
          </w:p>
        </w:tc>
        <w:tc>
          <w:tcPr>
            <w:tcW w:w="1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(112,270)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(38,001)</w:t>
            </w:r>
          </w:p>
        </w:tc>
        <w:tc>
          <w:tcPr>
            <w:tcW w:w="22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(1,712)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253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(151,730)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Payment related to acquisition of business, net of</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acquired</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(14,203)</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747</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Cash paid for patents, licenses and other assets</w:t>
            </w:r>
          </w:p>
        </w:tc>
        <w:tc>
          <w:tcPr>
            <w:tcW w:w="1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(11,470)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in subsidiaries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(2,619)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2,714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ind w:left="40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(140,562)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(37,901)</w:t>
            </w:r>
          </w:p>
        </w:tc>
        <w:tc>
          <w:tcPr>
            <w:tcW w:w="5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(1,214)</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(176,710)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Payments on line of credit</w:t>
            </w:r>
          </w:p>
        </w:tc>
        <w:tc>
          <w:tcPr>
            <w:tcW w:w="1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(40,000)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line of credit borrowings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30,000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tcPr>
          <w:p>
            <w:pPr>
              <w:ind w:left="200"/>
              <w:spacing w:after="0" w:line="201" w:lineRule="exact"/>
              <w:rPr>
                <w:sz w:val="20"/>
                <w:szCs w:val="20"/>
                <w:color w:val="auto"/>
              </w:rPr>
            </w:pPr>
            <w:r>
              <w:rPr>
                <w:rFonts w:ascii="Arial" w:cs="Arial" w:eastAsia="Arial" w:hAnsi="Arial"/>
                <w:sz w:val="18"/>
                <w:szCs w:val="18"/>
                <w:color w:val="auto"/>
              </w:rPr>
              <w:t>Proceeds from issuance of common stock under</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ind w:left="400"/>
              <w:spacing w:after="0"/>
              <w:rPr>
                <w:sz w:val="20"/>
                <w:szCs w:val="20"/>
                <w:color w:val="auto"/>
              </w:rPr>
            </w:pPr>
            <w:r>
              <w:rPr>
                <w:rFonts w:ascii="Arial" w:cs="Arial" w:eastAsia="Arial" w:hAnsi="Arial"/>
                <w:sz w:val="18"/>
                <w:szCs w:val="18"/>
                <w:color w:val="auto"/>
              </w:rPr>
              <w:t>equity plans</w:t>
            </w:r>
          </w:p>
        </w:tc>
        <w:tc>
          <w:tcPr>
            <w:tcW w:w="12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24,391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common stock in treasury</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(5,505)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Intercompany long-term financing</w:t>
            </w:r>
          </w:p>
        </w:tc>
        <w:tc>
          <w:tcPr>
            <w:tcW w:w="12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50,996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(50,901)</w:t>
            </w:r>
          </w:p>
        </w:tc>
        <w:tc>
          <w:tcPr>
            <w:tcW w:w="220" w:type="dxa"/>
            <w:vAlign w:val="bottom"/>
          </w:tcPr>
          <w:p>
            <w:pPr>
              <w:spacing w:after="0"/>
              <w:rPr>
                <w:sz w:val="19"/>
                <w:szCs w:val="19"/>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2,619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(2,714)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Net cash provided by (used in) financing</w:t>
            </w: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activities</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59,882</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(50,901)</w:t>
            </w:r>
          </w:p>
        </w:tc>
        <w:tc>
          <w:tcPr>
            <w:tcW w:w="2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2,619</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(2,714)</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245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w w:val="97"/>
              </w:rPr>
              <w:t>Net (decrease) increase in cash and cash equivalents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(38,539)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(7,438)</w:t>
            </w: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1,710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66,258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16,216</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7,157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89,631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27,719</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8,778</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8,867</w:t>
            </w:r>
          </w:p>
        </w:tc>
        <w:tc>
          <w:tcPr>
            <w:tcW w:w="4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Cash Flows for the Nine Months Ended January 1, 2010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Issuing Parent</w:t>
            </w:r>
          </w:p>
        </w:tc>
        <w:tc>
          <w:tcPr>
            <w:tcW w:w="400" w:type="dxa"/>
            <w:vAlign w:val="bottom"/>
          </w:tcPr>
          <w:p>
            <w:pPr>
              <w:spacing w:after="0"/>
              <w:rPr>
                <w:sz w:val="14"/>
                <w:szCs w:val="14"/>
                <w:color w:val="auto"/>
              </w:rPr>
            </w:pPr>
          </w:p>
        </w:tc>
        <w:tc>
          <w:tcPr>
            <w:tcW w:w="100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Guarantor</w:t>
            </w:r>
          </w:p>
        </w:tc>
        <w:tc>
          <w:tcPr>
            <w:tcW w:w="340" w:type="dxa"/>
            <w:vAlign w:val="bottom"/>
          </w:tcPr>
          <w:p>
            <w:pPr>
              <w:spacing w:after="0"/>
              <w:rPr>
                <w:sz w:val="14"/>
                <w:szCs w:val="14"/>
                <w:color w:val="auto"/>
              </w:rPr>
            </w:pPr>
          </w:p>
        </w:tc>
        <w:tc>
          <w:tcPr>
            <w:tcW w:w="1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Non-Guarantor</w:t>
            </w:r>
          </w:p>
        </w:tc>
        <w:tc>
          <w:tcPr>
            <w:tcW w:w="6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Consolidation and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Elimination</w:t>
            </w:r>
          </w:p>
        </w:tc>
        <w:tc>
          <w:tcPr>
            <w:tcW w:w="26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ind w:left="20"/>
              <w:spacing w:after="0"/>
              <w:rPr>
                <w:sz w:val="20"/>
                <w:szCs w:val="20"/>
                <w:color w:val="auto"/>
              </w:rPr>
            </w:pPr>
            <w:r>
              <w:rPr>
                <w:rFonts w:ascii="Arial" w:cs="Arial" w:eastAsia="Arial" w:hAnsi="Arial"/>
                <w:sz w:val="14"/>
                <w:szCs w:val="14"/>
                <w:b w:val="1"/>
                <w:bCs w:val="1"/>
                <w:color w:val="auto"/>
              </w:rPr>
              <w:t>Company</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8"/>
              </w:rPr>
              <w:t>Subsidiaries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4"/>
              </w:rPr>
              <w:t>Adjustments</w:t>
            </w:r>
          </w:p>
        </w:tc>
        <w:tc>
          <w:tcPr>
            <w:tcW w:w="2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14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4"/>
              </w:rPr>
              <w:t>(Unaudited, in thousands)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Net cash provided by (used in) operating activities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49,160</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10,442</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(1,042)</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(697)</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57,863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Purchase of property, equipment and satellites</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(81,774)</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(1,812)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(2,540)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697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(85,429)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Payments related to acquisition of businesses, net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of cash acquired</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(437,548)</w:t>
            </w: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59,184</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377</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(377,987)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Cash paid for patents, licenses and other assets</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(9,716)</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(288)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(10,004)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restricted cash, net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Long-term intercompany notes and investments</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(3,734)</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(48,184)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540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51,378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in) provided by investing activities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(532,772)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14,338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(1,911)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52,075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(468,270)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line of credit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(123,000)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Proceeds from line of credit borrowings</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263,000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263,000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Proceeds from issuance of long-term debt, net of</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discount</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271,582</w:t>
            </w: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Payment of debt issuance costs</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(11,598)</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(11,598)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Proceeds from issuance of common stock under</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equity plans</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14,739</w:t>
            </w: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Purchase of common stock in treasury</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(2,297)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Incremental tax benefits from stock-based</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compensation</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1,104</w:t>
            </w: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Intercompany long-term financing</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47,644</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3,734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(51,378)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461,174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3,759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(51,378)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477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(22,438)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24,780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1,283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57,830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5,661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63,491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35,392</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24,780</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6,944</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vMerge w:val="restart"/>
          </w:tcPr>
          <w:p>
            <w:pPr>
              <w:jc w:val="right"/>
              <w:ind w:right="10"/>
              <w:spacing w:after="0"/>
              <w:rPr>
                <w:sz w:val="20"/>
                <w:szCs w:val="20"/>
                <w:color w:val="auto"/>
              </w:rPr>
            </w:pPr>
            <w:r>
              <w:rPr>
                <w:rFonts w:ascii="Arial" w:cs="Arial" w:eastAsia="Arial" w:hAnsi="Arial"/>
                <w:sz w:val="18"/>
                <w:szCs w:val="18"/>
                <w:color w:val="auto"/>
              </w:rPr>
              <w:t>31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00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ind w:firstLine="222"/>
        <w:spacing w:after="0" w:line="268" w:lineRule="auto"/>
        <w:rPr>
          <w:sz w:val="20"/>
          <w:szCs w:val="20"/>
          <w:color w:val="auto"/>
        </w:rPr>
      </w:pPr>
      <w:r>
        <w:rPr>
          <w:rFonts w:ascii="Arial" w:cs="Arial" w:eastAsia="Arial" w:hAnsi="Arial"/>
          <w:sz w:val="17"/>
          <w:szCs w:val="17"/>
          <w:color w:val="auto"/>
        </w:rPr>
        <w:t>This Quarterly Report,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projections of earnings, revenue, costs or other financial items; anticipated growth and trends in our business or key markets; future growth and revenues from our products; future economic conditions and performance; anticipated performance of products or services; plans, objectives and strategies for future operations;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under the heading “Risk Factors” in Part I, Item 1A of our Annual Report on Form 10-K for the fiscal year ended April 2, 2010, elsewhere in this report and our other filings with the Securities and Exchange Commission (SEC). Therefore, actual results may differ materially and adversely from those expressed in any forward-looking statements. We undertake no obligation to revise or update any forward-looking statements for any reason.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We are a leading provider of advanced satellite and wireless communications and secure networking systems, products and services. We have leveraged our success developing complex satellite communication systems and equipment for the U.S. government and select commercial customers to develop end-to-end satellite network solutions for a wide array of applications and customers. Our product and systems offerings are often linked through common underlying technologies, customer applications and market relationships. We believe that our portfolio of products, combined with our ability to effectively cross-deploy technologies between government and commercial segments and across different geographic markets, provides us with a strong foundation to sustain and enhance our leadership in advanced communications and networking technologies. Our customers, including the U.S. government, leading aerospace and defense prime contractors, network integrators and communications service providers, rely on our solutions to meet their complex communications and networking requirements. In addition, following our recent acquisition of WildBlue Holding, Inc. (WildBlue), we are a leading provider of satellite broadband internet services in the United States. ViaSat, Inc. (also referred to as us, we, our and ViaSat) was incorporated in California in 1986, and reincorporated as a Delaware corporation in 1996.</w:t>
      </w:r>
    </w:p>
    <w:p>
      <w:pPr>
        <w:spacing w:after="0" w:line="70"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On July 8, 2010, we completed the acquisition of all outstanding shares of the parent company of Stonewood Group Limited (Stonewood), a privately held company registered in England and Wales. Stonewood is a leader in the design, manufacture and delivery of data at rest encryption products and services. Stonewood products are used to encrypt data on computer hard drives so that a lost or stolen laptop does not result in the compromise of classified information or the loss of intellectual property, which enhances our current encryption security offerings within our information assurance products in our government systems segment. In connection with the acquisition, we paid approximately $14.2 million in cash and issued approximately 144,962 shares of ViaSat common stock to former Stonewood stockholders.</w:t>
      </w:r>
    </w:p>
    <w:p>
      <w:pPr>
        <w:spacing w:after="0" w:line="85" w:lineRule="exact"/>
        <w:rPr>
          <w:sz w:val="20"/>
          <w:szCs w:val="20"/>
          <w:color w:val="auto"/>
        </w:rPr>
      </w:pPr>
    </w:p>
    <w:p>
      <w:pPr>
        <w:ind w:right="60" w:firstLine="225"/>
        <w:spacing w:after="0" w:line="272" w:lineRule="auto"/>
        <w:rPr>
          <w:sz w:val="20"/>
          <w:szCs w:val="20"/>
          <w:color w:val="auto"/>
        </w:rPr>
      </w:pPr>
      <w:r>
        <w:rPr>
          <w:rFonts w:ascii="Arial" w:cs="Arial" w:eastAsia="Arial" w:hAnsi="Arial"/>
          <w:sz w:val="17"/>
          <w:szCs w:val="17"/>
          <w:color w:val="auto"/>
        </w:rPr>
        <w:t>On December 15, 2009, we consummated our acquisition of WildBlue, a leading Ka-band satellite broadband internet service provider. In connection with the acquisition, we paid approximately $442.7 million in cash and issued approximately 4.29 million shares of ViaSat common stock to WildBlue equity and debt holders (the WildBlue Investors). We retained approximately $64.7 million of WildBlue’s cash on hand. To finance in part the cash payment made to the WildBlue Investors, in October 2009 we issued $275.0 million in aggregate principal amount of 8.875% Senior Notes due 2016 (the Notes) and, in December 2009, we borrowed $140.0 million under our revolving credit facility (the Credit Facility). As of December 31, 2010, $50.0 million was outstanding under our Credit Facility. On January 25, 2011, subsequent to the third quarter of fiscal year 2011, we increased the amount of our revolving line of credit under the Credit Facility from $275.0 million to $325.0 million.</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operate in three segments: government systems, commercial networks and satellite services.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Systems</w:t>
      </w:r>
    </w:p>
    <w:p>
      <w:pPr>
        <w:spacing w:after="0" w:line="121"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Our government systems segment develops and produces network-centric internet protocol (IP)-based secure government communications systems, products and solutions, which are designed to enable the collection and dissemination of secure real-time digital information between command centers, communications nodes and air defense systems. Customers of our government systems segment include tactical armed forces, public safety first-responders and remote government employees.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primary products and services of our government systems segment include:</w:t>
      </w:r>
    </w:p>
    <w:p>
      <w:pPr>
        <w:spacing w:after="0" w:line="117" w:lineRule="exact"/>
        <w:rPr>
          <w:sz w:val="20"/>
          <w:szCs w:val="20"/>
          <w:color w:val="auto"/>
        </w:rPr>
      </w:pPr>
    </w:p>
    <w:p>
      <w:pPr>
        <w:jc w:val="both"/>
        <w:ind w:left="460" w:right="280" w:hanging="452"/>
        <w:spacing w:after="0" w:line="264" w:lineRule="auto"/>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Tactical data links, including Multifunctional Information Distribution System (MIDS) terminals for military fighter jets, and their successor, MIDS Joint Tactical Radio System (MIDS JTRS) terminals (which were approved for low-rate initial production in 2010), “disposable” weapon data links, and portable small tactical terminals.</w:t>
      </w:r>
    </w:p>
    <w:p>
      <w:pPr>
        <w:spacing w:after="0" w:line="73" w:lineRule="exact"/>
        <w:rPr>
          <w:rFonts w:ascii="Arial" w:cs="Arial" w:eastAsia="Arial" w:hAnsi="Arial"/>
          <w:sz w:val="18"/>
          <w:szCs w:val="18"/>
          <w:b w:val="1"/>
          <w:bCs w:val="1"/>
          <w:color w:val="auto"/>
        </w:rPr>
      </w:pPr>
    </w:p>
    <w:p>
      <w:pPr>
        <w:ind w:left="460" w:right="300" w:hanging="452"/>
        <w:spacing w:after="0" w:line="277" w:lineRule="auto"/>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Information assurance products that enable military and government users to communicate information securely over networks, and that secure data stored on computers and storage devices.</w:t>
      </w:r>
    </w:p>
    <w:p>
      <w:pPr>
        <w:spacing w:after="0" w:line="62" w:lineRule="exact"/>
        <w:rPr>
          <w:rFonts w:ascii="Arial" w:cs="Arial" w:eastAsia="Arial" w:hAnsi="Arial"/>
          <w:sz w:val="18"/>
          <w:szCs w:val="18"/>
          <w:b w:val="1"/>
          <w:bCs w:val="1"/>
          <w:color w:val="auto"/>
        </w:rPr>
      </w:pPr>
    </w:p>
    <w:p>
      <w:pPr>
        <w:ind w:left="460" w:hanging="452"/>
        <w:spacing w:after="0" w:line="264" w:lineRule="auto"/>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Government satellite communication systems, including an array of portable and fixed broadband modems, terminals, network access control systems and antenna systems using a range of satellite frequency bands for line-of-sight and beyond-line-of-sight Intelligence, Surveillance, and Reconnaissance (ISR) and Command and Control (C2) missions, as well as satellite networking services.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Networks</w:t>
      </w:r>
    </w:p>
    <w:p>
      <w:pPr>
        <w:spacing w:after="0" w:line="121"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Our commercial networks segment develops and produces a variety of advanced end-to-end satellite communication systems and ground networking equipment and products that address five key market segments: consumer, enterprise, in-flight, maritime and ground mobile applications. These communication systems, networking equipment and products are generally developed through a combination of customer and discretionary internal research and development funding.</w:t>
      </w:r>
    </w:p>
    <w:p>
      <w:pPr>
        <w:spacing w:after="0" w:line="79"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Our satellite communication systems and ground networking equipment and products cater to a wide range of domestic and international commercial customers and include:</w:t>
      </w:r>
    </w:p>
    <w:p>
      <w:pPr>
        <w:spacing w:after="0" w:line="62"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Consumer broadband, including next-generation satellite network infrastructure and ground terminals to access high capacity satellites.</w:t>
      </w:r>
    </w:p>
    <w:p>
      <w:pPr>
        <w:spacing w:after="0" w:line="117" w:lineRule="exact"/>
        <w:rPr>
          <w:rFonts w:ascii="Arial" w:cs="Arial" w:eastAsia="Arial" w:hAnsi="Arial"/>
          <w:sz w:val="18"/>
          <w:szCs w:val="18"/>
          <w:b w:val="1"/>
          <w:bCs w:val="1"/>
          <w:color w:val="auto"/>
        </w:rPr>
      </w:pPr>
    </w:p>
    <w:p>
      <w:pPr>
        <w:ind w:left="460" w:right="260" w:hanging="452"/>
        <w:spacing w:after="0" w:line="277" w:lineRule="auto"/>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Antenna systems for terrestrial and satellite applications, specializing in geospatial imagery, mobile satellite communication, Ka-band gateways, and other multi-band antennas.</w:t>
      </w:r>
    </w:p>
    <w:p>
      <w:pPr>
        <w:spacing w:after="0" w:line="62" w:lineRule="exact"/>
        <w:rPr>
          <w:rFonts w:ascii="Arial" w:cs="Arial" w:eastAsia="Arial" w:hAnsi="Arial"/>
          <w:sz w:val="18"/>
          <w:szCs w:val="18"/>
          <w:b w:val="1"/>
          <w:bCs w:val="1"/>
          <w:color w:val="auto"/>
        </w:rPr>
      </w:pPr>
    </w:p>
    <w:p>
      <w:pPr>
        <w:ind w:left="460" w:right="460" w:hanging="452"/>
        <w:spacing w:after="0" w:line="277" w:lineRule="auto"/>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Enterprise Very Small Aperture Terminal (VSAT) networks and products, designed to provide enterprises with broadband access to the internet or private networks.</w:t>
      </w:r>
    </w:p>
    <w:p>
      <w:pPr>
        <w:spacing w:after="0" w:line="62" w:lineRule="exact"/>
        <w:rPr>
          <w:rFonts w:ascii="Arial" w:cs="Arial" w:eastAsia="Arial" w:hAnsi="Arial"/>
          <w:sz w:val="18"/>
          <w:szCs w:val="18"/>
          <w:b w:val="1"/>
          <w:bCs w:val="1"/>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Mobile broadband satellite communication systems, designed for use in aircraft, seagoing vessels and high-speed trains.</w:t>
      </w:r>
    </w:p>
    <w:p>
      <w:pPr>
        <w:spacing w:after="0" w:line="117" w:lineRule="exact"/>
        <w:rPr>
          <w:rFonts w:ascii="Arial" w:cs="Arial" w:eastAsia="Arial" w:hAnsi="Arial"/>
          <w:sz w:val="18"/>
          <w:szCs w:val="18"/>
          <w:b w:val="1"/>
          <w:bCs w:val="1"/>
          <w:color w:val="auto"/>
        </w:rPr>
      </w:pPr>
    </w:p>
    <w:p>
      <w:pPr>
        <w:ind w:left="460" w:right="940" w:hanging="452"/>
        <w:spacing w:after="0" w:line="277" w:lineRule="auto"/>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Satellite networking systems design and technology development, including design and technology services covering all aspects of satellite communication system architecture and technology.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Services</w:t>
      </w:r>
    </w:p>
    <w:p>
      <w:pPr>
        <w:spacing w:after="0" w:line="121"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Our satellite services segment complements both our government systems and commercial networks segments by providing wholesale and retail satellite-based broadband internet services in the United States via our satellite and capacity agreements, as well as managed network services for the satellite communication systems of our consumer, enterprise and mobile broadband customers.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primary services offered by our satellite services segment comprise:</w:t>
      </w:r>
    </w:p>
    <w:p>
      <w:pPr>
        <w:spacing w:after="0" w:line="117" w:lineRule="exact"/>
        <w:rPr>
          <w:sz w:val="20"/>
          <w:szCs w:val="20"/>
          <w:color w:val="auto"/>
        </w:rPr>
      </w:pPr>
    </w:p>
    <w:p>
      <w:pPr>
        <w:ind w:left="460" w:hanging="452"/>
        <w:spacing w:after="0" w:line="255" w:lineRule="auto"/>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Wholesale and retail broadband services, comprised of WildBlue</w:t>
      </w:r>
      <w:r>
        <w:rPr>
          <w:rFonts w:ascii="Arial" w:cs="Arial" w:eastAsia="Arial" w:hAnsi="Arial"/>
          <w:sz w:val="15"/>
          <w:szCs w:val="15"/>
          <w:color w:val="auto"/>
        </w:rPr>
        <w:t>®</w:t>
      </w:r>
      <w:r>
        <w:rPr>
          <w:rFonts w:ascii="Arial" w:cs="Arial" w:eastAsia="Arial" w:hAnsi="Arial"/>
          <w:sz w:val="18"/>
          <w:szCs w:val="18"/>
          <w:color w:val="auto"/>
        </w:rPr>
        <w:t xml:space="preserve"> service, which provides two-way satellite-based broadband internet access to consumers and small businesses in the United States. As of December 31, 2010, we provided WildBlue service to approximately 415,000 subscribers. In addition, following the launch of ViaSat-1, we expect to provide wholesale and retail broadband service via ViaSat-1 in the United States at speeds and volumes that provide a broadband experience that is comparable to or better than terrestrial broadband alternatives such as cable modems and DSL connections. We expect this service to become available in the fall of 2011. We plan to offer wholesale broadband services via ViaSat-1 to national and regional distribution partners, including retail service providers and communications companies. We plan to offer our retail service via ViaSat-1 through WildBlue.</w:t>
      </w:r>
    </w:p>
    <w:p>
      <w:pPr>
        <w:spacing w:after="0" w:line="81" w:lineRule="exact"/>
        <w:rPr>
          <w:rFonts w:ascii="Arial" w:cs="Arial" w:eastAsia="Arial" w:hAnsi="Arial"/>
          <w:sz w:val="18"/>
          <w:szCs w:val="18"/>
          <w:b w:val="1"/>
          <w:bCs w:val="1"/>
          <w:color w:val="auto"/>
        </w:rPr>
      </w:pPr>
    </w:p>
    <w:p>
      <w:pPr>
        <w:ind w:left="460" w:right="80" w:hanging="452"/>
        <w:spacing w:after="0" w:line="277" w:lineRule="auto"/>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Our Yonder</w:t>
      </w:r>
      <w:r>
        <w:rPr>
          <w:rFonts w:ascii="Arial" w:cs="Arial" w:eastAsia="Arial" w:hAnsi="Arial"/>
          <w:sz w:val="15"/>
          <w:szCs w:val="15"/>
          <w:color w:val="auto"/>
        </w:rPr>
        <w:t>TM</w:t>
      </w:r>
      <w:r>
        <w:rPr>
          <w:rFonts w:ascii="Arial" w:cs="Arial" w:eastAsia="Arial" w:hAnsi="Arial"/>
          <w:sz w:val="18"/>
          <w:szCs w:val="18"/>
          <w:color w:val="auto"/>
        </w:rPr>
        <w:t xml:space="preserve"> Worldwide mobile broadband services, comprised of global network management services for customers who use our ArcLight</w:t>
      </w:r>
      <w:r>
        <w:rPr>
          <w:rFonts w:ascii="Arial" w:cs="Arial" w:eastAsia="Arial" w:hAnsi="Arial"/>
          <w:sz w:val="15"/>
          <w:szCs w:val="15"/>
          <w:color w:val="auto"/>
        </w:rPr>
        <w:t>®</w:t>
      </w:r>
      <w:r>
        <w:rPr>
          <w:rFonts w:ascii="Arial" w:cs="Arial" w:eastAsia="Arial" w:hAnsi="Arial"/>
          <w:sz w:val="18"/>
          <w:szCs w:val="18"/>
          <w:color w:val="auto"/>
        </w:rPr>
        <w:t>-based mobile satellite systems.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121" w:lineRule="exact"/>
        <w:rPr>
          <w:sz w:val="20"/>
          <w:szCs w:val="20"/>
          <w:color w:val="auto"/>
        </w:rPr>
      </w:pPr>
    </w:p>
    <w:p>
      <w:pPr>
        <w:ind w:right="60" w:firstLine="222"/>
        <w:spacing w:after="0" w:line="286" w:lineRule="auto"/>
        <w:rPr>
          <w:sz w:val="20"/>
          <w:szCs w:val="20"/>
          <w:color w:val="auto"/>
        </w:rPr>
      </w:pPr>
      <w:r>
        <w:rPr>
          <w:rFonts w:ascii="Arial" w:cs="Arial" w:eastAsia="Arial" w:hAnsi="Arial"/>
          <w:sz w:val="17"/>
          <w:szCs w:val="17"/>
          <w:color w:val="auto"/>
        </w:rPr>
        <w:t>With respect to our government systems and commercial networks segments, to date, our ability to grow and maintain our revenues has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57" w:lineRule="exact"/>
        <w:rPr>
          <w:sz w:val="20"/>
          <w:szCs w:val="20"/>
          <w:color w:val="auto"/>
        </w:rPr>
      </w:pPr>
    </w:p>
    <w:p>
      <w:pPr>
        <w:ind w:right="80" w:firstLine="225"/>
        <w:spacing w:after="0" w:line="291" w:lineRule="auto"/>
        <w:rPr>
          <w:sz w:val="20"/>
          <w:szCs w:val="20"/>
          <w:color w:val="auto"/>
        </w:rPr>
      </w:pPr>
      <w:r>
        <w:rPr>
          <w:rFonts w:ascii="Arial" w:cs="Arial" w:eastAsia="Arial" w:hAnsi="Arial"/>
          <w:sz w:val="16"/>
          <w:szCs w:val="16"/>
          <w:color w:val="auto"/>
        </w:rPr>
        <w:t>Our products in these segments are provided primarily through three types of contracts: fixed-price, time-and-materials and cost-reimbursement contracts. Fixed-price contracts, which require us to provide products and services under a contract at a specified price, comprised approximately 94% and 92% of our total revenues for the three months ended December 31, 2010 and January 1, 2010, respectively, and 94% and 90% of our total revenues for the nine months ended December 31, 2010 and January 1, 2010, respectively. The remainder of our revenue in these segments for such periods was derived from cost-reimbursement contracts (under which we are reimbursed for all actual costs incurred in performing the contract to the extent such costs are within the contract ceiling and allowable under the terms of the contract, plus a fee or profit) and from time-and-materials contracts (which reimburse us for the number of labor hours expended at an established hourly rate negotiated in the contract, plus the cost of materials utilized in providing such products or services).</w:t>
      </w:r>
    </w:p>
    <w:p>
      <w:pPr>
        <w:spacing w:after="0" w:line="59"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Historically, a significant portion of our revenues has been derived from customer contracts that include the research and development of products. The research and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research and development from our customer contracts were approximately $12.3 million or 6% and $17.1 million or 11% of our total revenues in the three months ended December 31, 2010 and January 1, 2010, respectively. Revenues for our funded research and development from our customer contracts were approximately $41.5 million or 7% and $75.0 million or 16% of our total revenues in the nine months ended December 31, 2010 and January 1, 2010, respectively.</w:t>
      </w:r>
    </w:p>
    <w:p>
      <w:pPr>
        <w:spacing w:after="0" w:line="81"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We also incur independent research and development (IR&amp;D) expenses, which are not directly funded by a third party. IR&amp;D expenses consist primarily of salaries and other personnel-related expenses, supplies, prototype materials, testing and certification related to research and development programs. IR&amp;D expenses were approximately 3% and 5% of total revenues during the three months ended December 31, 2010 and January 1, 2010, respectively, and approximately 4% and 5% of total revenues during nine months ended December 31, 2010 and January 1, 2010, respectively. As a government contractor, we are able to recover a portion of our IR&amp;D expenses pursuant to our government contracts.</w:t>
      </w:r>
    </w:p>
    <w:p>
      <w:pPr>
        <w:spacing w:after="0" w:line="64" w:lineRule="exact"/>
        <w:rPr>
          <w:sz w:val="20"/>
          <w:szCs w:val="20"/>
          <w:color w:val="auto"/>
        </w:rPr>
      </w:pPr>
    </w:p>
    <w:p>
      <w:pPr>
        <w:jc w:val="both"/>
        <w:ind w:right="60" w:firstLine="225"/>
        <w:spacing w:after="0" w:line="286" w:lineRule="auto"/>
        <w:rPr>
          <w:sz w:val="20"/>
          <w:szCs w:val="20"/>
          <w:color w:val="auto"/>
        </w:rPr>
      </w:pPr>
      <w:r>
        <w:rPr>
          <w:rFonts w:ascii="Arial" w:cs="Arial" w:eastAsia="Arial" w:hAnsi="Arial"/>
          <w:sz w:val="17"/>
          <w:szCs w:val="17"/>
          <w:color w:val="auto"/>
        </w:rPr>
        <w:t>Our satellite services segment revenues are primarily derived from our recently acquired WildBlue business (which provides wholesale and retail satellite-based broadband internet services in the United States) and our managed network services which complement both our government systems and commercial networks segments by supporting the satellite communication systems of our consumer, enterprise and mobile broadband customers.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40" w:firstLine="225"/>
        <w:spacing w:after="0" w:line="271" w:lineRule="auto"/>
        <w:rPr>
          <w:sz w:val="20"/>
          <w:szCs w:val="20"/>
          <w:color w:val="auto"/>
        </w:rPr>
      </w:pPr>
      <w:r>
        <w:rPr>
          <w:rFonts w:ascii="Arial" w:cs="Arial" w:eastAsia="Arial" w:hAnsi="Arial"/>
          <w:sz w:val="17"/>
          <w:szCs w:val="17"/>
          <w:color w:val="auto"/>
        </w:rPr>
        <w:t>Management’s Discussion and Analysis of Financial Condition and Results of Operations discusses our condensed consolidated financial statements, which have been prepared in accordance with accounting principles generally accepted in the United States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215"/>
        <w:spacing w:after="0" w:line="255" w:lineRule="auto"/>
        <w:rPr>
          <w:sz w:val="20"/>
          <w:szCs w:val="20"/>
          <w:color w:val="auto"/>
        </w:rPr>
      </w:pPr>
      <w:r>
        <w:rPr>
          <w:rFonts w:ascii="Arial" w:cs="Arial" w:eastAsia="Arial" w:hAnsi="Arial"/>
          <w:sz w:val="18"/>
          <w:szCs w:val="18"/>
          <w:color w:val="auto"/>
        </w:rPr>
        <w:t>A substantial portion of our revenues is derived from long-term contracts requiring development and delivery of complex equipment built to customer specifications. Sales related to these contracts are accounted for under authoritative guidance for the percentage-of-completion method of accounting (the American Institute of Certified Public Accountants’ (AICPA) Statement of Position 81-1 (SOP 81-1), “Accounting for Performance of Construction-Type and Certain Production-Type Contracts” / Accounting Standards Codification (ASC) 605-35 (ASC 605-35)). Sales and earnings under these contracts are recorded either based on the ratio of actual costs incurred to date to total estimated costs expected to be incurred related to the contract or as products are shipped under the units-of-delivery method.</w:t>
      </w:r>
    </w:p>
    <w:p>
      <w:pPr>
        <w:spacing w:after="0" w:line="85" w:lineRule="exact"/>
        <w:rPr>
          <w:sz w:val="20"/>
          <w:szCs w:val="20"/>
          <w:color w:val="auto"/>
        </w:rPr>
      </w:pPr>
    </w:p>
    <w:p>
      <w:pPr>
        <w:ind w:right="20" w:firstLine="222"/>
        <w:spacing w:after="0" w:line="289" w:lineRule="auto"/>
        <w:rPr>
          <w:sz w:val="20"/>
          <w:szCs w:val="20"/>
          <w:color w:val="auto"/>
        </w:rPr>
      </w:pPr>
      <w:r>
        <w:rPr>
          <w:rFonts w:ascii="Arial" w:cs="Arial" w:eastAsia="Arial" w:hAnsi="Arial"/>
          <w:sz w:val="16"/>
          <w:szCs w:val="16"/>
          <w:color w:val="auto"/>
        </w:rPr>
        <w:t>The percentage-of-completion method of accounting requires management to estimate the profit margin for each individual contract and to apply that profit margin on a uniform basis as sales are recorded under the contract. The estimation of profit margins requires management to make projections of the total sales to be generated and the total costs that will be incurred under a contract. These projections require management to make numerous assumptions and estimates relating to items such as the complexity of design and related development costs, performance of subcontractors, availability and cost of materials, labor productivity and cost, overhead and capital costs and manufacturing efficiency. These contracts often include purchase options for additional quantities and customer change orders for additional or revised product functionality. Purchase options and change orders are accounted for either as an integral part of the original contract or separately depending upon the nature and value of the item. For contract claims or similar items, we apply judgment in estimating the amounts and assessing the potential for realization. These amounts are only included in contract value when they can be reliably estimated and realization is considered probable. Anticipated losses on contracts are recognized in full in the period in which losses become probable and estimable.</w:t>
      </w:r>
    </w:p>
    <w:p>
      <w:pPr>
        <w:spacing w:after="0" w:line="59"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Assuming the initial estimates of sales and costs under a contract are accurate, the percentage-of-completion method results in the profit margin being recorded evenly as revenue is recognized under the contract. Changes in these underlying estimates due to revisions in sales and future cost estimates or the exercise of contract options may result in profit margins being recognized unevenly over a contract as such changes are accounted for on a cumulative basis in the period estimates are revised.</w:t>
      </w:r>
    </w:p>
    <w:p>
      <w:pPr>
        <w:spacing w:after="0" w:line="79" w:lineRule="exact"/>
        <w:rPr>
          <w:sz w:val="20"/>
          <w:szCs w:val="20"/>
          <w:color w:val="auto"/>
        </w:rPr>
      </w:pPr>
    </w:p>
    <w:p>
      <w:pPr>
        <w:ind w:right="160" w:firstLine="222"/>
        <w:spacing w:after="0" w:line="272" w:lineRule="auto"/>
        <w:rPr>
          <w:sz w:val="20"/>
          <w:szCs w:val="20"/>
          <w:color w:val="auto"/>
        </w:rPr>
      </w:pPr>
      <w:r>
        <w:rPr>
          <w:rFonts w:ascii="Arial" w:cs="Arial" w:eastAsia="Arial" w:hAnsi="Arial"/>
          <w:sz w:val="17"/>
          <w:szCs w:val="17"/>
          <w:color w:val="auto"/>
        </w:rPr>
        <w:t>We believe we have established appropriate systems and processes to enable us to reasonably estimate future cost on our programs through regular quarterly evaluations of contract costs, scheduling and technical matters by business unit personnel and management. Historically, in the aggregate, we have not experienced significant deviations in actual costs from estimated program costs, and when deviations that result in significant adjustments arise, we disclose the related impact in Management’s Discussion and Analysis of Financial Condition and Results of Operations. However, these estimates require significant management judgment and a significant change in future cost estimates on one or more programs could have a material effect on our results of operations. A one percent variance in our future cost estimates on open fixed-price contracts as of December 31, 2010 would change our income before income taxes by approximately $0.4 million.</w:t>
      </w:r>
    </w:p>
    <w:p>
      <w:pPr>
        <w:spacing w:after="0" w:line="70" w:lineRule="exact"/>
        <w:rPr>
          <w:sz w:val="20"/>
          <w:szCs w:val="20"/>
          <w:color w:val="auto"/>
        </w:rPr>
      </w:pPr>
    </w:p>
    <w:p>
      <w:pPr>
        <w:ind w:right="100" w:firstLine="225"/>
        <w:spacing w:after="0" w:line="291" w:lineRule="auto"/>
        <w:rPr>
          <w:sz w:val="20"/>
          <w:szCs w:val="20"/>
          <w:color w:val="auto"/>
        </w:rPr>
      </w:pPr>
      <w:r>
        <w:rPr>
          <w:rFonts w:ascii="Arial" w:cs="Arial" w:eastAsia="Arial" w:hAnsi="Arial"/>
          <w:sz w:val="16"/>
          <w:szCs w:val="16"/>
          <w:color w:val="auto"/>
        </w:rPr>
        <w:t>In June 2010, we performed extensive integration testing of numerous system components that had been separately developed as part of a government satellite communication program. As a result of this testing and subsequent internal reviews and analyses, we determined that significant additional rework was required in order to complete the program requirements and specifications and to prepare for a scheduled customer test in our fiscal second quarter. This additional rework and engineering effort resulted in a substantial increase in estimated labor and material costs to complete the program. Accordingly, during the first quarter of fiscal year 2011 we recorded an additional forward loss of $8.5 million related to this estimate of program costs. While we believe the additional forward loss is adequate to cover known risks to date and that steps taken to improve the program performance will be effective, the program is on going and our efforts and the end results must be satisfactory to the customer. We believe that our estimate of costs to</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complete the program is appropriate based on known information, but cannot provide absolute assurance that additional costs will not be incurred. Including this program, during the three months ended December 31, 2010 and January 1, 2010, we recorded losses of approximately $2.3 million and $0.6 million, respectively, related to loss contracts. Including this program, during the nine months ended December 31, 2010 and January 1, 2010, we recorded losses of approximately $11.5 million and $5.7 million, respectively, related to loss contracts.</w:t>
      </w:r>
    </w:p>
    <w:p>
      <w:pPr>
        <w:spacing w:after="0" w:line="63" w:lineRule="exact"/>
        <w:rPr>
          <w:sz w:val="20"/>
          <w:szCs w:val="20"/>
          <w:color w:val="auto"/>
        </w:rPr>
      </w:pPr>
    </w:p>
    <w:p>
      <w:pPr>
        <w:ind w:right="180" w:firstLine="222"/>
        <w:spacing w:after="0" w:line="312" w:lineRule="auto"/>
        <w:rPr>
          <w:sz w:val="20"/>
          <w:szCs w:val="20"/>
          <w:color w:val="auto"/>
        </w:rPr>
      </w:pPr>
      <w:r>
        <w:rPr>
          <w:rFonts w:ascii="Arial" w:cs="Arial" w:eastAsia="Arial" w:hAnsi="Arial"/>
          <w:sz w:val="16"/>
          <w:szCs w:val="16"/>
          <w:color w:val="auto"/>
        </w:rPr>
        <w:t>We also have contracts and purchase orders where revenue is recorded on delivery of products or performance of services in accordance with the authoritative guidance for revenue recognition (Staff Accounting Bulletin No. 104, “Revenue Recognition” / ASC 605). Under this standard, we recognize revenue when an arrangement exists, prices are fixed and determinable, collectability is reasonably assured and the goods or services have been delivered.</w:t>
      </w:r>
    </w:p>
    <w:p>
      <w:pPr>
        <w:spacing w:after="0" w:line="39" w:lineRule="exact"/>
        <w:rPr>
          <w:sz w:val="20"/>
          <w:szCs w:val="20"/>
          <w:color w:val="auto"/>
        </w:rPr>
      </w:pPr>
    </w:p>
    <w:p>
      <w:pPr>
        <w:ind w:firstLine="222"/>
        <w:spacing w:after="0" w:line="269" w:lineRule="auto"/>
        <w:rPr>
          <w:sz w:val="20"/>
          <w:szCs w:val="20"/>
          <w:color w:val="auto"/>
        </w:rPr>
      </w:pPr>
      <w:r>
        <w:rPr>
          <w:rFonts w:ascii="Arial" w:cs="Arial" w:eastAsia="Arial" w:hAnsi="Arial"/>
          <w:sz w:val="17"/>
          <w:szCs w:val="17"/>
          <w:color w:val="auto"/>
        </w:rPr>
        <w:t>We also enter into certain leasing arrangements with customers and evaluate the contracts in accordance with the authoritative guidance for leases (Statement of Financial Accounting Standards (SFAS) 13, “Leases” / ASC 840). Our accounting for equipment leases involves specific determinations under the authoritative guidance for leases, which often involve complex provisions and significant judgments. In accordance with the authoritative guidance for leases, we classify the transactions as sales type or operating leases based on (1) review for transfers of ownership of the property to the lessee by the end of the lease term, (2) review of the lease terms to determine if it contains an option to purchase the leased property for a price which is sufficiently lower than the expected fair value of the property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we consider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75" w:lineRule="exact"/>
        <w:rPr>
          <w:sz w:val="20"/>
          <w:szCs w:val="20"/>
          <w:color w:val="auto"/>
        </w:rPr>
      </w:pPr>
    </w:p>
    <w:p>
      <w:pPr>
        <w:ind w:right="20" w:firstLine="222"/>
        <w:spacing w:after="0" w:line="293" w:lineRule="auto"/>
        <w:rPr>
          <w:sz w:val="20"/>
          <w:szCs w:val="20"/>
          <w:color w:val="auto"/>
        </w:rPr>
      </w:pPr>
      <w:r>
        <w:rPr>
          <w:rFonts w:ascii="Arial" w:cs="Arial" w:eastAsia="Arial" w:hAnsi="Arial"/>
          <w:sz w:val="16"/>
          <w:szCs w:val="16"/>
          <w:color w:val="auto"/>
        </w:rPr>
        <w:t>When a sale involves multiple elements, such as sales of products that include services, the entire fee from the arrangement is allocated to each respective element based on its relative fair value in accordance with the authoritative guidance for accounting for multiple element revenue arrangements (Emerging Issues Task Force 00-21 (EITF 00-21), “Accounting for Multiple Element Revenue Arrangements” / ASC 605-25), and recognized when the applicable revenue recognition criteria for each element have been met. The amount of product and service revenue recognized is impacted by our judgments as to whether an arrangement includes multiple elements and, if so, whether sufficient objective and reliable evidence of fair value exists for those elements. Changes to the elements in an arrangement and our ability to establish evidence for those elements could affect the timing of revenue recognition.</w:t>
      </w:r>
    </w:p>
    <w:p>
      <w:pPr>
        <w:spacing w:after="0" w:line="57"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twelve months. Deferred revenues extending beyond the twelve months are recorded within other liabilities in the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Under the authoritative guidance for share-based payments (SFAS 123, “Share-Based Payments” / ASC 718), stock-based compensation cost is measured at the grant date based on the estimated fair value of the award and is recognized as expense ratably over the employees’ requisite service period. We use the Black-Scholes model to estimate the fair value of stock-based awards at the grant date. The Black-Scholes model requires using judgment to estimate stock price volatility, the expected option life, the risk-free interest rate, and the dividend yield, which are used to calculate fair value. Compensation expense is recognized only for those options expected to vest, with forfeitures estimated at the date of grant based on our historical experience and future expectations. To the extent actual forfeitures differ significantly from our estimates, adjustments to compensation cost may be required in future periods.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ind w:right="120" w:firstLine="222"/>
        <w:spacing w:after="0" w:line="259" w:lineRule="auto"/>
        <w:rPr>
          <w:sz w:val="20"/>
          <w:szCs w:val="20"/>
          <w:color w:val="auto"/>
        </w:rPr>
      </w:pPr>
      <w:r>
        <w:rPr>
          <w:rFonts w:ascii="Arial" w:cs="Arial" w:eastAsia="Arial" w:hAnsi="Arial"/>
          <w:sz w:val="18"/>
          <w:szCs w:val="18"/>
          <w:color w:val="auto"/>
        </w:rPr>
        <w:t>We make estimates of the collectability of our accounts receivable based on historical bad debts, customer creditworthiness and current economic trends when evaluating the adequacy of the allowance for doubtful accounts. Historically, our bad debt allowances have been minimal primarily because a significant portion of our sales has been to the U.S. government or is related to our satellite service commercial business, which we bill and collect in advance. Our accounts receivable balance was $175.9 million, net of</w:t>
      </w:r>
    </w:p>
    <w:p>
      <w:pPr>
        <w:spacing w:after="0" w:line="1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allowance for doubtful accounts of $0.5 million, as of December 31, 2010, and our accounts receivable balance was $176.4 million, net of allowance for doubtful accounts of $0.5 million, as of April 2, 2010.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117"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twelve months are classified as a current liability. For mature products, we estimate the warranty costs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firstLine="222"/>
        <w:spacing w:after="0" w:line="254" w:lineRule="auto"/>
        <w:rPr>
          <w:sz w:val="20"/>
          <w:szCs w:val="20"/>
          <w:color w:val="auto"/>
        </w:rPr>
      </w:pPr>
      <w:r>
        <w:rPr>
          <w:rFonts w:ascii="Arial" w:cs="Arial" w:eastAsia="Arial" w:hAnsi="Arial"/>
          <w:sz w:val="18"/>
          <w:szCs w:val="18"/>
          <w:color w:val="auto"/>
        </w:rPr>
        <w:t>We account for our goodwill under authoritative guidance for goodwill and other intangible assets (SFAS 142, “Goodwill and Other Intangible Assets” / ASC 350). The authoritative guidance for the goodwill impairment model is a two-step process. First, it requires a comparison of the book value of net assets to the fair value of the reporting units that have goodwill assigned to them. Reporting units within our government systems, commercial networks and satellite services segments have goodwill assigned to them. If the fair value is determined to be less than book value, a second step is performed to compute the amount of the impairment. In this process, a fair value for goodwill is estimated, based in part on the fair value of the reporting unit used in the first step, and is compared to its carrying value. The shortfall of the fair value below carrying value, if any, represents the amount of goodwill impairment. We test goodwill for impairment during the fourth quarter every fiscal year and when an event occurs or circumstances change such that it is reasonably possible that an impairment may exist.</w:t>
      </w:r>
    </w:p>
    <w:p>
      <w:pPr>
        <w:spacing w:after="0" w:line="84"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We estimate the fair values of the reporting units using discounted cash flows and other indicators of fair value such as market comparable transactions. We base the forecast of future cash flows on our best estimate of the future revenues and operating costs, which we derive primarily from existing firm orders, expected future orders, contracts with suppliers, labor agreements and general market conditions. Changes in these forecasts could cause a particular reporting unit to either pass or fail the first step in the authoritative guidance related to the goodwill impairment model, which could significantly influence whether a goodwill impairment needs to be recorded. We adjust the cash flow forecasts by an appropriate discount rate derived from our market capitalization plus a suitable control premium at the date of evaluation. In applying the first step, which is identification of any impairment of goodwill, no impairment of goodwill has resulted.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117" w:lineRule="exact"/>
        <w:rPr>
          <w:sz w:val="20"/>
          <w:szCs w:val="20"/>
          <w:color w:val="auto"/>
        </w:rPr>
      </w:pPr>
    </w:p>
    <w:p>
      <w:pPr>
        <w:ind w:right="200" w:firstLine="225"/>
        <w:spacing w:after="0" w:line="270" w:lineRule="auto"/>
        <w:rPr>
          <w:sz w:val="20"/>
          <w:szCs w:val="20"/>
          <w:color w:val="auto"/>
        </w:rPr>
      </w:pPr>
      <w:r>
        <w:rPr>
          <w:rFonts w:ascii="Arial" w:cs="Arial" w:eastAsia="Arial" w:hAnsi="Arial"/>
          <w:sz w:val="17"/>
          <w:szCs w:val="17"/>
          <w:color w:val="auto"/>
        </w:rPr>
        <w:t>Equipment, computers and software, furniture and fixtures, and our ViaSat-1 satellite and related gateway and networking equipment under construction are recorded at cost, net of accumulated depreciation. Costs are capitalized as incurred and for our satellite include construction, launch and insurance. Satellite construction costs, including launch services and insurance, are generally procured under long-term contracts that provide for payments by us over the contract periods. Also, we are constructing gateway facilities and network operations systems to support the satellite under construction and these construction costs are capitalized as incurred. Interest expense is capitalized on the carrying value of the satellite and related gateway and networking equipment during the construction period. Satellite construction and launch services costs are capitalized to reflect progress toward completion, which typically coincides with contract milestone payment schedules. Insurance premiums related to the satellite launch and subsequent in-orbit testing are capitalized and amortized over the estimated useful lives of the satellite. Performance incentives payable in future periods are dependent on the continued satisfactory performance of the satellite in service.</w:t>
      </w:r>
    </w:p>
    <w:p>
      <w:pPr>
        <w:spacing w:after="0" w:line="74" w:lineRule="exact"/>
        <w:rPr>
          <w:sz w:val="20"/>
          <w:szCs w:val="20"/>
          <w:color w:val="auto"/>
        </w:rPr>
      </w:pPr>
    </w:p>
    <w:p>
      <w:pPr>
        <w:ind w:right="60" w:firstLine="215"/>
        <w:spacing w:after="0" w:line="259" w:lineRule="auto"/>
        <w:rPr>
          <w:sz w:val="20"/>
          <w:szCs w:val="20"/>
          <w:color w:val="auto"/>
        </w:rPr>
      </w:pPr>
      <w:r>
        <w:rPr>
          <w:rFonts w:ascii="Arial" w:cs="Arial" w:eastAsia="Arial" w:hAnsi="Arial"/>
          <w:sz w:val="18"/>
          <w:szCs w:val="18"/>
          <w:color w:val="auto"/>
        </w:rPr>
        <w:t>As a result of the acquisition of WildBlue on December 15, 2009, we acquired the WildBlue-1 satellite (which was placed into service in March 2007) and an exclusive prepaid lifetime capital lease of Ka-band capacity on Telesat Canada’s Anik F2 satellite (which was placed into service in April 2005) and related gateway and networking equipment on both satellites. The acquired assets also included the indoor and outdoor customer premise equipment (CPE) units leased to subscribers under WildBlue’s retail leasing program.</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Occasionally, we may enter into capital lease arrangements for various machinery, equipment, computer-related equipment, software, furniture or fixtures. As of December 31, 2010, assets under capital lease totaled approximately $2.8 million. During the three and nine months ended December 31, 2010, we recorded immaterial amounts of capital lease amortization in depreciation expense. We had no capital lease arrangements as of April 2, 2010 and there was no capital lease amortization for the three and nine months ended January 1, 2010.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 (property, equipment and satellites, and other assets)</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 accordance with the authoritative guidance for impairment or disposal of long-lived assets (SFAS 144, “Accounting for the Impairment or Disposal of Long-Lived Assets” / ASC 360), we assess potential impairments to our long-lived assets, including property, equipment and satellites and other assets, when there is evidence that events or changes in circumstances indicate that the carrying value may not be recoverable.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valuation allowance on deferred tax assets</w:t>
      </w:r>
    </w:p>
    <w:p>
      <w:pPr>
        <w:spacing w:after="0" w:line="117"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Management evaluates the realizability of our deferred tax assets and assesses the need for a valuation allowance on a quarterly basis. In accordance with the authoritative guidance for income taxes (SFAS 109, “Accounting for Income Taxes” / ASC 740), net deferred tax assets are reduced by a valuation allowance if, based on all the available evidence, it is more likely than not that some or all of the deferred tax assets will not be realized. Our valuation allowance against deferred tax assets increased from $13.1 million at April 2, 2010 to $13.7 million at December 31, 2010. The valuation allowance primarily relates to state net operating loss carryforwards and research credit carryforwards available to reduce state income taxes.</w:t>
      </w:r>
    </w:p>
    <w:p>
      <w:pPr>
        <w:spacing w:after="0" w:line="64" w:lineRule="exact"/>
        <w:rPr>
          <w:sz w:val="20"/>
          <w:szCs w:val="20"/>
          <w:color w:val="auto"/>
        </w:rPr>
      </w:pPr>
    </w:p>
    <w:p>
      <w:pPr>
        <w:ind w:right="200" w:firstLine="215"/>
        <w:spacing w:after="0" w:line="291" w:lineRule="auto"/>
        <w:rPr>
          <w:sz w:val="20"/>
          <w:szCs w:val="20"/>
          <w:color w:val="auto"/>
        </w:rPr>
      </w:pPr>
      <w:r>
        <w:rPr>
          <w:rFonts w:ascii="Arial" w:cs="Arial" w:eastAsia="Arial" w:hAnsi="Arial"/>
          <w:sz w:val="16"/>
          <w:szCs w:val="16"/>
          <w:color w:val="auto"/>
        </w:rPr>
        <w:t>Accruals for uncertain tax positions are provided for in accordance with the authoritative guidance for accounting for uncertainty in income taxes (Financial Accounting Standards Board (FASB) Interpretation No. 48 (FIN 48), “Accounting for Uncertainty in Income Taxes — an interpretation of FASB Statement No. 109” /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current and deferred income tax assets and liabilities, accounting for interest and penalties associated with tax positions, and income tax disclosures.</w:t>
      </w:r>
    </w:p>
    <w:p>
      <w:pPr>
        <w:spacing w:after="0" w:line="59" w:lineRule="exact"/>
        <w:rPr>
          <w:sz w:val="20"/>
          <w:szCs w:val="20"/>
          <w:color w:val="auto"/>
        </w:rPr>
      </w:pPr>
    </w:p>
    <w:p>
      <w:pPr>
        <w:ind w:right="160" w:firstLine="222"/>
        <w:spacing w:after="0" w:line="255"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as a percentage of total revenues, income statement data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0" w:type="dxa"/>
            <w:vAlign w:val="bottom"/>
            <w:gridSpan w:val="7"/>
          </w:tcPr>
          <w:p>
            <w:pPr>
              <w:jc w:val="right"/>
              <w:ind w:right="1260"/>
              <w:spacing w:after="0"/>
              <w:rPr>
                <w:sz w:val="20"/>
                <w:szCs w:val="20"/>
                <w:color w:val="auto"/>
              </w:rPr>
            </w:pPr>
            <w:r>
              <w:rPr>
                <w:rFonts w:ascii="Arial" w:cs="Arial" w:eastAsia="Arial" w:hAnsi="Arial"/>
                <w:sz w:val="14"/>
                <w:szCs w:val="14"/>
                <w:b w:val="1"/>
                <w:bCs w:val="1"/>
                <w:color w:val="auto"/>
                <w:w w:val="95"/>
              </w:rPr>
              <w:t>Three Months Ended</w:t>
            </w: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20" w:type="dxa"/>
            <w:vAlign w:val="bottom"/>
            <w:gridSpan w:val="5"/>
          </w:tcPr>
          <w:p>
            <w:pPr>
              <w:jc w:val="right"/>
              <w:ind w:right="84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400" w:type="dxa"/>
            <w:vAlign w:val="bottom"/>
            <w:tcBorders>
              <w:top w:val="single" w:sz="8" w:color="auto"/>
              <w:bottom w:val="single" w:sz="8" w:color="auto"/>
            </w:tcBorders>
            <w:gridSpan w:val="3"/>
          </w:tcPr>
          <w:p>
            <w:pPr>
              <w:jc w:val="right"/>
              <w:ind w:right="44"/>
              <w:spacing w:after="0" w:line="142" w:lineRule="exact"/>
              <w:rPr>
                <w:sz w:val="20"/>
                <w:szCs w:val="20"/>
                <w:color w:val="auto"/>
              </w:rPr>
            </w:pPr>
            <w:r>
              <w:rPr>
                <w:rFonts w:ascii="Arial" w:cs="Arial" w:eastAsia="Arial" w:hAnsi="Arial"/>
                <w:sz w:val="14"/>
                <w:szCs w:val="14"/>
                <w:b w:val="1"/>
                <w:bCs w:val="1"/>
                <w:color w:val="auto"/>
                <w:w w:val="99"/>
              </w:rPr>
              <w:t>December 31, 2010</w:t>
            </w: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gridSpan w:val="3"/>
          </w:tcPr>
          <w:p>
            <w:pPr>
              <w:jc w:val="right"/>
              <w:ind w:right="42"/>
              <w:spacing w:after="0" w:line="142" w:lineRule="exact"/>
              <w:rPr>
                <w:sz w:val="20"/>
                <w:szCs w:val="20"/>
                <w:color w:val="auto"/>
              </w:rPr>
            </w:pPr>
            <w:r>
              <w:rPr>
                <w:rFonts w:ascii="Arial" w:cs="Arial" w:eastAsia="Arial" w:hAnsi="Arial"/>
                <w:sz w:val="14"/>
                <w:szCs w:val="14"/>
                <w:b w:val="1"/>
                <w:bCs w:val="1"/>
                <w:color w:val="auto"/>
                <w:w w:val="97"/>
              </w:rPr>
              <w:t>January 1, 2010</w:t>
            </w:r>
          </w:p>
        </w:tc>
        <w:tc>
          <w:tcPr>
            <w:tcW w:w="40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gridSpan w:val="2"/>
          </w:tcPr>
          <w:p>
            <w:pPr>
              <w:jc w:val="right"/>
              <w:ind w:right="45"/>
              <w:spacing w:after="0" w:line="142" w:lineRule="exact"/>
              <w:rPr>
                <w:sz w:val="20"/>
                <w:szCs w:val="20"/>
                <w:color w:val="auto"/>
              </w:rPr>
            </w:pPr>
            <w:r>
              <w:rPr>
                <w:rFonts w:ascii="Arial" w:cs="Arial" w:eastAsia="Arial" w:hAnsi="Arial"/>
                <w:sz w:val="14"/>
                <w:szCs w:val="14"/>
                <w:b w:val="1"/>
                <w:bCs w:val="1"/>
                <w:color w:val="auto"/>
                <w:w w:val="98"/>
              </w:rPr>
              <w:t>December 31, 2010</w:t>
            </w: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2"/>
          </w:tcPr>
          <w:p>
            <w:pPr>
              <w:jc w:val="right"/>
              <w:ind w:right="65"/>
              <w:spacing w:after="0" w:line="142" w:lineRule="exact"/>
              <w:rPr>
                <w:sz w:val="20"/>
                <w:szCs w:val="20"/>
                <w:color w:val="auto"/>
              </w:rPr>
            </w:pPr>
            <w:r>
              <w:rPr>
                <w:rFonts w:ascii="Arial" w:cs="Arial" w:eastAsia="Arial" w:hAnsi="Arial"/>
                <w:sz w:val="14"/>
                <w:szCs w:val="14"/>
                <w:b w:val="1"/>
                <w:bCs w:val="1"/>
                <w:color w:val="auto"/>
              </w:rPr>
              <w:t>January 1, 2010</w:t>
            </w: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0" w:type="dxa"/>
            <w:vAlign w:val="bottom"/>
            <w:gridSpan w:val="3"/>
            <w:shd w:val="clear" w:color="auto" w:fill="CCEEFF"/>
          </w:tcPr>
          <w:p>
            <w:pPr>
              <w:jc w:val="right"/>
              <w:ind w:right="284"/>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82"/>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85"/>
              <w:spacing w:after="0"/>
              <w:rPr>
                <w:sz w:val="20"/>
                <w:szCs w:val="20"/>
                <w:color w:val="auto"/>
              </w:rPr>
            </w:pPr>
            <w:r>
              <w:rPr>
                <w:rFonts w:ascii="Arial" w:cs="Arial" w:eastAsia="Arial" w:hAnsi="Arial"/>
                <w:sz w:val="18"/>
                <w:szCs w:val="18"/>
                <w:color w:val="auto"/>
              </w:rPr>
              <w:t>100.0%</w:t>
            </w:r>
          </w:p>
        </w:tc>
        <w:tc>
          <w:tcPr>
            <w:tcW w:w="1640" w:type="dxa"/>
            <w:vAlign w:val="bottom"/>
            <w:gridSpan w:val="4"/>
            <w:shd w:val="clear" w:color="auto" w:fill="CCEEFF"/>
          </w:tcPr>
          <w:p>
            <w:pPr>
              <w:jc w:val="right"/>
              <w:ind w:right="185"/>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Product revenues</w:t>
            </w:r>
          </w:p>
        </w:tc>
        <w:tc>
          <w:tcPr>
            <w:tcW w:w="1400" w:type="dxa"/>
            <w:vAlign w:val="bottom"/>
            <w:gridSpan w:val="3"/>
          </w:tcPr>
          <w:p>
            <w:pPr>
              <w:jc w:val="right"/>
              <w:ind w:right="424"/>
              <w:spacing w:after="0"/>
              <w:rPr>
                <w:sz w:val="20"/>
                <w:szCs w:val="20"/>
                <w:color w:val="auto"/>
              </w:rPr>
            </w:pPr>
            <w:r>
              <w:rPr>
                <w:rFonts w:ascii="Arial" w:cs="Arial" w:eastAsia="Arial" w:hAnsi="Arial"/>
                <w:sz w:val="18"/>
                <w:szCs w:val="18"/>
                <w:color w:val="auto"/>
              </w:rPr>
              <w:t>64.5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342"/>
              <w:spacing w:after="0"/>
              <w:rPr>
                <w:sz w:val="20"/>
                <w:szCs w:val="20"/>
                <w:color w:val="auto"/>
              </w:rPr>
            </w:pPr>
            <w:r>
              <w:rPr>
                <w:rFonts w:ascii="Arial" w:cs="Arial" w:eastAsia="Arial" w:hAnsi="Arial"/>
                <w:sz w:val="18"/>
                <w:szCs w:val="18"/>
                <w:color w:val="auto"/>
              </w:rPr>
              <w:t>87.7</w:t>
            </w:r>
          </w:p>
        </w:tc>
        <w:tc>
          <w:tcPr>
            <w:tcW w:w="400" w:type="dxa"/>
            <w:vAlign w:val="bottom"/>
          </w:tcPr>
          <w:p>
            <w:pPr>
              <w:spacing w:after="0"/>
              <w:rPr>
                <w:sz w:val="18"/>
                <w:szCs w:val="18"/>
                <w:color w:val="auto"/>
              </w:rPr>
            </w:pPr>
          </w:p>
        </w:tc>
        <w:tc>
          <w:tcPr>
            <w:tcW w:w="1420" w:type="dxa"/>
            <w:vAlign w:val="bottom"/>
            <w:gridSpan w:val="3"/>
          </w:tcPr>
          <w:p>
            <w:pPr>
              <w:jc w:val="right"/>
              <w:ind w:right="425"/>
              <w:spacing w:after="0"/>
              <w:rPr>
                <w:sz w:val="20"/>
                <w:szCs w:val="20"/>
                <w:color w:val="auto"/>
              </w:rPr>
            </w:pPr>
            <w:r>
              <w:rPr>
                <w:rFonts w:ascii="Arial" w:cs="Arial" w:eastAsia="Arial" w:hAnsi="Arial"/>
                <w:sz w:val="18"/>
                <w:szCs w:val="18"/>
                <w:color w:val="auto"/>
              </w:rPr>
              <w:t>64.7</w:t>
            </w:r>
          </w:p>
        </w:tc>
        <w:tc>
          <w:tcPr>
            <w:tcW w:w="1640" w:type="dxa"/>
            <w:vAlign w:val="bottom"/>
            <w:gridSpan w:val="4"/>
          </w:tcPr>
          <w:p>
            <w:pPr>
              <w:jc w:val="right"/>
              <w:ind w:right="345"/>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Service revenues</w:t>
            </w:r>
          </w:p>
        </w:tc>
        <w:tc>
          <w:tcPr>
            <w:tcW w:w="1400" w:type="dxa"/>
            <w:vAlign w:val="bottom"/>
            <w:gridSpan w:val="3"/>
            <w:shd w:val="clear" w:color="auto" w:fill="CCEEFF"/>
          </w:tcPr>
          <w:p>
            <w:pPr>
              <w:jc w:val="right"/>
              <w:ind w:right="424"/>
              <w:spacing w:after="0"/>
              <w:rPr>
                <w:sz w:val="20"/>
                <w:szCs w:val="20"/>
                <w:color w:val="auto"/>
              </w:rPr>
            </w:pPr>
            <w:r>
              <w:rPr>
                <w:rFonts w:ascii="Arial" w:cs="Arial" w:eastAsia="Arial" w:hAnsi="Arial"/>
                <w:sz w:val="18"/>
                <w:szCs w:val="18"/>
                <w:color w:val="auto"/>
              </w:rPr>
              <w:t>35.5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42"/>
              <w:spacing w:after="0"/>
              <w:rPr>
                <w:sz w:val="20"/>
                <w:szCs w:val="20"/>
                <w:color w:val="auto"/>
              </w:rPr>
            </w:pPr>
            <w:r>
              <w:rPr>
                <w:rFonts w:ascii="Arial" w:cs="Arial" w:eastAsia="Arial" w:hAnsi="Arial"/>
                <w:sz w:val="18"/>
                <w:szCs w:val="18"/>
                <w:color w:val="auto"/>
              </w:rPr>
              <w:t>12.3</w:t>
            </w:r>
          </w:p>
        </w:tc>
        <w:tc>
          <w:tcPr>
            <w:tcW w:w="4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25"/>
              <w:spacing w:after="0"/>
              <w:rPr>
                <w:sz w:val="20"/>
                <w:szCs w:val="20"/>
                <w:color w:val="auto"/>
              </w:rPr>
            </w:pPr>
            <w:r>
              <w:rPr>
                <w:rFonts w:ascii="Arial" w:cs="Arial" w:eastAsia="Arial" w:hAnsi="Arial"/>
                <w:sz w:val="18"/>
                <w:szCs w:val="18"/>
                <w:color w:val="auto"/>
              </w:rPr>
              <w:t>35.3</w:t>
            </w:r>
          </w:p>
        </w:tc>
        <w:tc>
          <w:tcPr>
            <w:tcW w:w="1640" w:type="dxa"/>
            <w:vAlign w:val="bottom"/>
            <w:gridSpan w:val="4"/>
            <w:shd w:val="clear" w:color="auto" w:fill="CCEEFF"/>
          </w:tcPr>
          <w:p>
            <w:pPr>
              <w:jc w:val="right"/>
              <w:ind w:right="345"/>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product revenues</w:t>
            </w:r>
          </w:p>
        </w:tc>
        <w:tc>
          <w:tcPr>
            <w:tcW w:w="1400" w:type="dxa"/>
            <w:vAlign w:val="bottom"/>
            <w:gridSpan w:val="3"/>
            <w:shd w:val="clear" w:color="auto" w:fill="CCEEFF"/>
          </w:tcPr>
          <w:p>
            <w:pPr>
              <w:jc w:val="right"/>
              <w:ind w:right="424"/>
              <w:spacing w:after="0"/>
              <w:rPr>
                <w:sz w:val="20"/>
                <w:szCs w:val="20"/>
                <w:color w:val="auto"/>
              </w:rPr>
            </w:pPr>
            <w:r>
              <w:rPr>
                <w:rFonts w:ascii="Arial" w:cs="Arial" w:eastAsia="Arial" w:hAnsi="Arial"/>
                <w:sz w:val="18"/>
                <w:szCs w:val="18"/>
                <w:color w:val="auto"/>
              </w:rPr>
              <w:t>48.5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42"/>
              <w:spacing w:after="0"/>
              <w:rPr>
                <w:sz w:val="20"/>
                <w:szCs w:val="20"/>
                <w:color w:val="auto"/>
              </w:rPr>
            </w:pPr>
            <w:r>
              <w:rPr>
                <w:rFonts w:ascii="Arial" w:cs="Arial" w:eastAsia="Arial" w:hAnsi="Arial"/>
                <w:sz w:val="18"/>
                <w:szCs w:val="18"/>
                <w:color w:val="auto"/>
              </w:rPr>
              <w:t>63.1</w:t>
            </w:r>
          </w:p>
        </w:tc>
        <w:tc>
          <w:tcPr>
            <w:tcW w:w="4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25"/>
              <w:spacing w:after="0"/>
              <w:rPr>
                <w:sz w:val="20"/>
                <w:szCs w:val="20"/>
                <w:color w:val="auto"/>
              </w:rPr>
            </w:pPr>
            <w:r>
              <w:rPr>
                <w:rFonts w:ascii="Arial" w:cs="Arial" w:eastAsia="Arial" w:hAnsi="Arial"/>
                <w:sz w:val="18"/>
                <w:szCs w:val="18"/>
                <w:color w:val="auto"/>
              </w:rPr>
              <w:t>47.5</w:t>
            </w:r>
          </w:p>
        </w:tc>
        <w:tc>
          <w:tcPr>
            <w:tcW w:w="1640" w:type="dxa"/>
            <w:vAlign w:val="bottom"/>
            <w:gridSpan w:val="4"/>
            <w:shd w:val="clear" w:color="auto" w:fill="CCEEFF"/>
          </w:tcPr>
          <w:p>
            <w:pPr>
              <w:jc w:val="right"/>
              <w:ind w:right="345"/>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Cost of service revenues</w:t>
            </w:r>
          </w:p>
        </w:tc>
        <w:tc>
          <w:tcPr>
            <w:tcW w:w="1400" w:type="dxa"/>
            <w:vAlign w:val="bottom"/>
            <w:gridSpan w:val="3"/>
          </w:tcPr>
          <w:p>
            <w:pPr>
              <w:jc w:val="right"/>
              <w:ind w:right="424"/>
              <w:spacing w:after="0"/>
              <w:rPr>
                <w:sz w:val="20"/>
                <w:szCs w:val="20"/>
                <w:color w:val="auto"/>
              </w:rPr>
            </w:pPr>
            <w:r>
              <w:rPr>
                <w:rFonts w:ascii="Arial" w:cs="Arial" w:eastAsia="Arial" w:hAnsi="Arial"/>
                <w:sz w:val="18"/>
                <w:szCs w:val="18"/>
                <w:color w:val="auto"/>
              </w:rPr>
              <w:t>21.4</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342"/>
              <w:spacing w:after="0"/>
              <w:rPr>
                <w:sz w:val="20"/>
                <w:szCs w:val="20"/>
                <w:color w:val="auto"/>
              </w:rPr>
            </w:pPr>
            <w:r>
              <w:rPr>
                <w:rFonts w:ascii="Arial" w:cs="Arial" w:eastAsia="Arial" w:hAnsi="Arial"/>
                <w:sz w:val="18"/>
                <w:szCs w:val="18"/>
                <w:color w:val="auto"/>
              </w:rPr>
              <w:t>7.5</w:t>
            </w:r>
          </w:p>
        </w:tc>
        <w:tc>
          <w:tcPr>
            <w:tcW w:w="400" w:type="dxa"/>
            <w:vAlign w:val="bottom"/>
          </w:tcPr>
          <w:p>
            <w:pPr>
              <w:spacing w:after="0"/>
              <w:rPr>
                <w:sz w:val="18"/>
                <w:szCs w:val="18"/>
                <w:color w:val="auto"/>
              </w:rPr>
            </w:pPr>
          </w:p>
        </w:tc>
        <w:tc>
          <w:tcPr>
            <w:tcW w:w="1420" w:type="dxa"/>
            <w:vAlign w:val="bottom"/>
            <w:gridSpan w:val="3"/>
          </w:tcPr>
          <w:p>
            <w:pPr>
              <w:jc w:val="right"/>
              <w:ind w:right="425"/>
              <w:spacing w:after="0"/>
              <w:rPr>
                <w:sz w:val="20"/>
                <w:szCs w:val="20"/>
                <w:color w:val="auto"/>
              </w:rPr>
            </w:pPr>
            <w:r>
              <w:rPr>
                <w:rFonts w:ascii="Arial" w:cs="Arial" w:eastAsia="Arial" w:hAnsi="Arial"/>
                <w:sz w:val="18"/>
                <w:szCs w:val="18"/>
                <w:color w:val="auto"/>
              </w:rPr>
              <w:t>20.9</w:t>
            </w:r>
          </w:p>
        </w:tc>
        <w:tc>
          <w:tcPr>
            <w:tcW w:w="1640" w:type="dxa"/>
            <w:vAlign w:val="bottom"/>
            <w:gridSpan w:val="4"/>
          </w:tcPr>
          <w:p>
            <w:pPr>
              <w:jc w:val="right"/>
              <w:ind w:right="345"/>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400" w:type="dxa"/>
            <w:vAlign w:val="bottom"/>
            <w:gridSpan w:val="3"/>
            <w:shd w:val="clear" w:color="auto" w:fill="CCEEFF"/>
          </w:tcPr>
          <w:p>
            <w:pPr>
              <w:jc w:val="right"/>
              <w:ind w:right="424"/>
              <w:spacing w:after="0"/>
              <w:rPr>
                <w:sz w:val="20"/>
                <w:szCs w:val="20"/>
                <w:color w:val="auto"/>
              </w:rPr>
            </w:pPr>
            <w:r>
              <w:rPr>
                <w:rFonts w:ascii="Arial" w:cs="Arial" w:eastAsia="Arial" w:hAnsi="Arial"/>
                <w:sz w:val="18"/>
                <w:szCs w:val="18"/>
                <w:color w:val="auto"/>
              </w:rPr>
              <w:t>20.6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42"/>
              <w:spacing w:after="0"/>
              <w:rPr>
                <w:sz w:val="20"/>
                <w:szCs w:val="20"/>
                <w:color w:val="auto"/>
              </w:rPr>
            </w:pPr>
            <w:r>
              <w:rPr>
                <w:rFonts w:ascii="Arial" w:cs="Arial" w:eastAsia="Arial" w:hAnsi="Arial"/>
                <w:sz w:val="18"/>
                <w:szCs w:val="18"/>
                <w:color w:val="auto"/>
              </w:rPr>
              <w:t>22.0</w:t>
            </w:r>
          </w:p>
        </w:tc>
        <w:tc>
          <w:tcPr>
            <w:tcW w:w="4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25"/>
              <w:spacing w:after="0"/>
              <w:rPr>
                <w:sz w:val="20"/>
                <w:szCs w:val="20"/>
                <w:color w:val="auto"/>
              </w:rPr>
            </w:pPr>
            <w:r>
              <w:rPr>
                <w:rFonts w:ascii="Arial" w:cs="Arial" w:eastAsia="Arial" w:hAnsi="Arial"/>
                <w:sz w:val="18"/>
                <w:szCs w:val="18"/>
                <w:color w:val="auto"/>
              </w:rPr>
              <w:t>20.7</w:t>
            </w:r>
          </w:p>
        </w:tc>
        <w:tc>
          <w:tcPr>
            <w:tcW w:w="1640" w:type="dxa"/>
            <w:vAlign w:val="bottom"/>
            <w:gridSpan w:val="4"/>
            <w:shd w:val="clear" w:color="auto" w:fill="CCEEFF"/>
          </w:tcPr>
          <w:p>
            <w:pPr>
              <w:jc w:val="right"/>
              <w:ind w:right="345"/>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Independent research and development</w:t>
            </w:r>
          </w:p>
        </w:tc>
        <w:tc>
          <w:tcPr>
            <w:tcW w:w="1400" w:type="dxa"/>
            <w:vAlign w:val="bottom"/>
            <w:gridSpan w:val="3"/>
          </w:tcPr>
          <w:p>
            <w:pPr>
              <w:jc w:val="right"/>
              <w:ind w:right="424"/>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342"/>
              <w:spacing w:after="0"/>
              <w:rPr>
                <w:sz w:val="20"/>
                <w:szCs w:val="20"/>
                <w:color w:val="auto"/>
              </w:rPr>
            </w:pPr>
            <w:r>
              <w:rPr>
                <w:rFonts w:ascii="Arial" w:cs="Arial" w:eastAsia="Arial" w:hAnsi="Arial"/>
                <w:sz w:val="18"/>
                <w:szCs w:val="18"/>
                <w:color w:val="auto"/>
              </w:rPr>
              <w:t>5.0</w:t>
            </w:r>
          </w:p>
        </w:tc>
        <w:tc>
          <w:tcPr>
            <w:tcW w:w="400" w:type="dxa"/>
            <w:vAlign w:val="bottom"/>
          </w:tcPr>
          <w:p>
            <w:pPr>
              <w:spacing w:after="0"/>
              <w:rPr>
                <w:sz w:val="18"/>
                <w:szCs w:val="18"/>
                <w:color w:val="auto"/>
              </w:rPr>
            </w:pPr>
          </w:p>
        </w:tc>
        <w:tc>
          <w:tcPr>
            <w:tcW w:w="1420" w:type="dxa"/>
            <w:vAlign w:val="bottom"/>
            <w:gridSpan w:val="3"/>
          </w:tcPr>
          <w:p>
            <w:pPr>
              <w:jc w:val="right"/>
              <w:ind w:right="425"/>
              <w:spacing w:after="0"/>
              <w:rPr>
                <w:sz w:val="20"/>
                <w:szCs w:val="20"/>
                <w:color w:val="auto"/>
              </w:rPr>
            </w:pPr>
            <w:r>
              <w:rPr>
                <w:rFonts w:ascii="Arial" w:cs="Arial" w:eastAsia="Arial" w:hAnsi="Arial"/>
                <w:sz w:val="18"/>
                <w:szCs w:val="18"/>
                <w:color w:val="auto"/>
              </w:rPr>
              <w:t>3.7</w:t>
            </w:r>
          </w:p>
        </w:tc>
        <w:tc>
          <w:tcPr>
            <w:tcW w:w="1640" w:type="dxa"/>
            <w:vAlign w:val="bottom"/>
            <w:gridSpan w:val="4"/>
          </w:tcPr>
          <w:p>
            <w:pPr>
              <w:jc w:val="right"/>
              <w:ind w:right="345"/>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acquired intangible assets</w:t>
            </w:r>
          </w:p>
        </w:tc>
        <w:tc>
          <w:tcPr>
            <w:tcW w:w="1400" w:type="dxa"/>
            <w:vAlign w:val="bottom"/>
            <w:gridSpan w:val="3"/>
            <w:shd w:val="clear" w:color="auto" w:fill="CCEEFF"/>
          </w:tcPr>
          <w:p>
            <w:pPr>
              <w:jc w:val="right"/>
              <w:ind w:right="424"/>
              <w:spacing w:after="0"/>
              <w:rPr>
                <w:sz w:val="20"/>
                <w:szCs w:val="20"/>
                <w:color w:val="auto"/>
              </w:rPr>
            </w:pPr>
            <w:r>
              <w:rPr>
                <w:rFonts w:ascii="Arial" w:cs="Arial" w:eastAsia="Arial" w:hAnsi="Arial"/>
                <w:sz w:val="18"/>
                <w:szCs w:val="18"/>
                <w:color w:val="auto"/>
              </w:rPr>
              <w:t>2.5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42"/>
              <w:spacing w:after="0"/>
              <w:rPr>
                <w:sz w:val="20"/>
                <w:szCs w:val="20"/>
                <w:color w:val="auto"/>
              </w:rPr>
            </w:pPr>
            <w:r>
              <w:rPr>
                <w:rFonts w:ascii="Arial" w:cs="Arial" w:eastAsia="Arial" w:hAnsi="Arial"/>
                <w:sz w:val="18"/>
                <w:szCs w:val="18"/>
                <w:color w:val="auto"/>
              </w:rPr>
              <w:t>1.2</w:t>
            </w:r>
          </w:p>
        </w:tc>
        <w:tc>
          <w:tcPr>
            <w:tcW w:w="4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25"/>
              <w:spacing w:after="0"/>
              <w:rPr>
                <w:sz w:val="20"/>
                <w:szCs w:val="20"/>
                <w:color w:val="auto"/>
              </w:rPr>
            </w:pPr>
            <w:r>
              <w:rPr>
                <w:rFonts w:ascii="Arial" w:cs="Arial" w:eastAsia="Arial" w:hAnsi="Arial"/>
                <w:sz w:val="18"/>
                <w:szCs w:val="18"/>
                <w:color w:val="auto"/>
              </w:rPr>
              <w:t>2.5</w:t>
            </w:r>
          </w:p>
        </w:tc>
        <w:tc>
          <w:tcPr>
            <w:tcW w:w="1640" w:type="dxa"/>
            <w:vAlign w:val="bottom"/>
            <w:gridSpan w:val="4"/>
            <w:shd w:val="clear" w:color="auto" w:fill="CCEEFF"/>
          </w:tcPr>
          <w:p>
            <w:pPr>
              <w:jc w:val="right"/>
              <w:ind w:right="345"/>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400" w:type="dxa"/>
            <w:vAlign w:val="bottom"/>
            <w:gridSpan w:val="3"/>
          </w:tcPr>
          <w:p>
            <w:pPr>
              <w:jc w:val="right"/>
              <w:ind w:right="424"/>
              <w:spacing w:after="0"/>
              <w:rPr>
                <w:sz w:val="20"/>
                <w:szCs w:val="20"/>
                <w:color w:val="auto"/>
              </w:rPr>
            </w:pPr>
            <w:r>
              <w:rPr>
                <w:rFonts w:ascii="Arial" w:cs="Arial" w:eastAsia="Arial" w:hAnsi="Arial"/>
                <w:sz w:val="18"/>
                <w:szCs w:val="18"/>
                <w:color w:val="auto"/>
              </w:rPr>
              <w:t>3.6</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342"/>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8"/>
                <w:szCs w:val="18"/>
                <w:color w:val="auto"/>
              </w:rPr>
            </w:pPr>
          </w:p>
        </w:tc>
        <w:tc>
          <w:tcPr>
            <w:tcW w:w="1420" w:type="dxa"/>
            <w:vAlign w:val="bottom"/>
            <w:gridSpan w:val="3"/>
          </w:tcPr>
          <w:p>
            <w:pPr>
              <w:jc w:val="right"/>
              <w:ind w:right="425"/>
              <w:spacing w:after="0"/>
              <w:rPr>
                <w:sz w:val="20"/>
                <w:szCs w:val="20"/>
                <w:color w:val="auto"/>
              </w:rPr>
            </w:pPr>
            <w:r>
              <w:rPr>
                <w:rFonts w:ascii="Arial" w:cs="Arial" w:eastAsia="Arial" w:hAnsi="Arial"/>
                <w:sz w:val="18"/>
                <w:szCs w:val="18"/>
                <w:color w:val="auto"/>
              </w:rPr>
              <w:t>4.7</w:t>
            </w:r>
          </w:p>
        </w:tc>
        <w:tc>
          <w:tcPr>
            <w:tcW w:w="1640" w:type="dxa"/>
            <w:vAlign w:val="bottom"/>
            <w:gridSpan w:val="4"/>
          </w:tcPr>
          <w:p>
            <w:pPr>
              <w:jc w:val="right"/>
              <w:ind w:right="345"/>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0" w:type="dxa"/>
            <w:vAlign w:val="bottom"/>
            <w:gridSpan w:val="3"/>
            <w:shd w:val="clear" w:color="auto" w:fill="CCEEFF"/>
          </w:tcPr>
          <w:p>
            <w:pPr>
              <w:jc w:val="right"/>
              <w:ind w:right="424"/>
              <w:spacing w:after="0"/>
              <w:rPr>
                <w:sz w:val="20"/>
                <w:szCs w:val="20"/>
                <w:color w:val="auto"/>
              </w:rPr>
            </w:pPr>
            <w:r>
              <w:rPr>
                <w:rFonts w:ascii="Arial" w:cs="Arial" w:eastAsia="Arial" w:hAnsi="Arial"/>
                <w:sz w:val="18"/>
                <w:szCs w:val="18"/>
                <w:color w:val="auto"/>
              </w:rPr>
              <w:t>3.6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42"/>
              <w:spacing w:after="0"/>
              <w:rPr>
                <w:sz w:val="20"/>
                <w:szCs w:val="20"/>
                <w:color w:val="auto"/>
              </w:rPr>
            </w:pPr>
            <w:r>
              <w:rPr>
                <w:rFonts w:ascii="Arial" w:cs="Arial" w:eastAsia="Arial" w:hAnsi="Arial"/>
                <w:sz w:val="18"/>
                <w:szCs w:val="18"/>
                <w:color w:val="auto"/>
              </w:rPr>
              <w:t>0.1</w:t>
            </w:r>
          </w:p>
        </w:tc>
        <w:tc>
          <w:tcPr>
            <w:tcW w:w="4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25"/>
              <w:spacing w:after="0"/>
              <w:rPr>
                <w:sz w:val="20"/>
                <w:szCs w:val="20"/>
                <w:color w:val="auto"/>
              </w:rPr>
            </w:pPr>
            <w:r>
              <w:rPr>
                <w:rFonts w:ascii="Arial" w:cs="Arial" w:eastAsia="Arial" w:hAnsi="Arial"/>
                <w:sz w:val="18"/>
                <w:szCs w:val="18"/>
                <w:color w:val="auto"/>
              </w:rPr>
              <w:t>4.2</w:t>
            </w:r>
          </w:p>
        </w:tc>
        <w:tc>
          <w:tcPr>
            <w:tcW w:w="1640" w:type="dxa"/>
            <w:vAlign w:val="bottom"/>
            <w:gridSpan w:val="4"/>
            <w:shd w:val="clear" w:color="auto" w:fill="CCEEFF"/>
          </w:tcPr>
          <w:p>
            <w:pPr>
              <w:jc w:val="right"/>
              <w:ind w:right="345"/>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Net income</w:t>
            </w:r>
          </w:p>
        </w:tc>
        <w:tc>
          <w:tcPr>
            <w:tcW w:w="1400" w:type="dxa"/>
            <w:vAlign w:val="bottom"/>
            <w:gridSpan w:val="3"/>
          </w:tcPr>
          <w:p>
            <w:pPr>
              <w:jc w:val="right"/>
              <w:ind w:right="424"/>
              <w:spacing w:after="0"/>
              <w:rPr>
                <w:sz w:val="20"/>
                <w:szCs w:val="20"/>
                <w:color w:val="auto"/>
              </w:rPr>
            </w:pPr>
            <w:r>
              <w:rPr>
                <w:rFonts w:ascii="Arial" w:cs="Arial" w:eastAsia="Arial" w:hAnsi="Arial"/>
                <w:sz w:val="18"/>
                <w:szCs w:val="18"/>
                <w:color w:val="auto"/>
              </w:rPr>
              <w:t>6.6</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342"/>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18"/>
                <w:szCs w:val="18"/>
                <w:color w:val="auto"/>
              </w:rPr>
            </w:pPr>
          </w:p>
        </w:tc>
        <w:tc>
          <w:tcPr>
            <w:tcW w:w="1420" w:type="dxa"/>
            <w:vAlign w:val="bottom"/>
            <w:gridSpan w:val="3"/>
          </w:tcPr>
          <w:p>
            <w:pPr>
              <w:jc w:val="right"/>
              <w:ind w:right="425"/>
              <w:spacing w:after="0"/>
              <w:rPr>
                <w:sz w:val="20"/>
                <w:szCs w:val="20"/>
                <w:color w:val="auto"/>
              </w:rPr>
            </w:pPr>
            <w:r>
              <w:rPr>
                <w:rFonts w:ascii="Arial" w:cs="Arial" w:eastAsia="Arial" w:hAnsi="Arial"/>
                <w:sz w:val="18"/>
                <w:szCs w:val="18"/>
                <w:color w:val="auto"/>
              </w:rPr>
              <w:t>4.1</w:t>
            </w:r>
          </w:p>
        </w:tc>
        <w:tc>
          <w:tcPr>
            <w:tcW w:w="1640" w:type="dxa"/>
            <w:vAlign w:val="bottom"/>
            <w:gridSpan w:val="4"/>
          </w:tcPr>
          <w:p>
            <w:pPr>
              <w:jc w:val="right"/>
              <w:ind w:right="345"/>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ViaSat, Inc.</w:t>
            </w:r>
          </w:p>
        </w:tc>
        <w:tc>
          <w:tcPr>
            <w:tcW w:w="1400" w:type="dxa"/>
            <w:vAlign w:val="bottom"/>
            <w:gridSpan w:val="3"/>
            <w:shd w:val="clear" w:color="auto" w:fill="CCEEFF"/>
          </w:tcPr>
          <w:p>
            <w:pPr>
              <w:jc w:val="right"/>
              <w:ind w:right="424"/>
              <w:spacing w:after="0"/>
              <w:rPr>
                <w:sz w:val="20"/>
                <w:szCs w:val="20"/>
                <w:color w:val="auto"/>
              </w:rPr>
            </w:pPr>
            <w:r>
              <w:rPr>
                <w:rFonts w:ascii="Arial" w:cs="Arial" w:eastAsia="Arial" w:hAnsi="Arial"/>
                <w:sz w:val="18"/>
                <w:szCs w:val="18"/>
                <w:color w:val="auto"/>
              </w:rPr>
              <w:t>6.6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42"/>
              <w:spacing w:after="0"/>
              <w:rPr>
                <w:sz w:val="20"/>
                <w:szCs w:val="20"/>
                <w:color w:val="auto"/>
              </w:rPr>
            </w:pPr>
            <w:r>
              <w:rPr>
                <w:rFonts w:ascii="Arial" w:cs="Arial" w:eastAsia="Arial" w:hAnsi="Arial"/>
                <w:sz w:val="18"/>
                <w:szCs w:val="18"/>
                <w:color w:val="auto"/>
              </w:rPr>
              <w:t>2.1</w:t>
            </w:r>
          </w:p>
        </w:tc>
        <w:tc>
          <w:tcPr>
            <w:tcW w:w="4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25"/>
              <w:spacing w:after="0"/>
              <w:rPr>
                <w:sz w:val="20"/>
                <w:szCs w:val="20"/>
                <w:color w:val="auto"/>
              </w:rPr>
            </w:pPr>
            <w:r>
              <w:rPr>
                <w:rFonts w:ascii="Arial" w:cs="Arial" w:eastAsia="Arial" w:hAnsi="Arial"/>
                <w:sz w:val="18"/>
                <w:szCs w:val="18"/>
                <w:color w:val="auto"/>
              </w:rPr>
              <w:t>4.1</w:t>
            </w:r>
          </w:p>
        </w:tc>
        <w:tc>
          <w:tcPr>
            <w:tcW w:w="1640" w:type="dxa"/>
            <w:vAlign w:val="bottom"/>
            <w:gridSpan w:val="4"/>
            <w:shd w:val="clear" w:color="auto" w:fill="CCEEFF"/>
          </w:tcPr>
          <w:p>
            <w:pPr>
              <w:jc w:val="right"/>
              <w:ind w:right="345"/>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432"/>
        </w:trPr>
        <w:tc>
          <w:tcPr>
            <w:tcW w:w="680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December 31, 2010 vs. Three Months Ended January 1, 2010</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920" w:type="dxa"/>
            <w:vAlign w:val="bottom"/>
          </w:tcPr>
          <w:p>
            <w:pPr>
              <w:spacing w:after="0"/>
              <w:rPr>
                <w:sz w:val="20"/>
                <w:szCs w:val="20"/>
                <w:color w:val="auto"/>
              </w:rPr>
            </w:pPr>
            <w:r>
              <w:rPr>
                <w:rFonts w:ascii="Arial" w:cs="Arial" w:eastAsia="Arial" w:hAnsi="Arial"/>
                <w:sz w:val="18"/>
                <w:szCs w:val="18"/>
                <w:i w:val="1"/>
                <w:iCs w:val="1"/>
                <w:color w:val="auto"/>
              </w:rPr>
              <w:t>Product revenues</w:t>
            </w: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jc w:val="center"/>
              <w:ind w:left="85"/>
              <w:spacing w:after="0"/>
              <w:rPr>
                <w:sz w:val="20"/>
                <w:szCs w:val="20"/>
                <w:color w:val="auto"/>
              </w:rPr>
            </w:pPr>
            <w:r>
              <w:rPr>
                <w:rFonts w:ascii="Arial" w:cs="Arial" w:eastAsia="Arial" w:hAnsi="Arial"/>
                <w:sz w:val="14"/>
                <w:szCs w:val="14"/>
                <w:b w:val="1"/>
                <w:bCs w:val="1"/>
                <w:color w:val="auto"/>
              </w:rPr>
              <w:t>Dollar</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gridSpan w:val="3"/>
          </w:tcPr>
          <w:p>
            <w:pPr>
              <w:ind w:left="140"/>
              <w:spacing w:after="0" w:line="119"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rPr>
              <w:t>January 1,</w:t>
            </w: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80" w:type="dxa"/>
            <w:vAlign w:val="bottom"/>
          </w:tcPr>
          <w:p>
            <w:pPr>
              <w:jc w:val="center"/>
              <w:ind w:left="85"/>
              <w:spacing w:after="0" w:line="119" w:lineRule="exact"/>
              <w:rPr>
                <w:sz w:val="20"/>
                <w:szCs w:val="20"/>
                <w:color w:val="auto"/>
              </w:rPr>
            </w:pPr>
            <w:r>
              <w:rPr>
                <w:rFonts w:ascii="Arial" w:cs="Arial" w:eastAsia="Arial" w:hAnsi="Arial"/>
                <w:sz w:val="13"/>
                <w:szCs w:val="13"/>
                <w:b w:val="1"/>
                <w:bCs w:val="1"/>
                <w:color w:val="auto"/>
                <w:w w:val="98"/>
              </w:rPr>
              <w:t>Increase</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4920" w:type="dxa"/>
            <w:vAlign w:val="bottom"/>
            <w:vMerge w:val="continue"/>
          </w:tcPr>
          <w:p>
            <w:pPr>
              <w:spacing w:after="0"/>
              <w:rPr>
                <w:sz w:val="14"/>
                <w:szCs w:val="14"/>
                <w:color w:val="auto"/>
              </w:rPr>
            </w:pPr>
          </w:p>
        </w:tc>
        <w:tc>
          <w:tcPr>
            <w:tcW w:w="1800" w:type="dxa"/>
            <w:vAlign w:val="bottom"/>
            <w:gridSpan w:val="4"/>
          </w:tcPr>
          <w:p>
            <w:pPr>
              <w:jc w:val="right"/>
              <w:ind w:right="168"/>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c>
          <w:tcPr>
            <w:tcW w:w="15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jc w:val="center"/>
              <w:ind w:left="85"/>
              <w:spacing w:after="0"/>
              <w:rPr>
                <w:sz w:val="20"/>
                <w:szCs w:val="20"/>
                <w:color w:val="auto"/>
              </w:rPr>
            </w:pPr>
            <w:r>
              <w:rPr>
                <w:rFonts w:ascii="Arial" w:cs="Arial" w:eastAsia="Arial" w:hAnsi="Arial"/>
                <w:sz w:val="14"/>
                <w:szCs w:val="14"/>
                <w:b w:val="1"/>
                <w:bCs w:val="1"/>
                <w:color w:val="auto"/>
                <w:w w:val="89"/>
              </w:rPr>
              <w:t>(Decrease)</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5"/>
        </w:trPr>
        <w:tc>
          <w:tcPr>
            <w:tcW w:w="4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Product revenues</w:t>
            </w:r>
          </w:p>
        </w:tc>
        <w:tc>
          <w:tcPr>
            <w:tcW w:w="360" w:type="dxa"/>
            <w:vAlign w:val="bottom"/>
            <w:tcBorders>
              <w:top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Borders>
              <w:top w:val="single" w:sz="8" w:color="auto"/>
            </w:tcBorders>
            <w:gridSpan w:val="2"/>
          </w:tcPr>
          <w:p>
            <w:pPr>
              <w:jc w:val="right"/>
              <w:ind w:right="108"/>
              <w:spacing w:after="0" w:line="195" w:lineRule="exact"/>
              <w:rPr>
                <w:sz w:val="20"/>
                <w:szCs w:val="20"/>
                <w:color w:val="auto"/>
              </w:rPr>
            </w:pPr>
            <w:r>
              <w:rPr>
                <w:rFonts w:ascii="Arial" w:cs="Arial" w:eastAsia="Arial" w:hAnsi="Arial"/>
                <w:sz w:val="18"/>
                <w:szCs w:val="18"/>
                <w:color w:val="auto"/>
              </w:rPr>
              <w:t>$126.4</w:t>
            </w: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Borders>
              <w:top w:val="single" w:sz="8" w:color="auto"/>
            </w:tcBorders>
            <w:gridSpan w:val="2"/>
          </w:tcPr>
          <w:p>
            <w:pPr>
              <w:jc w:val="right"/>
              <w:ind w:right="260"/>
              <w:spacing w:after="0" w:line="195" w:lineRule="exact"/>
              <w:rPr>
                <w:sz w:val="20"/>
                <w:szCs w:val="20"/>
                <w:color w:val="auto"/>
              </w:rPr>
            </w:pPr>
            <w:r>
              <w:rPr>
                <w:rFonts w:ascii="Arial" w:cs="Arial" w:eastAsia="Arial" w:hAnsi="Arial"/>
                <w:sz w:val="18"/>
                <w:szCs w:val="18"/>
                <w:color w:val="auto"/>
              </w:rPr>
              <w:t>$137.1</w:t>
            </w:r>
          </w:p>
        </w:tc>
        <w:tc>
          <w:tcPr>
            <w:tcW w:w="4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Borders>
              <w:top w:val="single" w:sz="8" w:color="auto"/>
            </w:tcBorders>
          </w:tcPr>
          <w:p>
            <w:pPr>
              <w:jc w:val="center"/>
              <w:ind w:left="65"/>
              <w:spacing w:after="0" w:line="195" w:lineRule="exact"/>
              <w:rPr>
                <w:sz w:val="20"/>
                <w:szCs w:val="20"/>
                <w:color w:val="auto"/>
              </w:rPr>
            </w:pPr>
            <w:r>
              <w:rPr>
                <w:rFonts w:ascii="Arial" w:cs="Arial" w:eastAsia="Arial" w:hAnsi="Arial"/>
                <w:sz w:val="18"/>
                <w:szCs w:val="18"/>
                <w:color w:val="auto"/>
                <w:w w:val="94"/>
              </w:rPr>
              <w:t>$(10.7)</w:t>
            </w:r>
          </w:p>
        </w:tc>
        <w:tc>
          <w:tcPr>
            <w:tcW w:w="160" w:type="dxa"/>
            <w:vAlign w:val="bottom"/>
            <w:tcBorders>
              <w:top w:val="single" w:sz="8" w:color="auto"/>
            </w:tcBorders>
          </w:tcPr>
          <w:p>
            <w:pPr>
              <w:spacing w:after="0"/>
              <w:rPr>
                <w:sz w:val="16"/>
                <w:szCs w:val="16"/>
                <w:color w:val="auto"/>
              </w:rPr>
            </w:pPr>
          </w:p>
        </w:tc>
        <w:tc>
          <w:tcPr>
            <w:tcW w:w="500" w:type="dxa"/>
            <w:vAlign w:val="bottom"/>
            <w:gridSpan w:val="2"/>
          </w:tcPr>
          <w:p>
            <w:pPr>
              <w:spacing w:after="0"/>
              <w:rPr>
                <w:sz w:val="16"/>
                <w:szCs w:val="16"/>
                <w:color w:val="auto"/>
              </w:rPr>
            </w:pPr>
          </w:p>
        </w:tc>
        <w:tc>
          <w:tcPr>
            <w:tcW w:w="980" w:type="dxa"/>
            <w:vAlign w:val="bottom"/>
            <w:tcBorders>
              <w:top w:val="single" w:sz="8" w:color="auto"/>
            </w:tcBorders>
          </w:tcPr>
          <w:p>
            <w:pPr>
              <w:jc w:val="right"/>
              <w:ind w:right="45"/>
              <w:spacing w:after="0" w:line="195"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1800" w:type="dxa"/>
            <w:vAlign w:val="bottom"/>
            <w:gridSpan w:val="4"/>
          </w:tcPr>
          <w:p>
            <w:pPr>
              <w:jc w:val="right"/>
              <w:spacing w:after="0"/>
              <w:rPr>
                <w:sz w:val="20"/>
                <w:szCs w:val="20"/>
                <w:color w:val="auto"/>
              </w:rPr>
            </w:pPr>
            <w:r>
              <w:rPr>
                <w:rFonts w:ascii="Arial" w:cs="Arial" w:eastAsia="Arial" w:hAnsi="Arial"/>
                <w:sz w:val="18"/>
                <w:szCs w:val="18"/>
                <w:color w:val="auto"/>
              </w:rPr>
              <w:t>64.5%</w:t>
            </w:r>
          </w:p>
        </w:tc>
        <w:tc>
          <w:tcPr>
            <w:tcW w:w="80" w:type="dxa"/>
            <w:vAlign w:val="bottom"/>
          </w:tcPr>
          <w:p>
            <w:pPr>
              <w:spacing w:after="0"/>
              <w:rPr>
                <w:sz w:val="20"/>
                <w:szCs w:val="20"/>
                <w:color w:val="auto"/>
              </w:rPr>
            </w:pPr>
          </w:p>
        </w:tc>
        <w:tc>
          <w:tcPr>
            <w:tcW w:w="1560" w:type="dxa"/>
            <w:vAlign w:val="bottom"/>
            <w:gridSpan w:val="4"/>
          </w:tcPr>
          <w:p>
            <w:pPr>
              <w:jc w:val="right"/>
              <w:ind w:right="120"/>
              <w:spacing w:after="0"/>
              <w:rPr>
                <w:sz w:val="20"/>
                <w:szCs w:val="20"/>
                <w:color w:val="auto"/>
              </w:rPr>
            </w:pPr>
            <w:r>
              <w:rPr>
                <w:rFonts w:ascii="Arial" w:cs="Arial" w:eastAsia="Arial" w:hAnsi="Arial"/>
                <w:sz w:val="18"/>
                <w:szCs w:val="18"/>
                <w:color w:val="auto"/>
              </w:rPr>
              <w:t>87.7%</w:t>
            </w: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Product revenues decreased from $137.1 million to $126.4 million during the third quarter of fiscal year 2011 compared to the same period last fiscal year. The decrease in product revenues was primarily due to lower product sales of $7.5 million in consumer broadband products, $9.3 million in enterprise VSAT networks and products and $3.1 million in tactical data link products. These decreases were offset by higher product sales of $6.2 million in government satellite communication systems, $1.8 million in next-generation broadband equipment development programs and $1.2 million from various other defense and commercial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60" w:type="dxa"/>
            <w:vAlign w:val="bottom"/>
            <w:tcBorders>
              <w:bottom w:val="single" w:sz="8" w:color="auto"/>
            </w:tcBorders>
            <w:gridSpan w:val="3"/>
          </w:tcPr>
          <w:p>
            <w:pPr>
              <w:jc w:val="right"/>
              <w:ind w:right="54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60" w:type="dxa"/>
            <w:vAlign w:val="bottom"/>
          </w:tcPr>
          <w:p>
            <w:pPr>
              <w:jc w:val="right"/>
              <w:ind w:right="22"/>
              <w:spacing w:after="0" w:line="119" w:lineRule="exact"/>
              <w:rPr>
                <w:sz w:val="20"/>
                <w:szCs w:val="20"/>
                <w:color w:val="auto"/>
              </w:rPr>
            </w:pPr>
            <w:r>
              <w:rPr>
                <w:rFonts w:ascii="Arial" w:cs="Arial" w:eastAsia="Arial" w:hAnsi="Arial"/>
                <w:sz w:val="13"/>
                <w:szCs w:val="13"/>
                <w:b w:val="1"/>
                <w:bCs w:val="1"/>
                <w:color w:val="auto"/>
              </w:rPr>
              <w:t>December 31,</w:t>
            </w:r>
          </w:p>
        </w:tc>
        <w:tc>
          <w:tcPr>
            <w:tcW w:w="500" w:type="dxa"/>
            <w:vAlign w:val="bottom"/>
          </w:tcPr>
          <w:p>
            <w:pPr>
              <w:spacing w:after="0"/>
              <w:rPr>
                <w:sz w:val="10"/>
                <w:szCs w:val="10"/>
                <w:color w:val="auto"/>
              </w:rPr>
            </w:pP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January 1,</w:t>
            </w:r>
          </w:p>
        </w:tc>
        <w:tc>
          <w:tcPr>
            <w:tcW w:w="50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0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780" w:type="dxa"/>
            <w:vAlign w:val="bottom"/>
            <w:gridSpan w:val="2"/>
            <w:vMerge w:val="continue"/>
          </w:tcPr>
          <w:p>
            <w:pPr>
              <w:spacing w:after="0"/>
              <w:rPr>
                <w:sz w:val="14"/>
                <w:szCs w:val="14"/>
                <w:color w:val="auto"/>
              </w:rPr>
            </w:pPr>
          </w:p>
        </w:tc>
        <w:tc>
          <w:tcPr>
            <w:tcW w:w="1060" w:type="dxa"/>
            <w:vAlign w:val="bottom"/>
          </w:tcPr>
          <w:p>
            <w:pPr>
              <w:jc w:val="right"/>
              <w:ind w:right="302"/>
              <w:spacing w:after="0"/>
              <w:rPr>
                <w:sz w:val="20"/>
                <w:szCs w:val="20"/>
                <w:color w:val="auto"/>
              </w:rPr>
            </w:pPr>
            <w:r>
              <w:rPr>
                <w:rFonts w:ascii="Arial" w:cs="Arial" w:eastAsia="Arial" w:hAnsi="Arial"/>
                <w:sz w:val="14"/>
                <w:szCs w:val="14"/>
                <w:b w:val="1"/>
                <w:bCs w:val="1"/>
                <w:color w:val="auto"/>
              </w:rPr>
              <w:t>2010</w:t>
            </w:r>
          </w:p>
        </w:tc>
        <w:tc>
          <w:tcPr>
            <w:tcW w:w="150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5"/>
        </w:trPr>
        <w:tc>
          <w:tcPr>
            <w:tcW w:w="5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Service revenues</w:t>
            </w:r>
          </w:p>
        </w:tc>
        <w:tc>
          <w:tcPr>
            <w:tcW w:w="480" w:type="dxa"/>
            <w:vAlign w:val="bottom"/>
          </w:tcPr>
          <w:p>
            <w:pPr>
              <w:spacing w:after="0"/>
              <w:rPr>
                <w:sz w:val="16"/>
                <w:szCs w:val="16"/>
                <w:color w:val="auto"/>
              </w:rPr>
            </w:pPr>
          </w:p>
        </w:tc>
        <w:tc>
          <w:tcPr>
            <w:tcW w:w="1060" w:type="dxa"/>
            <w:vAlign w:val="bottom"/>
            <w:tcBorders>
              <w:top w:val="single" w:sz="8" w:color="auto"/>
            </w:tcBorders>
          </w:tcPr>
          <w:p>
            <w:pPr>
              <w:jc w:val="right"/>
              <w:ind w:right="282"/>
              <w:spacing w:after="0" w:line="195" w:lineRule="exact"/>
              <w:rPr>
                <w:sz w:val="20"/>
                <w:szCs w:val="20"/>
                <w:color w:val="auto"/>
              </w:rPr>
            </w:pPr>
            <w:r>
              <w:rPr>
                <w:rFonts w:ascii="Arial" w:cs="Arial" w:eastAsia="Arial" w:hAnsi="Arial"/>
                <w:sz w:val="18"/>
                <w:szCs w:val="18"/>
                <w:color w:val="auto"/>
              </w:rPr>
              <w:t>$69.5</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$19.2</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65"/>
              <w:spacing w:after="0" w:line="195" w:lineRule="exact"/>
              <w:rPr>
                <w:sz w:val="20"/>
                <w:szCs w:val="20"/>
                <w:color w:val="auto"/>
              </w:rPr>
            </w:pPr>
            <w:r>
              <w:rPr>
                <w:rFonts w:ascii="Arial" w:cs="Arial" w:eastAsia="Arial" w:hAnsi="Arial"/>
                <w:sz w:val="18"/>
                <w:szCs w:val="18"/>
                <w:color w:val="auto"/>
              </w:rPr>
              <w:t>$50.3</w:t>
            </w:r>
          </w:p>
        </w:tc>
        <w:tc>
          <w:tcPr>
            <w:tcW w:w="500" w:type="dxa"/>
            <w:vAlign w:val="bottom"/>
          </w:tcPr>
          <w:p>
            <w:pPr>
              <w:spacing w:after="0"/>
              <w:rPr>
                <w:sz w:val="16"/>
                <w:szCs w:val="16"/>
                <w:color w:val="auto"/>
              </w:rPr>
            </w:pPr>
          </w:p>
        </w:tc>
        <w:tc>
          <w:tcPr>
            <w:tcW w:w="108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Percentage of total revenues</w:t>
            </w:r>
          </w:p>
        </w:tc>
        <w:tc>
          <w:tcPr>
            <w:tcW w:w="1060" w:type="dxa"/>
            <w:vAlign w:val="bottom"/>
          </w:tcPr>
          <w:p>
            <w:pPr>
              <w:jc w:val="right"/>
              <w:ind w:right="142"/>
              <w:spacing w:after="0"/>
              <w:rPr>
                <w:sz w:val="20"/>
                <w:szCs w:val="20"/>
                <w:color w:val="auto"/>
              </w:rPr>
            </w:pPr>
            <w:r>
              <w:rPr>
                <w:rFonts w:ascii="Arial" w:cs="Arial" w:eastAsia="Arial" w:hAnsi="Arial"/>
                <w:sz w:val="18"/>
                <w:szCs w:val="18"/>
                <w:color w:val="auto"/>
              </w:rPr>
              <w:t>35.5%</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12.3%</w:t>
            </w: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During the third quarter of fiscal year 2011 compared to the third quarter of fiscal year 2010, our service revenues increased from $19.2 million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$69.5 million primarily due to our acquisition of WildBlue in December 2009, which contributed a $45.1 million increase in service revenues during the third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quarter of fiscal year 2011 compared to the same period last fiscal year. The remainder of the service revenue increase was driven by higher sales spread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across various other commercial and defense services.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40" w:type="dxa"/>
            <w:vAlign w:val="bottom"/>
            <w:tcBorders>
              <w:bottom w:val="single" w:sz="8" w:color="auto"/>
            </w:tcBorders>
            <w:gridSpan w:val="3"/>
          </w:tcPr>
          <w:p>
            <w:pPr>
              <w:jc w:val="right"/>
              <w:ind w:right="542"/>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40" w:type="dxa"/>
            <w:vAlign w:val="bottom"/>
          </w:tcPr>
          <w:p>
            <w:pPr>
              <w:jc w:val="right"/>
              <w:ind w:right="22"/>
              <w:spacing w:after="0" w:line="119" w:lineRule="exact"/>
              <w:rPr>
                <w:sz w:val="20"/>
                <w:szCs w:val="20"/>
                <w:color w:val="auto"/>
              </w:rPr>
            </w:pPr>
            <w:r>
              <w:rPr>
                <w:rFonts w:ascii="Arial" w:cs="Arial" w:eastAsia="Arial" w:hAnsi="Arial"/>
                <w:sz w:val="13"/>
                <w:szCs w:val="13"/>
                <w:b w:val="1"/>
                <w:bCs w:val="1"/>
                <w:color w:val="auto"/>
              </w:rPr>
              <w:t>December 31,</w:t>
            </w:r>
          </w:p>
        </w:tc>
        <w:tc>
          <w:tcPr>
            <w:tcW w:w="500" w:type="dxa"/>
            <w:vAlign w:val="bottom"/>
          </w:tcPr>
          <w:p>
            <w:pPr>
              <w:spacing w:after="0"/>
              <w:rPr>
                <w:sz w:val="10"/>
                <w:szCs w:val="10"/>
                <w:color w:val="auto"/>
              </w:rPr>
            </w:pPr>
          </w:p>
        </w:tc>
        <w:tc>
          <w:tcPr>
            <w:tcW w:w="1000" w:type="dxa"/>
            <w:vAlign w:val="bottom"/>
          </w:tcPr>
          <w:p>
            <w:pPr>
              <w:jc w:val="right"/>
              <w:ind w:right="82"/>
              <w:spacing w:after="0" w:line="119" w:lineRule="exact"/>
              <w:rPr>
                <w:sz w:val="20"/>
                <w:szCs w:val="20"/>
                <w:color w:val="auto"/>
              </w:rPr>
            </w:pPr>
            <w:r>
              <w:rPr>
                <w:rFonts w:ascii="Arial" w:cs="Arial" w:eastAsia="Arial" w:hAnsi="Arial"/>
                <w:sz w:val="13"/>
                <w:szCs w:val="13"/>
                <w:b w:val="1"/>
                <w:bCs w:val="1"/>
                <w:color w:val="auto"/>
              </w:rPr>
              <w:t>January 1,</w:t>
            </w:r>
          </w:p>
        </w:tc>
        <w:tc>
          <w:tcPr>
            <w:tcW w:w="52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0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900" w:type="dxa"/>
            <w:vAlign w:val="bottom"/>
            <w:gridSpan w:val="2"/>
            <w:vMerge w:val="continue"/>
          </w:tcPr>
          <w:p>
            <w:pPr>
              <w:spacing w:after="0"/>
              <w:rPr>
                <w:sz w:val="14"/>
                <w:szCs w:val="14"/>
                <w:color w:val="auto"/>
              </w:rPr>
            </w:pPr>
          </w:p>
        </w:tc>
        <w:tc>
          <w:tcPr>
            <w:tcW w:w="1040" w:type="dxa"/>
            <w:vAlign w:val="bottom"/>
          </w:tcPr>
          <w:p>
            <w:pPr>
              <w:jc w:val="right"/>
              <w:ind w:right="302"/>
              <w:spacing w:after="0"/>
              <w:rPr>
                <w:sz w:val="20"/>
                <w:szCs w:val="20"/>
                <w:color w:val="auto"/>
              </w:rPr>
            </w:pPr>
            <w:r>
              <w:rPr>
                <w:rFonts w:ascii="Arial" w:cs="Arial" w:eastAsia="Arial" w:hAnsi="Arial"/>
                <w:sz w:val="14"/>
                <w:szCs w:val="14"/>
                <w:b w:val="1"/>
                <w:bCs w:val="1"/>
                <w:color w:val="auto"/>
              </w:rPr>
              <w:t>2010</w:t>
            </w:r>
          </w:p>
        </w:tc>
        <w:tc>
          <w:tcPr>
            <w:tcW w:w="150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2010</w:t>
            </w:r>
          </w:p>
        </w:tc>
        <w:tc>
          <w:tcPr>
            <w:tcW w:w="5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5"/>
        </w:trPr>
        <w:tc>
          <w:tcPr>
            <w:tcW w:w="5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Cost of product revenues</w:t>
            </w:r>
          </w:p>
        </w:tc>
        <w:tc>
          <w:tcPr>
            <w:tcW w:w="500" w:type="dxa"/>
            <w:vAlign w:val="bottom"/>
          </w:tcPr>
          <w:p>
            <w:pPr>
              <w:spacing w:after="0"/>
              <w:rPr>
                <w:sz w:val="16"/>
                <w:szCs w:val="16"/>
                <w:color w:val="auto"/>
              </w:rPr>
            </w:pPr>
          </w:p>
        </w:tc>
        <w:tc>
          <w:tcPr>
            <w:tcW w:w="1040" w:type="dxa"/>
            <w:vAlign w:val="bottom"/>
            <w:tcBorders>
              <w:top w:val="single" w:sz="8" w:color="auto"/>
            </w:tcBorders>
          </w:tcPr>
          <w:p>
            <w:pPr>
              <w:jc w:val="right"/>
              <w:ind w:right="282"/>
              <w:spacing w:after="0" w:line="195" w:lineRule="exact"/>
              <w:rPr>
                <w:sz w:val="20"/>
                <w:szCs w:val="20"/>
                <w:color w:val="auto"/>
              </w:rPr>
            </w:pPr>
            <w:r>
              <w:rPr>
                <w:rFonts w:ascii="Arial" w:cs="Arial" w:eastAsia="Arial" w:hAnsi="Arial"/>
                <w:sz w:val="18"/>
                <w:szCs w:val="18"/>
                <w:color w:val="auto"/>
              </w:rPr>
              <w:t>$95.0</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$98.7</w:t>
            </w:r>
          </w:p>
        </w:tc>
        <w:tc>
          <w:tcPr>
            <w:tcW w:w="520" w:type="dxa"/>
            <w:vAlign w:val="bottom"/>
          </w:tcPr>
          <w:p>
            <w:pPr>
              <w:spacing w:after="0"/>
              <w:rPr>
                <w:sz w:val="16"/>
                <w:szCs w:val="16"/>
                <w:color w:val="auto"/>
              </w:rPr>
            </w:pPr>
          </w:p>
        </w:tc>
        <w:tc>
          <w:tcPr>
            <w:tcW w:w="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$(3.7)</w:t>
            </w:r>
          </w:p>
        </w:tc>
        <w:tc>
          <w:tcPr>
            <w:tcW w:w="500" w:type="dxa"/>
            <w:vAlign w:val="bottom"/>
          </w:tcPr>
          <w:p>
            <w:pPr>
              <w:spacing w:after="0"/>
              <w:rPr>
                <w:sz w:val="16"/>
                <w:szCs w:val="16"/>
                <w:color w:val="auto"/>
              </w:rPr>
            </w:pPr>
          </w:p>
        </w:tc>
        <w:tc>
          <w:tcPr>
            <w:tcW w:w="980" w:type="dxa"/>
            <w:vAlign w:val="bottom"/>
            <w:tcBorders>
              <w:top w:val="single" w:sz="8" w:color="auto"/>
            </w:tcBorders>
          </w:tcPr>
          <w:p>
            <w:pPr>
              <w:jc w:val="right"/>
              <w:ind w:right="45"/>
              <w:spacing w:after="0" w:line="195"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5900" w:type="dxa"/>
            <w:vAlign w:val="bottom"/>
            <w:gridSpan w:val="2"/>
          </w:tcPr>
          <w:p>
            <w:pPr>
              <w:spacing w:after="0"/>
              <w:rPr>
                <w:sz w:val="20"/>
                <w:szCs w:val="20"/>
                <w:color w:val="auto"/>
              </w:rPr>
            </w:pPr>
            <w:r>
              <w:rPr>
                <w:rFonts w:ascii="Arial" w:cs="Arial" w:eastAsia="Arial" w:hAnsi="Arial"/>
                <w:sz w:val="18"/>
                <w:szCs w:val="18"/>
                <w:color w:val="auto"/>
              </w:rPr>
              <w:t>Percentage of product revenues</w:t>
            </w:r>
          </w:p>
        </w:tc>
        <w:tc>
          <w:tcPr>
            <w:tcW w:w="1040" w:type="dxa"/>
            <w:vAlign w:val="bottom"/>
          </w:tcPr>
          <w:p>
            <w:pPr>
              <w:jc w:val="right"/>
              <w:ind w:right="122"/>
              <w:spacing w:after="0"/>
              <w:rPr>
                <w:sz w:val="20"/>
                <w:szCs w:val="20"/>
                <w:color w:val="auto"/>
              </w:rPr>
            </w:pPr>
            <w:r>
              <w:rPr>
                <w:rFonts w:ascii="Arial" w:cs="Arial" w:eastAsia="Arial" w:hAnsi="Arial"/>
                <w:sz w:val="18"/>
                <w:szCs w:val="18"/>
                <w:color w:val="auto"/>
              </w:rPr>
              <w:t>75.1%</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72.0%</w:t>
            </w: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Cost of product revenues decreased approximately $3.7 million from $98.7 million to $95.0 million during the third quarter of fiscal year 2011 compared to the third quarter of the prior fiscal year, primarily due to decreased product revenues, which caused a $7.7 million decrease in cost of product revenues (on a constant margin basis). These decreases were offset by approximately $4.0 million in cost of product revenue growth across various lower margin government satellite communication systems development programs. Cost of product revenues may fluctuate in future periods depending on the mix of products sold, competition, new product introduction costs and other factors.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service 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60" w:type="dxa"/>
            <w:vAlign w:val="bottom"/>
            <w:tcBorders>
              <w:bottom w:val="single" w:sz="8" w:color="auto"/>
            </w:tcBorders>
            <w:gridSpan w:val="3"/>
          </w:tcPr>
          <w:p>
            <w:pPr>
              <w:jc w:val="right"/>
              <w:ind w:right="54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60" w:type="dxa"/>
            <w:vAlign w:val="bottom"/>
          </w:tcPr>
          <w:p>
            <w:pPr>
              <w:jc w:val="right"/>
              <w:ind w:right="22"/>
              <w:spacing w:after="0" w:line="119" w:lineRule="exact"/>
              <w:rPr>
                <w:sz w:val="20"/>
                <w:szCs w:val="20"/>
                <w:color w:val="auto"/>
              </w:rPr>
            </w:pPr>
            <w:r>
              <w:rPr>
                <w:rFonts w:ascii="Arial" w:cs="Arial" w:eastAsia="Arial" w:hAnsi="Arial"/>
                <w:sz w:val="13"/>
                <w:szCs w:val="13"/>
                <w:b w:val="1"/>
                <w:bCs w:val="1"/>
                <w:color w:val="auto"/>
              </w:rPr>
              <w:t>December 31,</w:t>
            </w:r>
          </w:p>
        </w:tc>
        <w:tc>
          <w:tcPr>
            <w:tcW w:w="500" w:type="dxa"/>
            <w:vAlign w:val="bottom"/>
          </w:tcPr>
          <w:p>
            <w:pPr>
              <w:spacing w:after="0"/>
              <w:rPr>
                <w:sz w:val="10"/>
                <w:szCs w:val="10"/>
                <w:color w:val="auto"/>
              </w:rPr>
            </w:pP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January 1,</w:t>
            </w:r>
          </w:p>
        </w:tc>
        <w:tc>
          <w:tcPr>
            <w:tcW w:w="50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0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780" w:type="dxa"/>
            <w:vAlign w:val="bottom"/>
            <w:gridSpan w:val="2"/>
            <w:vMerge w:val="continue"/>
          </w:tcPr>
          <w:p>
            <w:pPr>
              <w:spacing w:after="0"/>
              <w:rPr>
                <w:sz w:val="14"/>
                <w:szCs w:val="14"/>
                <w:color w:val="auto"/>
              </w:rPr>
            </w:pPr>
          </w:p>
        </w:tc>
        <w:tc>
          <w:tcPr>
            <w:tcW w:w="1060" w:type="dxa"/>
            <w:vAlign w:val="bottom"/>
          </w:tcPr>
          <w:p>
            <w:pPr>
              <w:jc w:val="right"/>
              <w:ind w:right="302"/>
              <w:spacing w:after="0"/>
              <w:rPr>
                <w:sz w:val="20"/>
                <w:szCs w:val="20"/>
                <w:color w:val="auto"/>
              </w:rPr>
            </w:pPr>
            <w:r>
              <w:rPr>
                <w:rFonts w:ascii="Arial" w:cs="Arial" w:eastAsia="Arial" w:hAnsi="Arial"/>
                <w:sz w:val="14"/>
                <w:szCs w:val="14"/>
                <w:b w:val="1"/>
                <w:bCs w:val="1"/>
                <w:color w:val="auto"/>
              </w:rPr>
              <w:t>2010</w:t>
            </w:r>
          </w:p>
        </w:tc>
        <w:tc>
          <w:tcPr>
            <w:tcW w:w="150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5"/>
        </w:trPr>
        <w:tc>
          <w:tcPr>
            <w:tcW w:w="5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Cost of service revenues</w:t>
            </w:r>
          </w:p>
        </w:tc>
        <w:tc>
          <w:tcPr>
            <w:tcW w:w="480" w:type="dxa"/>
            <w:vAlign w:val="bottom"/>
          </w:tcPr>
          <w:p>
            <w:pPr>
              <w:spacing w:after="0"/>
              <w:rPr>
                <w:sz w:val="16"/>
                <w:szCs w:val="16"/>
                <w:color w:val="auto"/>
              </w:rPr>
            </w:pPr>
          </w:p>
        </w:tc>
        <w:tc>
          <w:tcPr>
            <w:tcW w:w="1060" w:type="dxa"/>
            <w:vAlign w:val="bottom"/>
            <w:tcBorders>
              <w:top w:val="single" w:sz="8" w:color="auto"/>
            </w:tcBorders>
          </w:tcPr>
          <w:p>
            <w:pPr>
              <w:jc w:val="right"/>
              <w:ind w:right="282"/>
              <w:spacing w:after="0" w:line="195" w:lineRule="exact"/>
              <w:rPr>
                <w:sz w:val="20"/>
                <w:szCs w:val="20"/>
                <w:color w:val="auto"/>
              </w:rPr>
            </w:pPr>
            <w:r>
              <w:rPr>
                <w:rFonts w:ascii="Arial" w:cs="Arial" w:eastAsia="Arial" w:hAnsi="Arial"/>
                <w:sz w:val="18"/>
                <w:szCs w:val="18"/>
                <w:color w:val="auto"/>
              </w:rPr>
              <w:t>$41.9</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$11.6</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65"/>
              <w:spacing w:after="0" w:line="195" w:lineRule="exact"/>
              <w:rPr>
                <w:sz w:val="20"/>
                <w:szCs w:val="20"/>
                <w:color w:val="auto"/>
              </w:rPr>
            </w:pPr>
            <w:r>
              <w:rPr>
                <w:rFonts w:ascii="Arial" w:cs="Arial" w:eastAsia="Arial" w:hAnsi="Arial"/>
                <w:sz w:val="18"/>
                <w:szCs w:val="18"/>
                <w:color w:val="auto"/>
              </w:rPr>
              <w:t>$30.3</w:t>
            </w:r>
          </w:p>
        </w:tc>
        <w:tc>
          <w:tcPr>
            <w:tcW w:w="500" w:type="dxa"/>
            <w:vAlign w:val="bottom"/>
          </w:tcPr>
          <w:p>
            <w:pPr>
              <w:spacing w:after="0"/>
              <w:rPr>
                <w:sz w:val="16"/>
                <w:szCs w:val="16"/>
                <w:color w:val="auto"/>
              </w:rPr>
            </w:pPr>
          </w:p>
        </w:tc>
        <w:tc>
          <w:tcPr>
            <w:tcW w:w="108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261.0%</w:t>
            </w: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Percentage of service revenues</w:t>
            </w:r>
          </w:p>
        </w:tc>
        <w:tc>
          <w:tcPr>
            <w:tcW w:w="1060" w:type="dxa"/>
            <w:vAlign w:val="bottom"/>
          </w:tcPr>
          <w:p>
            <w:pPr>
              <w:jc w:val="right"/>
              <w:ind w:right="142"/>
              <w:spacing w:after="0"/>
              <w:rPr>
                <w:sz w:val="20"/>
                <w:szCs w:val="20"/>
                <w:color w:val="auto"/>
              </w:rPr>
            </w:pPr>
            <w:r>
              <w:rPr>
                <w:rFonts w:ascii="Arial" w:cs="Arial" w:eastAsia="Arial" w:hAnsi="Arial"/>
                <w:sz w:val="18"/>
                <w:szCs w:val="18"/>
                <w:color w:val="auto"/>
              </w:rPr>
              <w:t>60.3%</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60.4%</w:t>
            </w: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Cost of service revenues increased from $11.6 million to $41.9 million during the third quarter of fiscal year 2011 compared to the third quarter of fiscal year 2010. Cost of service revenues increased primarily as a result of our acquisition of WildBlue in December 2009 and growth in service revenue from various government satellite communication systems and mobile broadband service contracts. Margins on service revenue remained relatively flat during the third quarter of fiscal year 2011 compared to the same period last fiscal year. Cost of service revenues may fluctuate in future periods depending on the mix of services provided, competition, new service introduction costs and other factors.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60" w:type="dxa"/>
            <w:vAlign w:val="bottom"/>
            <w:tcBorders>
              <w:bottom w:val="single" w:sz="8" w:color="auto"/>
            </w:tcBorders>
            <w:gridSpan w:val="3"/>
          </w:tcPr>
          <w:p>
            <w:pPr>
              <w:jc w:val="right"/>
              <w:ind w:right="542"/>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60" w:type="dxa"/>
            <w:vAlign w:val="bottom"/>
          </w:tcPr>
          <w:p>
            <w:pPr>
              <w:jc w:val="right"/>
              <w:ind w:right="42"/>
              <w:spacing w:after="0" w:line="119" w:lineRule="exact"/>
              <w:rPr>
                <w:sz w:val="20"/>
                <w:szCs w:val="20"/>
                <w:color w:val="auto"/>
              </w:rPr>
            </w:pPr>
            <w:r>
              <w:rPr>
                <w:rFonts w:ascii="Arial" w:cs="Arial" w:eastAsia="Arial" w:hAnsi="Arial"/>
                <w:sz w:val="13"/>
                <w:szCs w:val="13"/>
                <w:b w:val="1"/>
                <w:bCs w:val="1"/>
                <w:color w:val="auto"/>
              </w:rPr>
              <w:t>December 31,</w:t>
            </w:r>
          </w:p>
        </w:tc>
        <w:tc>
          <w:tcPr>
            <w:tcW w:w="500" w:type="dxa"/>
            <w:vAlign w:val="bottom"/>
          </w:tcPr>
          <w:p>
            <w:pPr>
              <w:spacing w:after="0"/>
              <w:rPr>
                <w:sz w:val="10"/>
                <w:szCs w:val="10"/>
                <w:color w:val="auto"/>
              </w:rPr>
            </w:pPr>
          </w:p>
        </w:tc>
        <w:tc>
          <w:tcPr>
            <w:tcW w:w="1000" w:type="dxa"/>
            <w:vAlign w:val="bottom"/>
          </w:tcPr>
          <w:p>
            <w:pPr>
              <w:jc w:val="right"/>
              <w:ind w:right="82"/>
              <w:spacing w:after="0" w:line="119" w:lineRule="exact"/>
              <w:rPr>
                <w:sz w:val="20"/>
                <w:szCs w:val="20"/>
                <w:color w:val="auto"/>
              </w:rPr>
            </w:pPr>
            <w:r>
              <w:rPr>
                <w:rFonts w:ascii="Arial" w:cs="Arial" w:eastAsia="Arial" w:hAnsi="Arial"/>
                <w:sz w:val="13"/>
                <w:szCs w:val="13"/>
                <w:b w:val="1"/>
                <w:bCs w:val="1"/>
                <w:color w:val="auto"/>
              </w:rPr>
              <w:t>January 1,</w:t>
            </w:r>
          </w:p>
        </w:tc>
        <w:tc>
          <w:tcPr>
            <w:tcW w:w="5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2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920" w:type="dxa"/>
            <w:vAlign w:val="bottom"/>
            <w:gridSpan w:val="2"/>
            <w:vMerge w:val="continue"/>
          </w:tcPr>
          <w:p>
            <w:pPr>
              <w:spacing w:after="0"/>
              <w:rPr>
                <w:sz w:val="14"/>
                <w:szCs w:val="14"/>
                <w:color w:val="auto"/>
              </w:rPr>
            </w:pPr>
          </w:p>
        </w:tc>
        <w:tc>
          <w:tcPr>
            <w:tcW w:w="1060" w:type="dxa"/>
            <w:vAlign w:val="bottom"/>
          </w:tcPr>
          <w:p>
            <w:pPr>
              <w:jc w:val="right"/>
              <w:ind w:right="302"/>
              <w:spacing w:after="0"/>
              <w:rPr>
                <w:sz w:val="20"/>
                <w:szCs w:val="20"/>
                <w:color w:val="auto"/>
              </w:rPr>
            </w:pPr>
            <w:r>
              <w:rPr>
                <w:rFonts w:ascii="Arial" w:cs="Arial" w:eastAsia="Arial" w:hAnsi="Arial"/>
                <w:sz w:val="14"/>
                <w:szCs w:val="14"/>
                <w:b w:val="1"/>
                <w:bCs w:val="1"/>
                <w:color w:val="auto"/>
              </w:rPr>
              <w:t>2010</w:t>
            </w:r>
          </w:p>
        </w:tc>
        <w:tc>
          <w:tcPr>
            <w:tcW w:w="150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2010</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5"/>
        </w:trPr>
        <w:tc>
          <w:tcPr>
            <w:tcW w:w="5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Selling, general and administrative</w:t>
            </w:r>
          </w:p>
        </w:tc>
        <w:tc>
          <w:tcPr>
            <w:tcW w:w="500" w:type="dxa"/>
            <w:vAlign w:val="bottom"/>
          </w:tcPr>
          <w:p>
            <w:pPr>
              <w:spacing w:after="0"/>
              <w:rPr>
                <w:sz w:val="16"/>
                <w:szCs w:val="16"/>
                <w:color w:val="auto"/>
              </w:rPr>
            </w:pPr>
          </w:p>
        </w:tc>
        <w:tc>
          <w:tcPr>
            <w:tcW w:w="1060" w:type="dxa"/>
            <w:vAlign w:val="bottom"/>
            <w:tcBorders>
              <w:top w:val="single" w:sz="8" w:color="auto"/>
            </w:tcBorders>
          </w:tcPr>
          <w:p>
            <w:pPr>
              <w:jc w:val="right"/>
              <w:ind w:right="282"/>
              <w:spacing w:after="0" w:line="195" w:lineRule="exact"/>
              <w:rPr>
                <w:sz w:val="20"/>
                <w:szCs w:val="20"/>
                <w:color w:val="auto"/>
              </w:rPr>
            </w:pPr>
            <w:r>
              <w:rPr>
                <w:rFonts w:ascii="Arial" w:cs="Arial" w:eastAsia="Arial" w:hAnsi="Arial"/>
                <w:sz w:val="18"/>
                <w:szCs w:val="18"/>
                <w:color w:val="auto"/>
              </w:rPr>
              <w:t>$40.4</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$34.4</w:t>
            </w:r>
          </w:p>
        </w:tc>
        <w:tc>
          <w:tcPr>
            <w:tcW w:w="520" w:type="dxa"/>
            <w:vAlign w:val="bottom"/>
          </w:tcPr>
          <w:p>
            <w:pPr>
              <w:spacing w:after="0"/>
              <w:rPr>
                <w:sz w:val="16"/>
                <w:szCs w:val="16"/>
                <w:color w:val="auto"/>
              </w:rPr>
            </w:pPr>
          </w:p>
        </w:tc>
        <w:tc>
          <w:tcPr>
            <w:tcW w:w="900" w:type="dxa"/>
            <w:vAlign w:val="bottom"/>
            <w:tcBorders>
              <w:top w:val="single" w:sz="8" w:color="auto"/>
            </w:tcBorders>
          </w:tcPr>
          <w:p>
            <w:pPr>
              <w:jc w:val="right"/>
              <w:ind w:right="265"/>
              <w:spacing w:after="0" w:line="195" w:lineRule="exact"/>
              <w:rPr>
                <w:sz w:val="20"/>
                <w:szCs w:val="20"/>
                <w:color w:val="auto"/>
              </w:rPr>
            </w:pPr>
            <w:r>
              <w:rPr>
                <w:rFonts w:ascii="Arial" w:cs="Arial" w:eastAsia="Arial" w:hAnsi="Arial"/>
                <w:sz w:val="18"/>
                <w:szCs w:val="18"/>
                <w:color w:val="auto"/>
              </w:rPr>
              <w:t>$6.0</w:t>
            </w:r>
          </w:p>
        </w:tc>
        <w:tc>
          <w:tcPr>
            <w:tcW w:w="520" w:type="dxa"/>
            <w:vAlign w:val="bottom"/>
          </w:tcPr>
          <w:p>
            <w:pPr>
              <w:spacing w:after="0"/>
              <w:rPr>
                <w:sz w:val="16"/>
                <w:szCs w:val="16"/>
                <w:color w:val="auto"/>
              </w:rPr>
            </w:pPr>
          </w:p>
        </w:tc>
        <w:tc>
          <w:tcPr>
            <w:tcW w:w="100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Percentage of total revenues</w:t>
            </w:r>
          </w:p>
        </w:tc>
        <w:tc>
          <w:tcPr>
            <w:tcW w:w="1060" w:type="dxa"/>
            <w:vAlign w:val="bottom"/>
          </w:tcPr>
          <w:p>
            <w:pPr>
              <w:jc w:val="right"/>
              <w:ind w:right="142"/>
              <w:spacing w:after="0"/>
              <w:rPr>
                <w:sz w:val="20"/>
                <w:szCs w:val="20"/>
                <w:color w:val="auto"/>
              </w:rPr>
            </w:pPr>
            <w:r>
              <w:rPr>
                <w:rFonts w:ascii="Arial" w:cs="Arial" w:eastAsia="Arial" w:hAnsi="Arial"/>
                <w:sz w:val="18"/>
                <w:szCs w:val="18"/>
                <w:color w:val="auto"/>
              </w:rPr>
              <w:t>20.6%</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22.0%</w:t>
            </w: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80" w:firstLine="222"/>
        <w:spacing w:after="0" w:line="255" w:lineRule="auto"/>
        <w:rPr>
          <w:sz w:val="20"/>
          <w:szCs w:val="20"/>
          <w:color w:val="auto"/>
        </w:rPr>
      </w:pPr>
      <w:r>
        <w:rPr>
          <w:rFonts w:ascii="Arial" w:cs="Arial" w:eastAsia="Arial" w:hAnsi="Arial"/>
          <w:sz w:val="18"/>
          <w:szCs w:val="18"/>
          <w:color w:val="auto"/>
        </w:rPr>
        <w:t>The increase in selling, general and administrative (SG&amp;A) expenses of $6.0 million in the third quarter of fiscal year 2011 compared to the third quarter of fiscal year 2010 was primarily attributable to our acquisition of WildBlue in December 2009 which increased SG&amp;A expenses by $2.3 million primarily due to higher selling and marketing costs. The remaining increase in SG&amp;A expenses was due to increased support costs related to business growth of approximately $2.6 million and new business proposal costs of approximately $1.1 million mainly in our government systems segment. SG&amp;A expenses consisted primarily of personnel costs and expenses for business development, marketing and sales, bid and proposal, facilities, finance, contract administration and general management. Some SG&amp;A expenses are difficult to predict and vary based on specific government, commercial and satellite service sales opportunities.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360" w:type="dxa"/>
            <w:vAlign w:val="bottom"/>
            <w:tcBorders>
              <w:bottom w:val="single" w:sz="8" w:color="auto"/>
            </w:tcBorders>
            <w:gridSpan w:val="3"/>
          </w:tcPr>
          <w:p>
            <w:pPr>
              <w:jc w:val="right"/>
              <w:ind w:right="442"/>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6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9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520" w:type="dxa"/>
            <w:vAlign w:val="bottom"/>
          </w:tcPr>
          <w:p>
            <w:pPr>
              <w:spacing w:after="0"/>
              <w:rPr>
                <w:sz w:val="10"/>
                <w:szCs w:val="10"/>
                <w:color w:val="auto"/>
              </w:rPr>
            </w:pPr>
          </w:p>
        </w:tc>
        <w:tc>
          <w:tcPr>
            <w:tcW w:w="900" w:type="dxa"/>
            <w:vAlign w:val="bottom"/>
          </w:tcPr>
          <w:p>
            <w:pPr>
              <w:jc w:val="right"/>
              <w:ind w:right="42"/>
              <w:spacing w:after="0" w:line="119" w:lineRule="exact"/>
              <w:rPr>
                <w:sz w:val="20"/>
                <w:szCs w:val="20"/>
                <w:color w:val="auto"/>
              </w:rPr>
            </w:pPr>
            <w:r>
              <w:rPr>
                <w:rFonts w:ascii="Arial" w:cs="Arial" w:eastAsia="Arial" w:hAnsi="Arial"/>
                <w:sz w:val="13"/>
                <w:szCs w:val="13"/>
                <w:b w:val="1"/>
                <w:bCs w:val="1"/>
                <w:color w:val="auto"/>
              </w:rPr>
              <w:t>January 1,</w:t>
            </w:r>
          </w:p>
        </w:tc>
        <w:tc>
          <w:tcPr>
            <w:tcW w:w="52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00" w:type="dxa"/>
            <w:vAlign w:val="bottom"/>
          </w:tcPr>
          <w:p>
            <w:pPr>
              <w:spacing w:after="0"/>
              <w:rPr>
                <w:sz w:val="10"/>
                <w:szCs w:val="10"/>
                <w:color w:val="auto"/>
              </w:rPr>
            </w:pP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6000" w:type="dxa"/>
            <w:vAlign w:val="bottom"/>
            <w:gridSpan w:val="2"/>
            <w:vMerge w:val="continue"/>
          </w:tcPr>
          <w:p>
            <w:pPr>
              <w:spacing w:after="0"/>
              <w:rPr>
                <w:sz w:val="14"/>
                <w:szCs w:val="14"/>
                <w:color w:val="auto"/>
              </w:rPr>
            </w:pPr>
          </w:p>
        </w:tc>
        <w:tc>
          <w:tcPr>
            <w:tcW w:w="940" w:type="dxa"/>
            <w:vAlign w:val="bottom"/>
          </w:tcPr>
          <w:p>
            <w:pPr>
              <w:jc w:val="right"/>
              <w:ind w:right="242"/>
              <w:spacing w:after="0"/>
              <w:rPr>
                <w:sz w:val="20"/>
                <w:szCs w:val="20"/>
                <w:color w:val="auto"/>
              </w:rPr>
            </w:pPr>
            <w:r>
              <w:rPr>
                <w:rFonts w:ascii="Arial" w:cs="Arial" w:eastAsia="Arial" w:hAnsi="Arial"/>
                <w:sz w:val="14"/>
                <w:szCs w:val="14"/>
                <w:b w:val="1"/>
                <w:bCs w:val="1"/>
                <w:color w:val="auto"/>
              </w:rPr>
              <w:t>2010</w:t>
            </w:r>
          </w:p>
        </w:tc>
        <w:tc>
          <w:tcPr>
            <w:tcW w:w="142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2010</w:t>
            </w:r>
          </w:p>
        </w:tc>
        <w:tc>
          <w:tcPr>
            <w:tcW w:w="5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5"/>
        </w:trPr>
        <w:tc>
          <w:tcPr>
            <w:tcW w:w="5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Independent research and development</w:t>
            </w:r>
          </w:p>
        </w:tc>
        <w:tc>
          <w:tcPr>
            <w:tcW w:w="520" w:type="dxa"/>
            <w:vAlign w:val="bottom"/>
          </w:tcPr>
          <w:p>
            <w:pPr>
              <w:spacing w:after="0"/>
              <w:rPr>
                <w:sz w:val="16"/>
                <w:szCs w:val="16"/>
                <w:color w:val="auto"/>
              </w:rPr>
            </w:pPr>
          </w:p>
        </w:tc>
        <w:tc>
          <w:tcPr>
            <w:tcW w:w="940" w:type="dxa"/>
            <w:vAlign w:val="bottom"/>
            <w:tcBorders>
              <w:top w:val="single" w:sz="8" w:color="auto"/>
            </w:tcBorders>
          </w:tcPr>
          <w:p>
            <w:pPr>
              <w:jc w:val="right"/>
              <w:ind w:right="282"/>
              <w:spacing w:after="0" w:line="195" w:lineRule="exact"/>
              <w:rPr>
                <w:sz w:val="20"/>
                <w:szCs w:val="20"/>
                <w:color w:val="auto"/>
              </w:rPr>
            </w:pPr>
            <w:r>
              <w:rPr>
                <w:rFonts w:ascii="Arial" w:cs="Arial" w:eastAsia="Arial" w:hAnsi="Arial"/>
                <w:sz w:val="18"/>
                <w:szCs w:val="18"/>
                <w:color w:val="auto"/>
              </w:rPr>
              <w:t>$6.7</w:t>
            </w:r>
          </w:p>
        </w:tc>
        <w:tc>
          <w:tcPr>
            <w:tcW w:w="520" w:type="dxa"/>
            <w:vAlign w:val="bottom"/>
          </w:tcPr>
          <w:p>
            <w:pPr>
              <w:spacing w:after="0"/>
              <w:rPr>
                <w:sz w:val="16"/>
                <w:szCs w:val="16"/>
                <w:color w:val="auto"/>
              </w:rPr>
            </w:pPr>
          </w:p>
        </w:tc>
        <w:tc>
          <w:tcPr>
            <w:tcW w:w="90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$7.9</w:t>
            </w:r>
          </w:p>
        </w:tc>
        <w:tc>
          <w:tcPr>
            <w:tcW w:w="520" w:type="dxa"/>
            <w:vAlign w:val="bottom"/>
          </w:tcPr>
          <w:p>
            <w:pPr>
              <w:spacing w:after="0"/>
              <w:rPr>
                <w:sz w:val="16"/>
                <w:szCs w:val="16"/>
                <w:color w:val="auto"/>
              </w:rPr>
            </w:pPr>
          </w:p>
        </w:tc>
        <w:tc>
          <w:tcPr>
            <w:tcW w:w="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$(1.2)</w:t>
            </w:r>
          </w:p>
        </w:tc>
        <w:tc>
          <w:tcPr>
            <w:tcW w:w="500" w:type="dxa"/>
            <w:vAlign w:val="bottom"/>
          </w:tcPr>
          <w:p>
            <w:pPr>
              <w:spacing w:after="0"/>
              <w:rPr>
                <w:sz w:val="16"/>
                <w:szCs w:val="16"/>
                <w:color w:val="auto"/>
              </w:rPr>
            </w:pPr>
          </w:p>
        </w:tc>
        <w:tc>
          <w:tcPr>
            <w:tcW w:w="1060" w:type="dxa"/>
            <w:vAlign w:val="bottom"/>
            <w:tcBorders>
              <w:top w:val="single" w:sz="8" w:color="auto"/>
            </w:tcBorders>
          </w:tcPr>
          <w:p>
            <w:pPr>
              <w:jc w:val="right"/>
              <w:ind w:right="45"/>
              <w:spacing w:after="0" w:line="195"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0"/>
        </w:trPr>
        <w:tc>
          <w:tcPr>
            <w:tcW w:w="6000" w:type="dxa"/>
            <w:vAlign w:val="bottom"/>
            <w:gridSpan w:val="2"/>
          </w:tcPr>
          <w:p>
            <w:pPr>
              <w:spacing w:after="0"/>
              <w:rPr>
                <w:sz w:val="20"/>
                <w:szCs w:val="20"/>
                <w:color w:val="auto"/>
              </w:rPr>
            </w:pPr>
            <w:r>
              <w:rPr>
                <w:rFonts w:ascii="Arial" w:cs="Arial" w:eastAsia="Arial" w:hAnsi="Arial"/>
                <w:sz w:val="18"/>
                <w:szCs w:val="18"/>
                <w:color w:val="auto"/>
              </w:rPr>
              <w:t>Percentage of total revenues</w:t>
            </w:r>
          </w:p>
        </w:tc>
        <w:tc>
          <w:tcPr>
            <w:tcW w:w="940" w:type="dxa"/>
            <w:vAlign w:val="bottom"/>
          </w:tcPr>
          <w:p>
            <w:pPr>
              <w:jc w:val="right"/>
              <w:ind w:right="122"/>
              <w:spacing w:after="0"/>
              <w:rPr>
                <w:sz w:val="20"/>
                <w:szCs w:val="20"/>
                <w:color w:val="auto"/>
              </w:rPr>
            </w:pPr>
            <w:r>
              <w:rPr>
                <w:rFonts w:ascii="Arial" w:cs="Arial" w:eastAsia="Arial" w:hAnsi="Arial"/>
                <w:sz w:val="18"/>
                <w:szCs w:val="18"/>
                <w:color w:val="auto"/>
              </w:rPr>
              <w:t>3.4%</w:t>
            </w:r>
          </w:p>
        </w:tc>
        <w:tc>
          <w:tcPr>
            <w:tcW w:w="1420" w:type="dxa"/>
            <w:vAlign w:val="bottom"/>
            <w:gridSpan w:val="2"/>
          </w:tcPr>
          <w:p>
            <w:pPr>
              <w:jc w:val="right"/>
              <w:ind w:right="102"/>
              <w:spacing w:after="0"/>
              <w:rPr>
                <w:sz w:val="20"/>
                <w:szCs w:val="20"/>
                <w:color w:val="auto"/>
              </w:rPr>
            </w:pPr>
            <w:r>
              <w:rPr>
                <w:rFonts w:ascii="Arial" w:cs="Arial" w:eastAsia="Arial" w:hAnsi="Arial"/>
                <w:sz w:val="18"/>
                <w:szCs w:val="18"/>
                <w:color w:val="auto"/>
              </w:rPr>
              <w:t>5.0%</w:t>
            </w: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60" w:firstLine="222"/>
        <w:spacing w:after="0" w:line="264" w:lineRule="auto"/>
        <w:rPr>
          <w:sz w:val="20"/>
          <w:szCs w:val="20"/>
          <w:color w:val="auto"/>
        </w:rPr>
      </w:pPr>
      <w:r>
        <w:rPr>
          <w:rFonts w:ascii="Arial" w:cs="Arial" w:eastAsia="Arial" w:hAnsi="Arial"/>
          <w:sz w:val="18"/>
          <w:szCs w:val="18"/>
          <w:color w:val="auto"/>
        </w:rPr>
        <w:t>The decrease in IR&amp;D expenses of approximately $1.2 million in the third quarter of fiscal year 2011 compared to the third quarter of fiscal year 2010 reflected a decrease in our government systems segment as we shifted some of our efforts from internal development projects to customer-funded development projects for next-generation military satellite communications systems products.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117"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ranging from eight months to ten years. The increase in amortization of approximately $3.0 million in the third quarter of fiscal year 2011 compared to the same period last fiscal year was a result of the December 2009 acquisition of WildBlue, contributing an increase of $2.7 million, and the Stonewood acquisition in July 2010, contributing an increase of $0.5 million. These increases were offset by a decrease in amortization as certain acquired technology intangibles in our commercial networks segment became fully amortized over the preceding twelve months. Current and expected amortization expense for acquired intangible assets for each of the following periods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20" w:type="dxa"/>
            <w:vAlign w:val="bottom"/>
          </w:tcPr>
          <w:p>
            <w:pPr>
              <w:spacing w:after="0"/>
              <w:rPr>
                <w:sz w:val="14"/>
                <w:szCs w:val="14"/>
                <w:color w:val="auto"/>
              </w:rPr>
            </w:pPr>
          </w:p>
        </w:tc>
        <w:tc>
          <w:tcPr>
            <w:tcW w:w="1000" w:type="dxa"/>
            <w:vAlign w:val="bottom"/>
            <w:gridSpan w:val="4"/>
          </w:tcPr>
          <w:p>
            <w:pPr>
              <w:ind w:left="4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10420" w:type="dxa"/>
            <w:vAlign w:val="bottom"/>
          </w:tcPr>
          <w:p>
            <w:pPr>
              <w:spacing w:after="0"/>
              <w:rPr>
                <w:sz w:val="12"/>
                <w:szCs w:val="12"/>
                <w:color w:val="auto"/>
              </w:rPr>
            </w:pPr>
          </w:p>
        </w:tc>
        <w:tc>
          <w:tcPr>
            <w:tcW w:w="9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For the nine months ended December 31, 2010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14,627</w:t>
            </w:r>
          </w:p>
        </w:tc>
        <w:tc>
          <w:tcPr>
            <w:tcW w:w="80" w:type="dxa"/>
            <w:vAlign w:val="bottom"/>
            <w:shd w:val="clear" w:color="auto" w:fill="CCEEFF"/>
          </w:tcPr>
          <w:p>
            <w:pPr>
              <w:spacing w:after="0"/>
              <w:rPr>
                <w:sz w:val="18"/>
                <w:szCs w:val="18"/>
                <w:color w:val="auto"/>
              </w:rPr>
            </w:pPr>
          </w:p>
        </w:tc>
      </w:tr>
      <w:tr>
        <w:trPr>
          <w:trHeight w:val="432"/>
        </w:trPr>
        <w:tc>
          <w:tcPr>
            <w:tcW w:w="10420" w:type="dxa"/>
            <w:vAlign w:val="bottom"/>
          </w:tcPr>
          <w:p>
            <w:pPr>
              <w:spacing w:after="0"/>
              <w:rPr>
                <w:sz w:val="20"/>
                <w:szCs w:val="20"/>
                <w:color w:val="auto"/>
              </w:rPr>
            </w:pPr>
            <w:r>
              <w:rPr>
                <w:rFonts w:ascii="Arial" w:cs="Arial" w:eastAsia="Arial" w:hAnsi="Arial"/>
                <w:sz w:val="18"/>
                <w:szCs w:val="18"/>
                <w:color w:val="auto"/>
              </w:rPr>
              <w:t>Expected for the remainder of fiscal year 2011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4,762</w:t>
            </w:r>
          </w:p>
        </w:tc>
        <w:tc>
          <w:tcPr>
            <w:tcW w:w="80" w:type="dxa"/>
            <w:vAlign w:val="bottom"/>
          </w:tcPr>
          <w:p>
            <w:pPr>
              <w:spacing w:after="0"/>
              <w:rPr>
                <w:sz w:val="24"/>
                <w:szCs w:val="24"/>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2012</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18,657</w:t>
            </w:r>
          </w:p>
        </w:tc>
        <w:tc>
          <w:tcPr>
            <w:tcW w:w="80" w:type="dxa"/>
            <w:vAlign w:val="bottom"/>
            <w:shd w:val="clear" w:color="auto" w:fill="CCEEFF"/>
          </w:tcPr>
          <w:p>
            <w:pPr>
              <w:spacing w:after="0"/>
              <w:rPr>
                <w:sz w:val="18"/>
                <w:szCs w:val="18"/>
                <w:color w:val="auto"/>
              </w:rPr>
            </w:pP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Expected for fiscal year 2013</w:t>
            </w:r>
          </w:p>
        </w:tc>
        <w:tc>
          <w:tcPr>
            <w:tcW w:w="2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15,558</w:t>
            </w:r>
          </w:p>
        </w:tc>
        <w:tc>
          <w:tcPr>
            <w:tcW w:w="80" w:type="dxa"/>
            <w:vAlign w:val="bottom"/>
          </w:tcPr>
          <w:p>
            <w:pPr>
              <w:spacing w:after="0"/>
              <w:rPr>
                <w:sz w:val="18"/>
                <w:szCs w:val="18"/>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2014</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13,807</w:t>
            </w:r>
          </w:p>
        </w:tc>
        <w:tc>
          <w:tcPr>
            <w:tcW w:w="80" w:type="dxa"/>
            <w:vAlign w:val="bottom"/>
            <w:shd w:val="clear" w:color="auto" w:fill="CCEEFF"/>
          </w:tcPr>
          <w:p>
            <w:pPr>
              <w:spacing w:after="0"/>
              <w:rPr>
                <w:sz w:val="18"/>
                <w:szCs w:val="18"/>
                <w:color w:val="auto"/>
              </w:rPr>
            </w:pP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Expected for fiscal year 2015</w:t>
            </w:r>
          </w:p>
        </w:tc>
        <w:tc>
          <w:tcPr>
            <w:tcW w:w="2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13,731</w:t>
            </w:r>
          </w:p>
        </w:tc>
        <w:tc>
          <w:tcPr>
            <w:tcW w:w="80" w:type="dxa"/>
            <w:vAlign w:val="bottom"/>
          </w:tcPr>
          <w:p>
            <w:pPr>
              <w:spacing w:after="0"/>
              <w:rPr>
                <w:sz w:val="18"/>
                <w:szCs w:val="18"/>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19,796</w:t>
            </w:r>
          </w:p>
        </w:tc>
        <w:tc>
          <w:tcPr>
            <w:tcW w:w="80" w:type="dxa"/>
            <w:vAlign w:val="bottom"/>
            <w:shd w:val="clear" w:color="auto" w:fill="CCEEFF"/>
          </w:tcPr>
          <w:p>
            <w:pPr>
              <w:spacing w:after="0"/>
              <w:rPr>
                <w:sz w:val="18"/>
                <w:szCs w:val="18"/>
                <w:color w:val="auto"/>
              </w:rPr>
            </w:pPr>
          </w:p>
        </w:tc>
      </w:tr>
      <w:tr>
        <w:trPr>
          <w:trHeight w:val="223"/>
        </w:trPr>
        <w:tc>
          <w:tcPr>
            <w:tcW w:w="10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86,311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jc w:val="both"/>
        <w:ind w:right="160" w:firstLine="225"/>
        <w:spacing w:after="0" w:line="264" w:lineRule="auto"/>
        <w:rPr>
          <w:sz w:val="20"/>
          <w:szCs w:val="20"/>
          <w:color w:val="auto"/>
        </w:rPr>
      </w:pPr>
      <w:r>
        <w:rPr>
          <w:rFonts w:ascii="Arial" w:cs="Arial" w:eastAsia="Arial" w:hAnsi="Arial"/>
          <w:sz w:val="18"/>
          <w:szCs w:val="18"/>
          <w:color w:val="auto"/>
        </w:rPr>
        <w:t>Interest income in the three months ended December 31, 2010 compared to the three months ended January 1, 2010 decreased slightly as we experienced similar average interest rates on our investments and lower average invested cash balances during the third quarter of fiscal year 2011 compared to the same period last fiscal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120" w:firstLine="222"/>
        <w:spacing w:after="0" w:line="257" w:lineRule="auto"/>
        <w:rPr>
          <w:sz w:val="20"/>
          <w:szCs w:val="20"/>
          <w:color w:val="auto"/>
        </w:rPr>
      </w:pPr>
      <w:r>
        <w:rPr>
          <w:rFonts w:ascii="Arial" w:cs="Arial" w:eastAsia="Arial" w:hAnsi="Arial"/>
          <w:sz w:val="18"/>
          <w:szCs w:val="18"/>
          <w:color w:val="auto"/>
        </w:rPr>
        <w:t>The decrease in interest expense from the third quarter of fiscal year 2010 to the third quarter of fiscal year 2011 of $2.1 million was primarily due to higher capitalized interest associated with our ViaSat-1 satellite and other assets under construction. For the three months ended December 31, 2010 and January 1, 2010, we capitalized interest expense of approximately $7.8 million and $3.8 million, respectively. Interest expense incurred during both the three months ended December 31, 2010 and January 1, 2010 related to the Notes, which were issued during the third quarter of fiscal year 2010, and the Credit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right="20" w:firstLine="222"/>
        <w:spacing w:after="0" w:line="270" w:lineRule="auto"/>
        <w:rPr>
          <w:sz w:val="20"/>
          <w:szCs w:val="20"/>
          <w:color w:val="auto"/>
        </w:rPr>
      </w:pPr>
      <w:r>
        <w:rPr>
          <w:rFonts w:ascii="Arial" w:cs="Arial" w:eastAsia="Arial" w:hAnsi="Arial"/>
          <w:sz w:val="17"/>
          <w:szCs w:val="17"/>
          <w:color w:val="auto"/>
        </w:rPr>
        <w:t>The Company currently estimates its annual effective income tax rate to be approximately 7.7% for fiscal year 2011, as compared to the actual 15.0% effective income tax rate in fiscal year 2010. The effective income tax benefit of approximately 84.7% for the third quarter of fiscal year 2011 was lower than the expected annual effective tax rate primarily due to the recording of research and development tax credits allowed for in the third quarter of fiscal year 2011 by the Tax Relief, Unemployment Insurance Reauthorization, and Job Creation Act of 2010, enacted on December 17, 2010, which extended the research and development tax credit from January 1, 2010 to December 31, 2011. In the first two quarters of fiscal year 2011, the Company’s estimated annual effective income tax rate did not include the effect of the extension of the research and development tax credit, which resulted in a catch-up adjustment of approximately $2.8 million in the third quarter of fiscal year 2011. Also as a result of the extension of the research and development tax credit, approximately $1.5 million of research and development tax credit generated in the fourth quarter of fiscal year 2010 was recognized as a discrete tax benefit in the third quarter of fiscal year 2011. In addition, in the third quarter of fiscal year 2011, approximately $2.1 million of previously unrecognized tax benefits were recognized due to the expiration of the statute of limitations for certain previously filed tax returns.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Three Months Ended December 31, 2010 vs. Three Months Ended January 1, 2010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80" w:type="dxa"/>
            <w:vAlign w:val="bottom"/>
            <w:tcBorders>
              <w:bottom w:val="single" w:sz="8" w:color="auto"/>
            </w:tcBorders>
            <w:gridSpan w:val="3"/>
          </w:tcPr>
          <w:p>
            <w:pPr>
              <w:jc w:val="right"/>
              <w:ind w:right="56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6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60" w:type="dxa"/>
            <w:vAlign w:val="bottom"/>
          </w:tcPr>
          <w:p>
            <w:pPr>
              <w:jc w:val="right"/>
              <w:ind w:right="25"/>
              <w:spacing w:after="0" w:line="119" w:lineRule="exact"/>
              <w:rPr>
                <w:sz w:val="20"/>
                <w:szCs w:val="20"/>
                <w:color w:val="auto"/>
              </w:rPr>
            </w:pPr>
            <w:r>
              <w:rPr>
                <w:rFonts w:ascii="Arial" w:cs="Arial" w:eastAsia="Arial" w:hAnsi="Arial"/>
                <w:sz w:val="13"/>
                <w:szCs w:val="13"/>
                <w:b w:val="1"/>
                <w:bCs w:val="1"/>
                <w:color w:val="auto"/>
              </w:rPr>
              <w:t>December 31,</w:t>
            </w:r>
          </w:p>
        </w:tc>
        <w:tc>
          <w:tcPr>
            <w:tcW w:w="520" w:type="dxa"/>
            <w:vAlign w:val="bottom"/>
          </w:tcPr>
          <w:p>
            <w:pPr>
              <w:spacing w:after="0"/>
              <w:rPr>
                <w:sz w:val="10"/>
                <w:szCs w:val="10"/>
                <w:color w:val="auto"/>
              </w:rPr>
            </w:pP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January 1,</w:t>
            </w:r>
          </w:p>
        </w:tc>
        <w:tc>
          <w:tcPr>
            <w:tcW w:w="50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4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6000" w:type="dxa"/>
            <w:vAlign w:val="bottom"/>
            <w:gridSpan w:val="2"/>
            <w:vMerge w:val="continue"/>
          </w:tcPr>
          <w:p>
            <w:pPr>
              <w:spacing w:after="0"/>
              <w:rPr>
                <w:sz w:val="14"/>
                <w:szCs w:val="14"/>
                <w:color w:val="auto"/>
              </w:rPr>
            </w:pPr>
          </w:p>
        </w:tc>
        <w:tc>
          <w:tcPr>
            <w:tcW w:w="1060" w:type="dxa"/>
            <w:vAlign w:val="bottom"/>
          </w:tcPr>
          <w:p>
            <w:pPr>
              <w:jc w:val="right"/>
              <w:ind w:right="305"/>
              <w:spacing w:after="0"/>
              <w:rPr>
                <w:sz w:val="20"/>
                <w:szCs w:val="20"/>
                <w:color w:val="auto"/>
              </w:rPr>
            </w:pPr>
            <w:r>
              <w:rPr>
                <w:rFonts w:ascii="Arial" w:cs="Arial" w:eastAsia="Arial" w:hAnsi="Arial"/>
                <w:sz w:val="14"/>
                <w:szCs w:val="14"/>
                <w:b w:val="1"/>
                <w:bCs w:val="1"/>
                <w:color w:val="auto"/>
              </w:rPr>
              <w:t>2010</w:t>
            </w:r>
          </w:p>
        </w:tc>
        <w:tc>
          <w:tcPr>
            <w:tcW w:w="152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4"/>
        </w:trPr>
        <w:tc>
          <w:tcPr>
            <w:tcW w:w="5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Revenues</w:t>
            </w:r>
          </w:p>
        </w:tc>
        <w:tc>
          <w:tcPr>
            <w:tcW w:w="500" w:type="dxa"/>
            <w:vAlign w:val="bottom"/>
          </w:tcPr>
          <w:p>
            <w:pPr>
              <w:spacing w:after="0"/>
              <w:rPr>
                <w:sz w:val="19"/>
                <w:szCs w:val="19"/>
                <w:color w:val="auto"/>
              </w:rPr>
            </w:pPr>
          </w:p>
        </w:tc>
        <w:tc>
          <w:tcPr>
            <w:tcW w:w="1060" w:type="dxa"/>
            <w:vAlign w:val="bottom"/>
            <w:tcBorders>
              <w:top w:val="single" w:sz="8" w:color="auto"/>
            </w:tcBorders>
          </w:tcPr>
          <w:p>
            <w:pPr>
              <w:jc w:val="right"/>
              <w:ind w:right="285"/>
              <w:spacing w:after="0"/>
              <w:rPr>
                <w:sz w:val="20"/>
                <w:szCs w:val="20"/>
                <w:color w:val="auto"/>
              </w:rPr>
            </w:pPr>
            <w:r>
              <w:rPr>
                <w:rFonts w:ascii="Arial" w:cs="Arial" w:eastAsia="Arial" w:hAnsi="Arial"/>
                <w:sz w:val="18"/>
                <w:szCs w:val="18"/>
                <w:color w:val="auto"/>
              </w:rPr>
              <w:t>$97.6</w:t>
            </w:r>
          </w:p>
        </w:tc>
        <w:tc>
          <w:tcPr>
            <w:tcW w:w="520" w:type="dxa"/>
            <w:vAlign w:val="bottom"/>
          </w:tcPr>
          <w:p>
            <w:pPr>
              <w:spacing w:after="0"/>
              <w:rPr>
                <w:sz w:val="19"/>
                <w:szCs w:val="19"/>
                <w:color w:val="auto"/>
              </w:rPr>
            </w:pPr>
          </w:p>
        </w:tc>
        <w:tc>
          <w:tcPr>
            <w:tcW w:w="1000" w:type="dxa"/>
            <w:vAlign w:val="bottom"/>
            <w:tcBorders>
              <w:top w:val="single" w:sz="8" w:color="auto"/>
            </w:tcBorders>
          </w:tcPr>
          <w:p>
            <w:pPr>
              <w:jc w:val="right"/>
              <w:ind w:right="262"/>
              <w:spacing w:after="0"/>
              <w:rPr>
                <w:sz w:val="20"/>
                <w:szCs w:val="20"/>
                <w:color w:val="auto"/>
              </w:rPr>
            </w:pPr>
            <w:r>
              <w:rPr>
                <w:rFonts w:ascii="Arial" w:cs="Arial" w:eastAsia="Arial" w:hAnsi="Arial"/>
                <w:sz w:val="18"/>
                <w:szCs w:val="18"/>
                <w:color w:val="auto"/>
              </w:rPr>
              <w:t>$89.1</w:t>
            </w:r>
          </w:p>
        </w:tc>
        <w:tc>
          <w:tcPr>
            <w:tcW w:w="500" w:type="dxa"/>
            <w:vAlign w:val="bottom"/>
          </w:tcPr>
          <w:p>
            <w:pPr>
              <w:spacing w:after="0"/>
              <w:rPr>
                <w:sz w:val="19"/>
                <w:szCs w:val="19"/>
                <w:color w:val="auto"/>
              </w:rPr>
            </w:pPr>
          </w:p>
        </w:tc>
        <w:tc>
          <w:tcPr>
            <w:tcW w:w="900" w:type="dxa"/>
            <w:vAlign w:val="bottom"/>
            <w:tcBorders>
              <w:top w:val="single" w:sz="8" w:color="auto"/>
            </w:tcBorders>
          </w:tcPr>
          <w:p>
            <w:pPr>
              <w:jc w:val="right"/>
              <w:ind w:right="245"/>
              <w:spacing w:after="0"/>
              <w:rPr>
                <w:sz w:val="20"/>
                <w:szCs w:val="20"/>
                <w:color w:val="auto"/>
              </w:rPr>
            </w:pPr>
            <w:r>
              <w:rPr>
                <w:rFonts w:ascii="Arial" w:cs="Arial" w:eastAsia="Arial" w:hAnsi="Arial"/>
                <w:sz w:val="18"/>
                <w:szCs w:val="18"/>
                <w:color w:val="auto"/>
              </w:rPr>
              <w:t>$8.5</w:t>
            </w:r>
          </w:p>
        </w:tc>
        <w:tc>
          <w:tcPr>
            <w:tcW w:w="540" w:type="dxa"/>
            <w:vAlign w:val="bottom"/>
          </w:tcPr>
          <w:p>
            <w:pPr>
              <w:spacing w:after="0"/>
              <w:rPr>
                <w:sz w:val="19"/>
                <w:szCs w:val="19"/>
                <w:color w:val="auto"/>
              </w:rPr>
            </w:pPr>
          </w:p>
        </w:tc>
        <w:tc>
          <w:tcPr>
            <w:tcW w:w="900" w:type="dxa"/>
            <w:vAlign w:val="bottom"/>
            <w:tcBorders>
              <w:top w:val="single" w:sz="8" w:color="auto"/>
            </w:tcBorders>
          </w:tcPr>
          <w:p>
            <w:pPr>
              <w:jc w:val="right"/>
              <w:ind w:right="105"/>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The revenue in our government systems segment increased approximately $8.5 million in the third quarter of fiscal year 2011 compared to the same period last fiscal year, primarily due to higher revenues of $8.9 million in government satellite communication systems and $1.4 million from our majority-owned subsidiary, TrellisWare Technologies, Inc. (TrellisWare). These increases were offset by a $2.2 million revenue decrease in tactical data link products and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60" w:type="dxa"/>
            <w:vAlign w:val="bottom"/>
            <w:tcBorders>
              <w:bottom w:val="single" w:sz="8" w:color="auto"/>
            </w:tcBorders>
            <w:gridSpan w:val="3"/>
          </w:tcPr>
          <w:p>
            <w:pPr>
              <w:jc w:val="right"/>
              <w:ind w:right="482"/>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9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500" w:type="dxa"/>
            <w:vAlign w:val="bottom"/>
          </w:tcPr>
          <w:p>
            <w:pPr>
              <w:spacing w:after="0"/>
              <w:rPr>
                <w:sz w:val="10"/>
                <w:szCs w:val="10"/>
                <w:color w:val="auto"/>
              </w:rPr>
            </w:pPr>
          </w:p>
        </w:tc>
        <w:tc>
          <w:tcPr>
            <w:tcW w:w="1000" w:type="dxa"/>
            <w:vAlign w:val="bottom"/>
          </w:tcPr>
          <w:p>
            <w:pPr>
              <w:jc w:val="right"/>
              <w:ind w:right="82"/>
              <w:spacing w:after="0" w:line="119" w:lineRule="exact"/>
              <w:rPr>
                <w:sz w:val="20"/>
                <w:szCs w:val="20"/>
                <w:color w:val="auto"/>
              </w:rPr>
            </w:pPr>
            <w:r>
              <w:rPr>
                <w:rFonts w:ascii="Arial" w:cs="Arial" w:eastAsia="Arial" w:hAnsi="Arial"/>
                <w:sz w:val="13"/>
                <w:szCs w:val="13"/>
                <w:b w:val="1"/>
                <w:bCs w:val="1"/>
                <w:color w:val="auto"/>
              </w:rPr>
              <w:t>January 1,</w:t>
            </w:r>
          </w:p>
        </w:tc>
        <w:tc>
          <w:tcPr>
            <w:tcW w:w="52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00" w:type="dxa"/>
            <w:vAlign w:val="bottom"/>
          </w:tcPr>
          <w:p>
            <w:pPr>
              <w:spacing w:after="0"/>
              <w:rPr>
                <w:sz w:val="10"/>
                <w:szCs w:val="10"/>
                <w:color w:val="auto"/>
              </w:rPr>
            </w:pP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900" w:type="dxa"/>
            <w:vAlign w:val="bottom"/>
            <w:gridSpan w:val="2"/>
            <w:vMerge w:val="continue"/>
          </w:tcPr>
          <w:p>
            <w:pPr>
              <w:spacing w:after="0"/>
              <w:rPr>
                <w:sz w:val="14"/>
                <w:szCs w:val="14"/>
                <w:color w:val="auto"/>
              </w:rPr>
            </w:pPr>
          </w:p>
        </w:tc>
        <w:tc>
          <w:tcPr>
            <w:tcW w:w="960" w:type="dxa"/>
            <w:vAlign w:val="bottom"/>
          </w:tcPr>
          <w:p>
            <w:pPr>
              <w:jc w:val="right"/>
              <w:ind w:right="242"/>
              <w:spacing w:after="0"/>
              <w:rPr>
                <w:sz w:val="20"/>
                <w:szCs w:val="20"/>
                <w:color w:val="auto"/>
              </w:rPr>
            </w:pPr>
            <w:r>
              <w:rPr>
                <w:rFonts w:ascii="Arial" w:cs="Arial" w:eastAsia="Arial" w:hAnsi="Arial"/>
                <w:sz w:val="14"/>
                <w:szCs w:val="14"/>
                <w:b w:val="1"/>
                <w:bCs w:val="1"/>
                <w:color w:val="auto"/>
              </w:rPr>
              <w:t>2010</w:t>
            </w:r>
          </w:p>
        </w:tc>
        <w:tc>
          <w:tcPr>
            <w:tcW w:w="150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2010</w:t>
            </w:r>
          </w:p>
        </w:tc>
        <w:tc>
          <w:tcPr>
            <w:tcW w:w="5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5"/>
        </w:trPr>
        <w:tc>
          <w:tcPr>
            <w:tcW w:w="5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Operating profit</w:t>
            </w:r>
          </w:p>
        </w:tc>
        <w:tc>
          <w:tcPr>
            <w:tcW w:w="480" w:type="dxa"/>
            <w:vAlign w:val="bottom"/>
          </w:tcPr>
          <w:p>
            <w:pPr>
              <w:spacing w:after="0"/>
              <w:rPr>
                <w:sz w:val="16"/>
                <w:szCs w:val="16"/>
                <w:color w:val="auto"/>
              </w:rPr>
            </w:pPr>
          </w:p>
        </w:tc>
        <w:tc>
          <w:tcPr>
            <w:tcW w:w="960" w:type="dxa"/>
            <w:vAlign w:val="bottom"/>
            <w:tcBorders>
              <w:top w:val="single" w:sz="8" w:color="auto"/>
            </w:tcBorders>
          </w:tcPr>
          <w:p>
            <w:pPr>
              <w:jc w:val="right"/>
              <w:ind w:right="282"/>
              <w:spacing w:after="0" w:line="195" w:lineRule="exact"/>
              <w:rPr>
                <w:sz w:val="20"/>
                <w:szCs w:val="20"/>
                <w:color w:val="auto"/>
              </w:rPr>
            </w:pPr>
            <w:r>
              <w:rPr>
                <w:rFonts w:ascii="Arial" w:cs="Arial" w:eastAsia="Arial" w:hAnsi="Arial"/>
                <w:sz w:val="18"/>
                <w:szCs w:val="18"/>
                <w:color w:val="auto"/>
              </w:rPr>
              <w:t>$8.2</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$10.8</w:t>
            </w:r>
          </w:p>
        </w:tc>
        <w:tc>
          <w:tcPr>
            <w:tcW w:w="520" w:type="dxa"/>
            <w:vAlign w:val="bottom"/>
          </w:tcPr>
          <w:p>
            <w:pPr>
              <w:spacing w:after="0"/>
              <w:rPr>
                <w:sz w:val="16"/>
                <w:szCs w:val="16"/>
                <w:color w:val="auto"/>
              </w:rPr>
            </w:pPr>
          </w:p>
        </w:tc>
        <w:tc>
          <w:tcPr>
            <w:tcW w:w="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$(2.6)</w:t>
            </w:r>
          </w:p>
        </w:tc>
        <w:tc>
          <w:tcPr>
            <w:tcW w:w="500" w:type="dxa"/>
            <w:vAlign w:val="bottom"/>
          </w:tcPr>
          <w:p>
            <w:pPr>
              <w:spacing w:after="0"/>
              <w:rPr>
                <w:sz w:val="16"/>
                <w:szCs w:val="16"/>
                <w:color w:val="auto"/>
              </w:rPr>
            </w:pPr>
          </w:p>
        </w:tc>
        <w:tc>
          <w:tcPr>
            <w:tcW w:w="1060" w:type="dxa"/>
            <w:vAlign w:val="bottom"/>
            <w:tcBorders>
              <w:top w:val="single" w:sz="8" w:color="auto"/>
            </w:tcBorders>
          </w:tcPr>
          <w:p>
            <w:pPr>
              <w:jc w:val="right"/>
              <w:ind w:right="45"/>
              <w:spacing w:after="0" w:line="195" w:lineRule="exact"/>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30"/>
        </w:trPr>
        <w:tc>
          <w:tcPr>
            <w:tcW w:w="590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960" w:type="dxa"/>
            <w:vAlign w:val="bottom"/>
          </w:tcPr>
          <w:p>
            <w:pPr>
              <w:jc w:val="right"/>
              <w:ind w:right="122"/>
              <w:spacing w:after="0"/>
              <w:rPr>
                <w:sz w:val="20"/>
                <w:szCs w:val="20"/>
                <w:color w:val="auto"/>
              </w:rPr>
            </w:pPr>
            <w:r>
              <w:rPr>
                <w:rFonts w:ascii="Arial" w:cs="Arial" w:eastAsia="Arial" w:hAnsi="Arial"/>
                <w:sz w:val="18"/>
                <w:szCs w:val="18"/>
                <w:color w:val="auto"/>
              </w:rPr>
              <w:t>8.4%</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12.1%</w:t>
            </w: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The decrease in our government systems segment operating profit of $2.6 million during the third quarter of fiscal year 2011 compared to the third quarter of fiscal year 2010 was primarily due to an increase in selling, support and new business proposal costs of approximately $5.0 million. These costs increases were offset by approximately $1.2 million in lower IR&amp;D expenses and higher earnings contributions of $1.2 million from higher revenues in the third quarter of fiscal year 2011 compared to the same period last fiscal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40" w:type="dxa"/>
            <w:vAlign w:val="bottom"/>
            <w:tcBorders>
              <w:bottom w:val="single" w:sz="8" w:color="auto"/>
            </w:tcBorders>
            <w:gridSpan w:val="3"/>
          </w:tcPr>
          <w:p>
            <w:pPr>
              <w:jc w:val="right"/>
              <w:ind w:right="54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40" w:type="dxa"/>
            <w:vAlign w:val="bottom"/>
          </w:tcPr>
          <w:p>
            <w:pPr>
              <w:jc w:val="right"/>
              <w:ind w:right="25"/>
              <w:spacing w:after="0" w:line="119" w:lineRule="exact"/>
              <w:rPr>
                <w:sz w:val="20"/>
                <w:szCs w:val="20"/>
                <w:color w:val="auto"/>
              </w:rPr>
            </w:pPr>
            <w:r>
              <w:rPr>
                <w:rFonts w:ascii="Arial" w:cs="Arial" w:eastAsia="Arial" w:hAnsi="Arial"/>
                <w:sz w:val="13"/>
                <w:szCs w:val="13"/>
                <w:b w:val="1"/>
                <w:bCs w:val="1"/>
                <w:color w:val="auto"/>
              </w:rPr>
              <w:t>December 31,</w:t>
            </w:r>
          </w:p>
        </w:tc>
        <w:tc>
          <w:tcPr>
            <w:tcW w:w="500" w:type="dxa"/>
            <w:vAlign w:val="bottom"/>
          </w:tcPr>
          <w:p>
            <w:pPr>
              <w:spacing w:after="0"/>
              <w:rPr>
                <w:sz w:val="10"/>
                <w:szCs w:val="10"/>
                <w:color w:val="auto"/>
              </w:rPr>
            </w:pP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January 1,</w:t>
            </w:r>
          </w:p>
        </w:tc>
        <w:tc>
          <w:tcPr>
            <w:tcW w:w="500" w:type="dxa"/>
            <w:vAlign w:val="bottom"/>
          </w:tcPr>
          <w:p>
            <w:pPr>
              <w:spacing w:after="0"/>
              <w:rPr>
                <w:sz w:val="10"/>
                <w:szCs w:val="10"/>
                <w:color w:val="auto"/>
              </w:rPr>
            </w:pP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00" w:type="dxa"/>
            <w:vAlign w:val="bottom"/>
          </w:tcPr>
          <w:p>
            <w:pPr>
              <w:spacing w:after="0"/>
              <w:rPr>
                <w:sz w:val="10"/>
                <w:szCs w:val="10"/>
                <w:color w:val="auto"/>
              </w:rPr>
            </w:pP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780" w:type="dxa"/>
            <w:vAlign w:val="bottom"/>
            <w:gridSpan w:val="2"/>
            <w:vMerge w:val="continue"/>
          </w:tcPr>
          <w:p>
            <w:pPr>
              <w:spacing w:after="0"/>
              <w:rPr>
                <w:sz w:val="14"/>
                <w:szCs w:val="14"/>
                <w:color w:val="auto"/>
              </w:rPr>
            </w:pPr>
          </w:p>
        </w:tc>
        <w:tc>
          <w:tcPr>
            <w:tcW w:w="1040" w:type="dxa"/>
            <w:vAlign w:val="bottom"/>
          </w:tcPr>
          <w:p>
            <w:pPr>
              <w:jc w:val="right"/>
              <w:ind w:right="305"/>
              <w:spacing w:after="0"/>
              <w:rPr>
                <w:sz w:val="20"/>
                <w:szCs w:val="20"/>
                <w:color w:val="auto"/>
              </w:rPr>
            </w:pPr>
            <w:r>
              <w:rPr>
                <w:rFonts w:ascii="Arial" w:cs="Arial" w:eastAsia="Arial" w:hAnsi="Arial"/>
                <w:sz w:val="14"/>
                <w:szCs w:val="14"/>
                <w:b w:val="1"/>
                <w:bCs w:val="1"/>
                <w:color w:val="auto"/>
              </w:rPr>
              <w:t>2010</w:t>
            </w:r>
          </w:p>
        </w:tc>
        <w:tc>
          <w:tcPr>
            <w:tcW w:w="150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4"/>
        </w:trPr>
        <w:tc>
          <w:tcPr>
            <w:tcW w:w="5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Revenues</w:t>
            </w:r>
          </w:p>
        </w:tc>
        <w:tc>
          <w:tcPr>
            <w:tcW w:w="500" w:type="dxa"/>
            <w:vAlign w:val="bottom"/>
          </w:tcPr>
          <w:p>
            <w:pPr>
              <w:spacing w:after="0"/>
              <w:rPr>
                <w:sz w:val="19"/>
                <w:szCs w:val="19"/>
                <w:color w:val="auto"/>
              </w:rPr>
            </w:pPr>
          </w:p>
        </w:tc>
        <w:tc>
          <w:tcPr>
            <w:tcW w:w="1040" w:type="dxa"/>
            <w:vAlign w:val="bottom"/>
            <w:tcBorders>
              <w:top w:val="single" w:sz="8" w:color="auto"/>
            </w:tcBorders>
          </w:tcPr>
          <w:p>
            <w:pPr>
              <w:jc w:val="right"/>
              <w:ind w:right="285"/>
              <w:spacing w:after="0"/>
              <w:rPr>
                <w:sz w:val="20"/>
                <w:szCs w:val="20"/>
                <w:color w:val="auto"/>
              </w:rPr>
            </w:pPr>
            <w:r>
              <w:rPr>
                <w:rFonts w:ascii="Arial" w:cs="Arial" w:eastAsia="Arial" w:hAnsi="Arial"/>
                <w:sz w:val="18"/>
                <w:szCs w:val="18"/>
                <w:color w:val="auto"/>
              </w:rPr>
              <w:t>$39.0</w:t>
            </w:r>
          </w:p>
        </w:tc>
        <w:tc>
          <w:tcPr>
            <w:tcW w:w="500" w:type="dxa"/>
            <w:vAlign w:val="bottom"/>
          </w:tcPr>
          <w:p>
            <w:pPr>
              <w:spacing w:after="0"/>
              <w:rPr>
                <w:sz w:val="19"/>
                <w:szCs w:val="19"/>
                <w:color w:val="auto"/>
              </w:rPr>
            </w:pPr>
          </w:p>
        </w:tc>
        <w:tc>
          <w:tcPr>
            <w:tcW w:w="1000" w:type="dxa"/>
            <w:vAlign w:val="bottom"/>
            <w:tcBorders>
              <w:top w:val="single" w:sz="8" w:color="auto"/>
            </w:tcBorders>
          </w:tcPr>
          <w:p>
            <w:pPr>
              <w:jc w:val="right"/>
              <w:ind w:right="262"/>
              <w:spacing w:after="0"/>
              <w:rPr>
                <w:sz w:val="20"/>
                <w:szCs w:val="20"/>
                <w:color w:val="auto"/>
              </w:rPr>
            </w:pPr>
            <w:r>
              <w:rPr>
                <w:rFonts w:ascii="Arial" w:cs="Arial" w:eastAsia="Arial" w:hAnsi="Arial"/>
                <w:sz w:val="18"/>
                <w:szCs w:val="18"/>
                <w:color w:val="auto"/>
              </w:rPr>
              <w:t>$55.0</w:t>
            </w:r>
          </w:p>
        </w:tc>
        <w:tc>
          <w:tcPr>
            <w:tcW w:w="500" w:type="dxa"/>
            <w:vAlign w:val="bottom"/>
          </w:tcPr>
          <w:p>
            <w:pPr>
              <w:spacing w:after="0"/>
              <w:rPr>
                <w:sz w:val="19"/>
                <w:szCs w:val="19"/>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$(16.0)</w:t>
            </w:r>
          </w:p>
        </w:tc>
        <w:tc>
          <w:tcPr>
            <w:tcW w:w="500" w:type="dxa"/>
            <w:vAlign w:val="bottom"/>
          </w:tcPr>
          <w:p>
            <w:pPr>
              <w:spacing w:after="0"/>
              <w:rPr>
                <w:sz w:val="19"/>
                <w:szCs w:val="19"/>
                <w:color w:val="auto"/>
              </w:rPr>
            </w:pPr>
          </w:p>
        </w:tc>
        <w:tc>
          <w:tcPr>
            <w:tcW w:w="1060" w:type="dxa"/>
            <w:vAlign w:val="bottom"/>
            <w:tcBorders>
              <w:top w:val="single" w:sz="8" w:color="auto"/>
            </w:tcBorders>
          </w:tcPr>
          <w:p>
            <w:pPr>
              <w:jc w:val="right"/>
              <w:ind w:right="45"/>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360" w:firstLine="225"/>
        <w:spacing w:after="0" w:line="259" w:lineRule="auto"/>
        <w:rPr>
          <w:sz w:val="20"/>
          <w:szCs w:val="20"/>
          <w:color w:val="auto"/>
        </w:rPr>
      </w:pPr>
      <w:r>
        <w:rPr>
          <w:rFonts w:ascii="Arial" w:cs="Arial" w:eastAsia="Arial" w:hAnsi="Arial"/>
          <w:sz w:val="18"/>
          <w:szCs w:val="18"/>
          <w:color w:val="auto"/>
        </w:rPr>
        <w:t>Commercial networks segment revenue decreased approximately $16.0 million in the third quarter of fiscal year 2011 compared to the third quarter of fiscal year 2010, primarily due to a $9.7 million revenue decrease in consumer broadband products and services and $8.8 million in enterprise VSAT networks products and services. These decreases were offset by a $1.8 million revenue increase in next-generation broadband equipment development programs.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80" w:type="dxa"/>
            <w:vAlign w:val="bottom"/>
            <w:tcBorders>
              <w:bottom w:val="single" w:sz="8" w:color="auto"/>
            </w:tcBorders>
            <w:gridSpan w:val="3"/>
          </w:tcPr>
          <w:p>
            <w:pPr>
              <w:jc w:val="right"/>
              <w:ind w:right="56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100" w:type="dxa"/>
            <w:vAlign w:val="bottom"/>
          </w:tcPr>
          <w:p>
            <w:pPr>
              <w:jc w:val="right"/>
              <w:ind w:right="42"/>
              <w:spacing w:after="0" w:line="119" w:lineRule="exact"/>
              <w:rPr>
                <w:sz w:val="20"/>
                <w:szCs w:val="20"/>
                <w:color w:val="auto"/>
              </w:rPr>
            </w:pPr>
            <w:r>
              <w:rPr>
                <w:rFonts w:ascii="Arial" w:cs="Arial" w:eastAsia="Arial" w:hAnsi="Arial"/>
                <w:sz w:val="13"/>
                <w:szCs w:val="13"/>
                <w:b w:val="1"/>
                <w:bCs w:val="1"/>
                <w:color w:val="auto"/>
              </w:rPr>
              <w:t>December 31,</w:t>
            </w:r>
          </w:p>
        </w:tc>
        <w:tc>
          <w:tcPr>
            <w:tcW w:w="500" w:type="dxa"/>
            <w:vAlign w:val="bottom"/>
          </w:tcPr>
          <w:p>
            <w:pPr>
              <w:spacing w:after="0"/>
              <w:rPr>
                <w:sz w:val="10"/>
                <w:szCs w:val="10"/>
                <w:color w:val="auto"/>
              </w:rPr>
            </w:pPr>
          </w:p>
        </w:tc>
        <w:tc>
          <w:tcPr>
            <w:tcW w:w="980" w:type="dxa"/>
            <w:vAlign w:val="bottom"/>
          </w:tcPr>
          <w:p>
            <w:pPr>
              <w:jc w:val="right"/>
              <w:ind w:right="82"/>
              <w:spacing w:after="0" w:line="119" w:lineRule="exact"/>
              <w:rPr>
                <w:sz w:val="20"/>
                <w:szCs w:val="20"/>
                <w:color w:val="auto"/>
              </w:rPr>
            </w:pPr>
            <w:r>
              <w:rPr>
                <w:rFonts w:ascii="Arial" w:cs="Arial" w:eastAsia="Arial" w:hAnsi="Arial"/>
                <w:sz w:val="13"/>
                <w:szCs w:val="13"/>
                <w:b w:val="1"/>
                <w:bCs w:val="1"/>
                <w:color w:val="auto"/>
              </w:rPr>
              <w:t>January 1,</w:t>
            </w:r>
          </w:p>
        </w:tc>
        <w:tc>
          <w:tcPr>
            <w:tcW w:w="500" w:type="dxa"/>
            <w:vAlign w:val="bottom"/>
          </w:tcPr>
          <w:p>
            <w:pPr>
              <w:spacing w:after="0"/>
              <w:rPr>
                <w:sz w:val="10"/>
                <w:szCs w:val="10"/>
                <w:color w:val="auto"/>
              </w:rPr>
            </w:pPr>
          </w:p>
        </w:tc>
        <w:tc>
          <w:tcPr>
            <w:tcW w:w="9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(Increase)</w:t>
            </w:r>
          </w:p>
        </w:tc>
        <w:tc>
          <w:tcPr>
            <w:tcW w:w="500" w:type="dxa"/>
            <w:vAlign w:val="bottom"/>
          </w:tcPr>
          <w:p>
            <w:pPr>
              <w:spacing w:after="0"/>
              <w:rPr>
                <w:sz w:val="10"/>
                <w:szCs w:val="10"/>
                <w:color w:val="auto"/>
              </w:rPr>
            </w:pPr>
          </w:p>
        </w:tc>
        <w:tc>
          <w:tcPr>
            <w:tcW w:w="11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71"/>
        </w:trPr>
        <w:tc>
          <w:tcPr>
            <w:tcW w:w="5800" w:type="dxa"/>
            <w:vAlign w:val="bottom"/>
            <w:gridSpan w:val="2"/>
            <w:vMerge w:val="continue"/>
          </w:tcPr>
          <w:p>
            <w:pPr>
              <w:spacing w:after="0"/>
              <w:rPr>
                <w:sz w:val="14"/>
                <w:szCs w:val="14"/>
                <w:color w:val="auto"/>
              </w:rPr>
            </w:pPr>
          </w:p>
        </w:tc>
        <w:tc>
          <w:tcPr>
            <w:tcW w:w="1100" w:type="dxa"/>
            <w:vAlign w:val="bottom"/>
          </w:tcPr>
          <w:p>
            <w:pPr>
              <w:jc w:val="right"/>
              <w:ind w:right="322"/>
              <w:spacing w:after="0"/>
              <w:rPr>
                <w:sz w:val="20"/>
                <w:szCs w:val="20"/>
                <w:color w:val="auto"/>
              </w:rPr>
            </w:pPr>
            <w:r>
              <w:rPr>
                <w:rFonts w:ascii="Arial" w:cs="Arial" w:eastAsia="Arial" w:hAnsi="Arial"/>
                <w:sz w:val="14"/>
                <w:szCs w:val="14"/>
                <w:b w:val="1"/>
                <w:bCs w:val="1"/>
                <w:color w:val="auto"/>
              </w:rPr>
              <w:t>2010</w:t>
            </w:r>
          </w:p>
        </w:tc>
        <w:tc>
          <w:tcPr>
            <w:tcW w:w="148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6"/>
              </w:rPr>
              <w:t>Decrease</w:t>
            </w:r>
          </w:p>
        </w:tc>
        <w:tc>
          <w:tcPr>
            <w:tcW w:w="5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195"/>
        </w:trPr>
        <w:tc>
          <w:tcPr>
            <w:tcW w:w="5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Operating loss</w:t>
            </w:r>
          </w:p>
        </w:tc>
        <w:tc>
          <w:tcPr>
            <w:tcW w:w="500" w:type="dxa"/>
            <w:vAlign w:val="bottom"/>
          </w:tcPr>
          <w:p>
            <w:pPr>
              <w:spacing w:after="0"/>
              <w:rPr>
                <w:sz w:val="16"/>
                <w:szCs w:val="16"/>
                <w:color w:val="auto"/>
              </w:rPr>
            </w:pPr>
          </w:p>
        </w:tc>
        <w:tc>
          <w:tcPr>
            <w:tcW w:w="1100" w:type="dxa"/>
            <w:vAlign w:val="bottom"/>
            <w:tcBorders>
              <w:top w:val="single" w:sz="8" w:color="auto"/>
            </w:tcBorders>
          </w:tcPr>
          <w:p>
            <w:pPr>
              <w:jc w:val="right"/>
              <w:ind w:right="222"/>
              <w:spacing w:after="0" w:line="195" w:lineRule="exact"/>
              <w:rPr>
                <w:sz w:val="20"/>
                <w:szCs w:val="20"/>
                <w:color w:val="auto"/>
              </w:rPr>
            </w:pPr>
            <w:r>
              <w:rPr>
                <w:rFonts w:ascii="Arial" w:cs="Arial" w:eastAsia="Arial" w:hAnsi="Arial"/>
                <w:sz w:val="18"/>
                <w:szCs w:val="18"/>
                <w:color w:val="auto"/>
              </w:rPr>
              <w:t>$ (4.2)</w:t>
            </w:r>
          </w:p>
        </w:tc>
        <w:tc>
          <w:tcPr>
            <w:tcW w:w="500" w:type="dxa"/>
            <w:vAlign w:val="bottom"/>
          </w:tcPr>
          <w:p>
            <w:pPr>
              <w:spacing w:after="0"/>
              <w:rPr>
                <w:sz w:val="16"/>
                <w:szCs w:val="16"/>
                <w:color w:val="auto"/>
              </w:rPr>
            </w:pPr>
          </w:p>
        </w:tc>
        <w:tc>
          <w:tcPr>
            <w:tcW w:w="980" w:type="dxa"/>
            <w:vAlign w:val="bottom"/>
            <w:tcBorders>
              <w:top w:val="single" w:sz="8" w:color="auto"/>
            </w:tcBorders>
          </w:tcPr>
          <w:p>
            <w:pPr>
              <w:jc w:val="right"/>
              <w:ind w:right="202"/>
              <w:spacing w:after="0" w:line="195" w:lineRule="exact"/>
              <w:rPr>
                <w:sz w:val="20"/>
                <w:szCs w:val="20"/>
                <w:color w:val="auto"/>
              </w:rPr>
            </w:pPr>
            <w:r>
              <w:rPr>
                <w:rFonts w:ascii="Arial" w:cs="Arial" w:eastAsia="Arial" w:hAnsi="Arial"/>
                <w:sz w:val="18"/>
                <w:szCs w:val="18"/>
                <w:color w:val="auto"/>
              </w:rPr>
              <w:t>$(0.8)</w:t>
            </w:r>
          </w:p>
        </w:tc>
        <w:tc>
          <w:tcPr>
            <w:tcW w:w="500" w:type="dxa"/>
            <w:vAlign w:val="bottom"/>
          </w:tcPr>
          <w:p>
            <w:pPr>
              <w:spacing w:after="0"/>
              <w:rPr>
                <w:sz w:val="16"/>
                <w:szCs w:val="16"/>
                <w:color w:val="auto"/>
              </w:rPr>
            </w:pPr>
          </w:p>
        </w:tc>
        <w:tc>
          <w:tcPr>
            <w:tcW w:w="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$(3.3)</w:t>
            </w:r>
          </w:p>
        </w:tc>
        <w:tc>
          <w:tcPr>
            <w:tcW w:w="500" w:type="dxa"/>
            <w:vAlign w:val="bottom"/>
          </w:tcPr>
          <w:p>
            <w:pPr>
              <w:spacing w:after="0"/>
              <w:rPr>
                <w:sz w:val="16"/>
                <w:szCs w:val="16"/>
                <w:color w:val="auto"/>
              </w:rPr>
            </w:pPr>
          </w:p>
        </w:tc>
        <w:tc>
          <w:tcPr>
            <w:tcW w:w="1100" w:type="dxa"/>
            <w:vAlign w:val="bottom"/>
            <w:tcBorders>
              <w:top w:val="single" w:sz="8" w:color="auto"/>
            </w:tcBorders>
          </w:tcPr>
          <w:p>
            <w:pPr>
              <w:jc w:val="right"/>
              <w:ind w:right="45"/>
              <w:spacing w:after="0" w:line="195" w:lineRule="exact"/>
              <w:rPr>
                <w:sz w:val="20"/>
                <w:szCs w:val="20"/>
                <w:color w:val="auto"/>
              </w:rPr>
            </w:pPr>
            <w:r>
              <w:rPr>
                <w:rFonts w:ascii="Arial" w:cs="Arial" w:eastAsia="Arial" w:hAnsi="Arial"/>
                <w:sz w:val="18"/>
                <w:szCs w:val="18"/>
                <w:color w:val="auto"/>
              </w:rPr>
              <w:t>(398.2)%</w:t>
            </w:r>
          </w:p>
        </w:tc>
        <w:tc>
          <w:tcPr>
            <w:tcW w:w="0" w:type="dxa"/>
            <w:vAlign w:val="bottom"/>
          </w:tcPr>
          <w:p>
            <w:pPr>
              <w:spacing w:after="0"/>
              <w:rPr>
                <w:sz w:val="1"/>
                <w:szCs w:val="1"/>
                <w:color w:val="auto"/>
              </w:rPr>
            </w:pP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100" w:type="dxa"/>
            <w:vAlign w:val="bottom"/>
          </w:tcPr>
          <w:p>
            <w:pPr>
              <w:jc w:val="right"/>
              <w:ind w:right="62"/>
              <w:spacing w:after="0"/>
              <w:rPr>
                <w:sz w:val="20"/>
                <w:szCs w:val="20"/>
                <w:color w:val="auto"/>
              </w:rPr>
            </w:pPr>
            <w:r>
              <w:rPr>
                <w:rFonts w:ascii="Arial" w:cs="Arial" w:eastAsia="Arial" w:hAnsi="Arial"/>
                <w:sz w:val="18"/>
                <w:szCs w:val="18"/>
                <w:color w:val="auto"/>
              </w:rPr>
              <w:t>(10.7)%</w:t>
            </w:r>
          </w:p>
        </w:tc>
        <w:tc>
          <w:tcPr>
            <w:tcW w:w="1480" w:type="dxa"/>
            <w:vAlign w:val="bottom"/>
            <w:gridSpan w:val="2"/>
          </w:tcPr>
          <w:p>
            <w:pPr>
              <w:jc w:val="right"/>
              <w:ind w:right="42"/>
              <w:spacing w:after="0"/>
              <w:rPr>
                <w:sz w:val="20"/>
                <w:szCs w:val="20"/>
                <w:color w:val="auto"/>
              </w:rPr>
            </w:pPr>
            <w:r>
              <w:rPr>
                <w:rFonts w:ascii="Arial" w:cs="Arial" w:eastAsia="Arial" w:hAnsi="Arial"/>
                <w:sz w:val="18"/>
                <w:szCs w:val="18"/>
                <w:color w:val="auto"/>
              </w:rPr>
              <w:t>(1.5)%</w:t>
            </w: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520" w:firstLine="225"/>
        <w:spacing w:after="0" w:line="264" w:lineRule="auto"/>
        <w:rPr>
          <w:sz w:val="20"/>
          <w:szCs w:val="20"/>
          <w:color w:val="auto"/>
        </w:rPr>
      </w:pPr>
      <w:r>
        <w:rPr>
          <w:rFonts w:ascii="Arial" w:cs="Arial" w:eastAsia="Arial" w:hAnsi="Arial"/>
          <w:sz w:val="18"/>
          <w:szCs w:val="18"/>
          <w:color w:val="auto"/>
        </w:rPr>
        <w:t>In the third quarter of fiscal year 2011 compared to the same period last fiscal year, our commercial networks segment operating loss increase was primarily due to lower earnings contributions of approximately $4.7 million from lower revenues. This loss increase was partly offset by a $1.3 million decrease in selling, support and new business proposal costs.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60" w:type="dxa"/>
            <w:vAlign w:val="bottom"/>
            <w:tcBorders>
              <w:bottom w:val="single" w:sz="8" w:color="auto"/>
            </w:tcBorders>
            <w:gridSpan w:val="3"/>
          </w:tcPr>
          <w:p>
            <w:pPr>
              <w:jc w:val="right"/>
              <w:ind w:right="54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60" w:type="dxa"/>
            <w:vAlign w:val="bottom"/>
          </w:tcPr>
          <w:p>
            <w:pPr>
              <w:jc w:val="right"/>
              <w:ind w:right="25"/>
              <w:spacing w:after="0" w:line="119" w:lineRule="exact"/>
              <w:rPr>
                <w:sz w:val="20"/>
                <w:szCs w:val="20"/>
                <w:color w:val="auto"/>
              </w:rPr>
            </w:pPr>
            <w:r>
              <w:rPr>
                <w:rFonts w:ascii="Arial" w:cs="Arial" w:eastAsia="Arial" w:hAnsi="Arial"/>
                <w:sz w:val="13"/>
                <w:szCs w:val="13"/>
                <w:b w:val="1"/>
                <w:bCs w:val="1"/>
                <w:color w:val="auto"/>
              </w:rPr>
              <w:t>December 31,</w:t>
            </w:r>
          </w:p>
        </w:tc>
        <w:tc>
          <w:tcPr>
            <w:tcW w:w="500" w:type="dxa"/>
            <w:vAlign w:val="bottom"/>
          </w:tcPr>
          <w:p>
            <w:pPr>
              <w:spacing w:after="0"/>
              <w:rPr>
                <w:sz w:val="10"/>
                <w:szCs w:val="10"/>
                <w:color w:val="auto"/>
              </w:rPr>
            </w:pP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January 1,</w:t>
            </w:r>
          </w:p>
        </w:tc>
        <w:tc>
          <w:tcPr>
            <w:tcW w:w="50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0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780" w:type="dxa"/>
            <w:vAlign w:val="bottom"/>
            <w:gridSpan w:val="2"/>
            <w:vMerge w:val="continue"/>
          </w:tcPr>
          <w:p>
            <w:pPr>
              <w:spacing w:after="0"/>
              <w:rPr>
                <w:sz w:val="14"/>
                <w:szCs w:val="14"/>
                <w:color w:val="auto"/>
              </w:rPr>
            </w:pPr>
          </w:p>
        </w:tc>
        <w:tc>
          <w:tcPr>
            <w:tcW w:w="1060" w:type="dxa"/>
            <w:vAlign w:val="bottom"/>
          </w:tcPr>
          <w:p>
            <w:pPr>
              <w:jc w:val="right"/>
              <w:ind w:right="305"/>
              <w:spacing w:after="0"/>
              <w:rPr>
                <w:sz w:val="20"/>
                <w:szCs w:val="20"/>
                <w:color w:val="auto"/>
              </w:rPr>
            </w:pPr>
            <w:r>
              <w:rPr>
                <w:rFonts w:ascii="Arial" w:cs="Arial" w:eastAsia="Arial" w:hAnsi="Arial"/>
                <w:sz w:val="14"/>
                <w:szCs w:val="14"/>
                <w:b w:val="1"/>
                <w:bCs w:val="1"/>
                <w:color w:val="auto"/>
              </w:rPr>
              <w:t>2010</w:t>
            </w:r>
          </w:p>
        </w:tc>
        <w:tc>
          <w:tcPr>
            <w:tcW w:w="150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4"/>
        </w:trPr>
        <w:tc>
          <w:tcPr>
            <w:tcW w:w="5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Revenues</w:t>
            </w:r>
          </w:p>
        </w:tc>
        <w:tc>
          <w:tcPr>
            <w:tcW w:w="480" w:type="dxa"/>
            <w:vAlign w:val="bottom"/>
          </w:tcPr>
          <w:p>
            <w:pPr>
              <w:spacing w:after="0"/>
              <w:rPr>
                <w:sz w:val="19"/>
                <w:szCs w:val="19"/>
                <w:color w:val="auto"/>
              </w:rPr>
            </w:pPr>
          </w:p>
        </w:tc>
        <w:tc>
          <w:tcPr>
            <w:tcW w:w="1060" w:type="dxa"/>
            <w:vAlign w:val="bottom"/>
            <w:tcBorders>
              <w:top w:val="single" w:sz="8" w:color="auto"/>
            </w:tcBorders>
          </w:tcPr>
          <w:p>
            <w:pPr>
              <w:jc w:val="right"/>
              <w:ind w:right="285"/>
              <w:spacing w:after="0"/>
              <w:rPr>
                <w:sz w:val="20"/>
                <w:szCs w:val="20"/>
                <w:color w:val="auto"/>
              </w:rPr>
            </w:pPr>
            <w:r>
              <w:rPr>
                <w:rFonts w:ascii="Arial" w:cs="Arial" w:eastAsia="Arial" w:hAnsi="Arial"/>
                <w:sz w:val="18"/>
                <w:szCs w:val="18"/>
                <w:color w:val="auto"/>
              </w:rPr>
              <w:t>$59.3</w:t>
            </w:r>
          </w:p>
        </w:tc>
        <w:tc>
          <w:tcPr>
            <w:tcW w:w="500" w:type="dxa"/>
            <w:vAlign w:val="bottom"/>
          </w:tcPr>
          <w:p>
            <w:pPr>
              <w:spacing w:after="0"/>
              <w:rPr>
                <w:sz w:val="19"/>
                <w:szCs w:val="19"/>
                <w:color w:val="auto"/>
              </w:rPr>
            </w:pPr>
          </w:p>
        </w:tc>
        <w:tc>
          <w:tcPr>
            <w:tcW w:w="1000" w:type="dxa"/>
            <w:vAlign w:val="bottom"/>
            <w:tcBorders>
              <w:top w:val="single" w:sz="8" w:color="auto"/>
            </w:tcBorders>
          </w:tcPr>
          <w:p>
            <w:pPr>
              <w:jc w:val="right"/>
              <w:ind w:right="262"/>
              <w:spacing w:after="0"/>
              <w:rPr>
                <w:sz w:val="20"/>
                <w:szCs w:val="20"/>
                <w:color w:val="auto"/>
              </w:rPr>
            </w:pPr>
            <w:r>
              <w:rPr>
                <w:rFonts w:ascii="Arial" w:cs="Arial" w:eastAsia="Arial" w:hAnsi="Arial"/>
                <w:sz w:val="18"/>
                <w:szCs w:val="18"/>
                <w:color w:val="auto"/>
              </w:rPr>
              <w:t>$12.3</w:t>
            </w:r>
          </w:p>
        </w:tc>
        <w:tc>
          <w:tcPr>
            <w:tcW w:w="500" w:type="dxa"/>
            <w:vAlign w:val="bottom"/>
          </w:tcPr>
          <w:p>
            <w:pPr>
              <w:spacing w:after="0"/>
              <w:rPr>
                <w:sz w:val="19"/>
                <w:szCs w:val="19"/>
                <w:color w:val="auto"/>
              </w:rPr>
            </w:pPr>
          </w:p>
        </w:tc>
        <w:tc>
          <w:tcPr>
            <w:tcW w:w="1000" w:type="dxa"/>
            <w:vAlign w:val="bottom"/>
            <w:tcBorders>
              <w:top w:val="single" w:sz="8" w:color="auto"/>
            </w:tcBorders>
          </w:tcPr>
          <w:p>
            <w:pPr>
              <w:jc w:val="right"/>
              <w:ind w:right="265"/>
              <w:spacing w:after="0"/>
              <w:rPr>
                <w:sz w:val="20"/>
                <w:szCs w:val="20"/>
                <w:color w:val="auto"/>
              </w:rPr>
            </w:pPr>
            <w:r>
              <w:rPr>
                <w:rFonts w:ascii="Arial" w:cs="Arial" w:eastAsia="Arial" w:hAnsi="Arial"/>
                <w:sz w:val="18"/>
                <w:szCs w:val="18"/>
                <w:color w:val="auto"/>
              </w:rPr>
              <w:t>$47.1</w:t>
            </w:r>
          </w:p>
        </w:tc>
        <w:tc>
          <w:tcPr>
            <w:tcW w:w="500" w:type="dxa"/>
            <w:vAlign w:val="bottom"/>
          </w:tcPr>
          <w:p>
            <w:pPr>
              <w:spacing w:after="0"/>
              <w:rPr>
                <w:sz w:val="19"/>
                <w:szCs w:val="19"/>
                <w:color w:val="auto"/>
              </w:rPr>
            </w:pPr>
          </w:p>
        </w:tc>
        <w:tc>
          <w:tcPr>
            <w:tcW w:w="1080" w:type="dxa"/>
            <w:vAlign w:val="bottom"/>
            <w:tcBorders>
              <w:top w:val="single" w:sz="8" w:color="auto"/>
            </w:tcBorders>
          </w:tcPr>
          <w:p>
            <w:pPr>
              <w:jc w:val="right"/>
              <w:ind w:right="105"/>
              <w:spacing w:after="0"/>
              <w:rPr>
                <w:sz w:val="20"/>
                <w:szCs w:val="20"/>
                <w:color w:val="auto"/>
              </w:rPr>
            </w:pPr>
            <w:r>
              <w:rPr>
                <w:rFonts w:ascii="Arial" w:cs="Arial" w:eastAsia="Arial" w:hAnsi="Arial"/>
                <w:sz w:val="18"/>
                <w:szCs w:val="18"/>
                <w:color w:val="auto"/>
              </w:rPr>
              <w:t>383.3%</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right="20" w:firstLine="222"/>
        <w:spacing w:after="0" w:line="277" w:lineRule="auto"/>
        <w:rPr>
          <w:sz w:val="20"/>
          <w:szCs w:val="20"/>
          <w:color w:val="auto"/>
        </w:rPr>
      </w:pPr>
      <w:r>
        <w:rPr>
          <w:rFonts w:ascii="Arial" w:cs="Arial" w:eastAsia="Arial" w:hAnsi="Arial"/>
          <w:sz w:val="18"/>
          <w:szCs w:val="18"/>
          <w:color w:val="auto"/>
        </w:rPr>
        <w:t>The increase in satellite services segment revenue in the third quarter of fiscal year 2011 compared to the third quarter of fiscal year 2010 of approximately $47.1 million was primarily attributable to our acquisition of WildBlue in December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 (loss)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60" w:type="dxa"/>
            <w:vAlign w:val="bottom"/>
            <w:tcBorders>
              <w:bottom w:val="single" w:sz="8" w:color="auto"/>
            </w:tcBorders>
            <w:gridSpan w:val="3"/>
          </w:tcPr>
          <w:p>
            <w:pPr>
              <w:jc w:val="right"/>
              <w:ind w:right="54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60" w:type="dxa"/>
            <w:vAlign w:val="bottom"/>
          </w:tcPr>
          <w:p>
            <w:pPr>
              <w:jc w:val="right"/>
              <w:ind w:right="22"/>
              <w:spacing w:after="0" w:line="119" w:lineRule="exact"/>
              <w:rPr>
                <w:sz w:val="20"/>
                <w:szCs w:val="20"/>
                <w:color w:val="auto"/>
              </w:rPr>
            </w:pPr>
            <w:r>
              <w:rPr>
                <w:rFonts w:ascii="Arial" w:cs="Arial" w:eastAsia="Arial" w:hAnsi="Arial"/>
                <w:sz w:val="13"/>
                <w:szCs w:val="13"/>
                <w:b w:val="1"/>
                <w:bCs w:val="1"/>
                <w:color w:val="auto"/>
              </w:rPr>
              <w:t>December 31,</w:t>
            </w:r>
          </w:p>
        </w:tc>
        <w:tc>
          <w:tcPr>
            <w:tcW w:w="480" w:type="dxa"/>
            <w:vAlign w:val="bottom"/>
          </w:tcPr>
          <w:p>
            <w:pPr>
              <w:spacing w:after="0"/>
              <w:rPr>
                <w:sz w:val="10"/>
                <w:szCs w:val="10"/>
                <w:color w:val="auto"/>
              </w:rPr>
            </w:pPr>
          </w:p>
        </w:tc>
        <w:tc>
          <w:tcPr>
            <w:tcW w:w="102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January 1,</w:t>
            </w:r>
          </w:p>
        </w:tc>
        <w:tc>
          <w:tcPr>
            <w:tcW w:w="50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0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780" w:type="dxa"/>
            <w:vAlign w:val="bottom"/>
            <w:gridSpan w:val="2"/>
            <w:vMerge w:val="continue"/>
          </w:tcPr>
          <w:p>
            <w:pPr>
              <w:spacing w:after="0"/>
              <w:rPr>
                <w:sz w:val="14"/>
                <w:szCs w:val="14"/>
                <w:color w:val="auto"/>
              </w:rPr>
            </w:pPr>
          </w:p>
        </w:tc>
        <w:tc>
          <w:tcPr>
            <w:tcW w:w="1060" w:type="dxa"/>
            <w:vAlign w:val="bottom"/>
          </w:tcPr>
          <w:p>
            <w:pPr>
              <w:jc w:val="right"/>
              <w:ind w:right="302"/>
              <w:spacing w:after="0"/>
              <w:rPr>
                <w:sz w:val="20"/>
                <w:szCs w:val="20"/>
                <w:color w:val="auto"/>
              </w:rPr>
            </w:pPr>
            <w:r>
              <w:rPr>
                <w:rFonts w:ascii="Arial" w:cs="Arial" w:eastAsia="Arial" w:hAnsi="Arial"/>
                <w:sz w:val="14"/>
                <w:szCs w:val="14"/>
                <w:b w:val="1"/>
                <w:bCs w:val="1"/>
                <w:color w:val="auto"/>
              </w:rPr>
              <w:t>2010</w:t>
            </w:r>
          </w:p>
        </w:tc>
        <w:tc>
          <w:tcPr>
            <w:tcW w:w="150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5"/>
        </w:trPr>
        <w:tc>
          <w:tcPr>
            <w:tcW w:w="5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Operating profit (loss)</w:t>
            </w:r>
          </w:p>
        </w:tc>
        <w:tc>
          <w:tcPr>
            <w:tcW w:w="480" w:type="dxa"/>
            <w:vAlign w:val="bottom"/>
          </w:tcPr>
          <w:p>
            <w:pPr>
              <w:spacing w:after="0"/>
              <w:rPr>
                <w:sz w:val="16"/>
                <w:szCs w:val="16"/>
                <w:color w:val="auto"/>
              </w:rPr>
            </w:pPr>
          </w:p>
        </w:tc>
        <w:tc>
          <w:tcPr>
            <w:tcW w:w="1060" w:type="dxa"/>
            <w:vAlign w:val="bottom"/>
            <w:tcBorders>
              <w:top w:val="single" w:sz="8" w:color="auto"/>
            </w:tcBorders>
          </w:tcPr>
          <w:p>
            <w:pPr>
              <w:jc w:val="right"/>
              <w:ind w:right="282"/>
              <w:spacing w:after="0" w:line="195" w:lineRule="exact"/>
              <w:rPr>
                <w:sz w:val="20"/>
                <w:szCs w:val="20"/>
                <w:color w:val="auto"/>
              </w:rPr>
            </w:pPr>
            <w:r>
              <w:rPr>
                <w:rFonts w:ascii="Arial" w:cs="Arial" w:eastAsia="Arial" w:hAnsi="Arial"/>
                <w:sz w:val="18"/>
                <w:szCs w:val="18"/>
                <w:color w:val="auto"/>
              </w:rPr>
              <w:t>$ 7.9</w:t>
            </w:r>
          </w:p>
        </w:tc>
        <w:tc>
          <w:tcPr>
            <w:tcW w:w="480" w:type="dxa"/>
            <w:vAlign w:val="bottom"/>
          </w:tcPr>
          <w:p>
            <w:pPr>
              <w:spacing w:after="0"/>
              <w:rPr>
                <w:sz w:val="16"/>
                <w:szCs w:val="16"/>
                <w:color w:val="auto"/>
              </w:rPr>
            </w:pPr>
          </w:p>
        </w:tc>
        <w:tc>
          <w:tcPr>
            <w:tcW w:w="1020" w:type="dxa"/>
            <w:vAlign w:val="bottom"/>
            <w:tcBorders>
              <w:top w:val="single" w:sz="8" w:color="auto"/>
            </w:tcBorders>
          </w:tcPr>
          <w:p>
            <w:pPr>
              <w:jc w:val="right"/>
              <w:ind w:right="182"/>
              <w:spacing w:after="0" w:line="195" w:lineRule="exact"/>
              <w:rPr>
                <w:sz w:val="20"/>
                <w:szCs w:val="20"/>
                <w:color w:val="auto"/>
              </w:rPr>
            </w:pPr>
            <w:r>
              <w:rPr>
                <w:rFonts w:ascii="Arial" w:cs="Arial" w:eastAsia="Arial" w:hAnsi="Arial"/>
                <w:sz w:val="18"/>
                <w:szCs w:val="18"/>
                <w:color w:val="auto"/>
              </w:rPr>
              <w:t>$ (6.2)</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65"/>
              <w:spacing w:after="0" w:line="195" w:lineRule="exact"/>
              <w:rPr>
                <w:sz w:val="20"/>
                <w:szCs w:val="20"/>
                <w:color w:val="auto"/>
              </w:rPr>
            </w:pPr>
            <w:r>
              <w:rPr>
                <w:rFonts w:ascii="Arial" w:cs="Arial" w:eastAsia="Arial" w:hAnsi="Arial"/>
                <w:sz w:val="18"/>
                <w:szCs w:val="18"/>
                <w:color w:val="auto"/>
              </w:rPr>
              <w:t>$14.1</w:t>
            </w:r>
          </w:p>
        </w:tc>
        <w:tc>
          <w:tcPr>
            <w:tcW w:w="500" w:type="dxa"/>
            <w:vAlign w:val="bottom"/>
          </w:tcPr>
          <w:p>
            <w:pPr>
              <w:spacing w:after="0"/>
              <w:rPr>
                <w:sz w:val="16"/>
                <w:szCs w:val="16"/>
                <w:color w:val="auto"/>
              </w:rPr>
            </w:pPr>
          </w:p>
        </w:tc>
        <w:tc>
          <w:tcPr>
            <w:tcW w:w="108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228.4%</w:t>
            </w: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060" w:type="dxa"/>
            <w:vAlign w:val="bottom"/>
          </w:tcPr>
          <w:p>
            <w:pPr>
              <w:jc w:val="right"/>
              <w:ind w:right="142"/>
              <w:spacing w:after="0"/>
              <w:rPr>
                <w:sz w:val="20"/>
                <w:szCs w:val="20"/>
                <w:color w:val="auto"/>
              </w:rPr>
            </w:pPr>
            <w:r>
              <w:rPr>
                <w:rFonts w:ascii="Arial" w:cs="Arial" w:eastAsia="Arial" w:hAnsi="Arial"/>
                <w:sz w:val="18"/>
                <w:szCs w:val="18"/>
                <w:color w:val="auto"/>
              </w:rPr>
              <w:t>13.4%</w:t>
            </w:r>
          </w:p>
        </w:tc>
        <w:tc>
          <w:tcPr>
            <w:tcW w:w="1500" w:type="dxa"/>
            <w:vAlign w:val="bottom"/>
            <w:gridSpan w:val="2"/>
          </w:tcPr>
          <w:p>
            <w:pPr>
              <w:jc w:val="right"/>
              <w:ind w:right="42"/>
              <w:spacing w:after="0"/>
              <w:rPr>
                <w:sz w:val="20"/>
                <w:szCs w:val="20"/>
                <w:color w:val="auto"/>
              </w:rPr>
            </w:pPr>
            <w:r>
              <w:rPr>
                <w:rFonts w:ascii="Arial" w:cs="Arial" w:eastAsia="Arial" w:hAnsi="Arial"/>
                <w:sz w:val="18"/>
                <w:szCs w:val="18"/>
                <w:color w:val="auto"/>
              </w:rPr>
              <w:t>(50.3)%</w:t>
            </w: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60" w:firstLine="225"/>
        <w:spacing w:after="0" w:line="308" w:lineRule="auto"/>
        <w:rPr>
          <w:sz w:val="20"/>
          <w:szCs w:val="20"/>
          <w:color w:val="auto"/>
        </w:rPr>
      </w:pPr>
      <w:r>
        <w:rPr>
          <w:rFonts w:ascii="Arial" w:cs="Arial" w:eastAsia="Arial" w:hAnsi="Arial"/>
          <w:sz w:val="17"/>
          <w:szCs w:val="17"/>
          <w:color w:val="auto"/>
        </w:rPr>
        <w:t>Our satellite services segment generated an operating profit in the third quarter of fiscal year 2011 compared to an operating loss in the same period last fiscal year. This change was primarily attributable to the operating results of WildBlue, which we acquired in December 2009.</w:t>
      </w:r>
    </w:p>
    <w:p>
      <w:pPr>
        <w:spacing w:after="0" w:line="143" w:lineRule="exact"/>
        <w:rPr>
          <w:sz w:val="20"/>
          <w:szCs w:val="20"/>
          <w:color w:val="auto"/>
        </w:rPr>
      </w:pPr>
    </w:p>
    <w:p>
      <w:pPr>
        <w:ind w:right="5260"/>
        <w:spacing w:after="0" w:line="407" w:lineRule="auto"/>
        <w:rPr>
          <w:sz w:val="20"/>
          <w:szCs w:val="20"/>
          <w:color w:val="auto"/>
        </w:rPr>
      </w:pPr>
      <w:r>
        <w:rPr>
          <w:rFonts w:ascii="Arial" w:cs="Arial" w:eastAsia="Arial" w:hAnsi="Arial"/>
          <w:sz w:val="18"/>
          <w:szCs w:val="18"/>
          <w:b w:val="1"/>
          <w:bCs w:val="1"/>
          <w:color w:val="auto"/>
        </w:rPr>
        <w:t xml:space="preserve">Nine Months Ended December 31, 2010 vs. Nine Months Ended January 1, 2010 </w:t>
      </w:r>
      <w:r>
        <w:rPr>
          <w:rFonts w:ascii="Arial" w:cs="Arial" w:eastAsia="Arial" w:hAnsi="Arial"/>
          <w:sz w:val="18"/>
          <w:szCs w:val="18"/>
          <w:i w:val="1"/>
          <w:iCs w:val="1"/>
          <w:color w:val="auto"/>
        </w:rPr>
        <w:t>Product revenues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4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Nine Months Ended</w:t>
            </w:r>
          </w:p>
        </w:tc>
        <w:tc>
          <w:tcPr>
            <w:tcW w:w="4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4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140" w:type="dxa"/>
            <w:vAlign w:val="bottom"/>
          </w:tcPr>
          <w:p>
            <w:pPr>
              <w:jc w:val="right"/>
              <w:ind w:right="62"/>
              <w:spacing w:after="0" w:line="119" w:lineRule="exact"/>
              <w:rPr>
                <w:sz w:val="20"/>
                <w:szCs w:val="20"/>
                <w:color w:val="auto"/>
              </w:rPr>
            </w:pPr>
            <w:r>
              <w:rPr>
                <w:rFonts w:ascii="Arial" w:cs="Arial" w:eastAsia="Arial" w:hAnsi="Arial"/>
                <w:sz w:val="13"/>
                <w:szCs w:val="13"/>
                <w:b w:val="1"/>
                <w:bCs w:val="1"/>
                <w:color w:val="auto"/>
              </w:rPr>
              <w:t>December 31,</w:t>
            </w:r>
          </w:p>
        </w:tc>
        <w:tc>
          <w:tcPr>
            <w:tcW w:w="480" w:type="dxa"/>
            <w:vAlign w:val="bottom"/>
          </w:tcPr>
          <w:p>
            <w:pPr>
              <w:spacing w:after="0"/>
              <w:rPr>
                <w:sz w:val="10"/>
                <w:szCs w:val="10"/>
                <w:color w:val="auto"/>
              </w:rPr>
            </w:pPr>
          </w:p>
        </w:tc>
        <w:tc>
          <w:tcPr>
            <w:tcW w:w="102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January 1,</w:t>
            </w:r>
          </w:p>
        </w:tc>
        <w:tc>
          <w:tcPr>
            <w:tcW w:w="480" w:type="dxa"/>
            <w:vAlign w:val="bottom"/>
          </w:tcPr>
          <w:p>
            <w:pPr>
              <w:spacing w:after="0"/>
              <w:rPr>
                <w:sz w:val="10"/>
                <w:szCs w:val="10"/>
                <w:color w:val="auto"/>
              </w:rPr>
            </w:pP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480" w:type="dxa"/>
            <w:vAlign w:val="bottom"/>
          </w:tcPr>
          <w:p>
            <w:pPr>
              <w:spacing w:after="0"/>
              <w:rPr>
                <w:sz w:val="10"/>
                <w:szCs w:val="10"/>
                <w:color w:val="auto"/>
              </w:rPr>
            </w:pP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700" w:type="dxa"/>
            <w:vAlign w:val="bottom"/>
            <w:gridSpan w:val="2"/>
            <w:vMerge w:val="continue"/>
          </w:tcPr>
          <w:p>
            <w:pPr>
              <w:spacing w:after="0"/>
              <w:rPr>
                <w:sz w:val="14"/>
                <w:szCs w:val="14"/>
                <w:color w:val="auto"/>
              </w:rPr>
            </w:pPr>
          </w:p>
        </w:tc>
        <w:tc>
          <w:tcPr>
            <w:tcW w:w="1140" w:type="dxa"/>
            <w:vAlign w:val="bottom"/>
          </w:tcPr>
          <w:p>
            <w:pPr>
              <w:jc w:val="right"/>
              <w:ind w:right="342"/>
              <w:spacing w:after="0"/>
              <w:rPr>
                <w:sz w:val="20"/>
                <w:szCs w:val="20"/>
                <w:color w:val="auto"/>
              </w:rPr>
            </w:pPr>
            <w:r>
              <w:rPr>
                <w:rFonts w:ascii="Arial" w:cs="Arial" w:eastAsia="Arial" w:hAnsi="Arial"/>
                <w:sz w:val="14"/>
                <w:szCs w:val="14"/>
                <w:b w:val="1"/>
                <w:bCs w:val="1"/>
                <w:color w:val="auto"/>
              </w:rPr>
              <w:t>2010</w:t>
            </w:r>
          </w:p>
        </w:tc>
        <w:tc>
          <w:tcPr>
            <w:tcW w:w="150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4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5"/>
        </w:trPr>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Product revenues</w:t>
            </w:r>
          </w:p>
        </w:tc>
        <w:tc>
          <w:tcPr>
            <w:tcW w:w="480" w:type="dxa"/>
            <w:vAlign w:val="bottom"/>
          </w:tcPr>
          <w:p>
            <w:pPr>
              <w:spacing w:after="0"/>
              <w:rPr>
                <w:sz w:val="16"/>
                <w:szCs w:val="16"/>
                <w:color w:val="auto"/>
              </w:rPr>
            </w:pPr>
          </w:p>
        </w:tc>
        <w:tc>
          <w:tcPr>
            <w:tcW w:w="1140" w:type="dxa"/>
            <w:vAlign w:val="bottom"/>
            <w:tcBorders>
              <w:top w:val="single" w:sz="8" w:color="auto"/>
            </w:tcBorders>
          </w:tcPr>
          <w:p>
            <w:pPr>
              <w:jc w:val="right"/>
              <w:ind w:right="282"/>
              <w:spacing w:after="0" w:line="195" w:lineRule="exact"/>
              <w:rPr>
                <w:sz w:val="20"/>
                <w:szCs w:val="20"/>
                <w:color w:val="auto"/>
              </w:rPr>
            </w:pPr>
            <w:r>
              <w:rPr>
                <w:rFonts w:ascii="Arial" w:cs="Arial" w:eastAsia="Arial" w:hAnsi="Arial"/>
                <w:sz w:val="18"/>
                <w:szCs w:val="18"/>
                <w:color w:val="auto"/>
              </w:rPr>
              <w:t>$379.0</w:t>
            </w:r>
          </w:p>
        </w:tc>
        <w:tc>
          <w:tcPr>
            <w:tcW w:w="480" w:type="dxa"/>
            <w:vAlign w:val="bottom"/>
          </w:tcPr>
          <w:p>
            <w:pPr>
              <w:spacing w:after="0"/>
              <w:rPr>
                <w:sz w:val="16"/>
                <w:szCs w:val="16"/>
                <w:color w:val="auto"/>
              </w:rPr>
            </w:pPr>
          </w:p>
        </w:tc>
        <w:tc>
          <w:tcPr>
            <w:tcW w:w="1020" w:type="dxa"/>
            <w:vAlign w:val="bottom"/>
            <w:tcBorders>
              <w:top w:val="single" w:sz="8" w:color="auto"/>
            </w:tcBorders>
          </w:tcPr>
          <w:p>
            <w:pPr>
              <w:jc w:val="right"/>
              <w:ind w:right="222"/>
              <w:spacing w:after="0" w:line="195" w:lineRule="exact"/>
              <w:rPr>
                <w:sz w:val="20"/>
                <w:szCs w:val="20"/>
                <w:color w:val="auto"/>
              </w:rPr>
            </w:pPr>
            <w:r>
              <w:rPr>
                <w:rFonts w:ascii="Arial" w:cs="Arial" w:eastAsia="Arial" w:hAnsi="Arial"/>
                <w:sz w:val="18"/>
                <w:szCs w:val="18"/>
                <w:color w:val="auto"/>
              </w:rPr>
              <w:t>$437.9</w:t>
            </w:r>
          </w:p>
        </w:tc>
        <w:tc>
          <w:tcPr>
            <w:tcW w:w="480" w:type="dxa"/>
            <w:vAlign w:val="bottom"/>
          </w:tcPr>
          <w:p>
            <w:pPr>
              <w:spacing w:after="0"/>
              <w:rPr>
                <w:sz w:val="16"/>
                <w:szCs w:val="16"/>
                <w:color w:val="auto"/>
              </w:rPr>
            </w:pPr>
          </w:p>
        </w:tc>
        <w:tc>
          <w:tcPr>
            <w:tcW w:w="10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$(58.9)</w:t>
            </w:r>
          </w:p>
        </w:tc>
        <w:tc>
          <w:tcPr>
            <w:tcW w:w="480" w:type="dxa"/>
            <w:vAlign w:val="bottom"/>
          </w:tcPr>
          <w:p>
            <w:pPr>
              <w:spacing w:after="0"/>
              <w:rPr>
                <w:sz w:val="16"/>
                <w:szCs w:val="16"/>
                <w:color w:val="auto"/>
              </w:rPr>
            </w:pPr>
          </w:p>
        </w:tc>
        <w:tc>
          <w:tcPr>
            <w:tcW w:w="1060" w:type="dxa"/>
            <w:vAlign w:val="bottom"/>
            <w:tcBorders>
              <w:top w:val="single" w:sz="8" w:color="auto"/>
            </w:tcBorders>
          </w:tcPr>
          <w:p>
            <w:pPr>
              <w:jc w:val="right"/>
              <w:ind w:right="45"/>
              <w:spacing w:after="0" w:line="195"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Percentage of total revenues</w:t>
            </w:r>
          </w:p>
        </w:tc>
        <w:tc>
          <w:tcPr>
            <w:tcW w:w="1140" w:type="dxa"/>
            <w:vAlign w:val="bottom"/>
          </w:tcPr>
          <w:p>
            <w:pPr>
              <w:jc w:val="right"/>
              <w:ind w:right="142"/>
              <w:spacing w:after="0"/>
              <w:rPr>
                <w:sz w:val="20"/>
                <w:szCs w:val="20"/>
                <w:color w:val="auto"/>
              </w:rPr>
            </w:pPr>
            <w:r>
              <w:rPr>
                <w:rFonts w:ascii="Arial" w:cs="Arial" w:eastAsia="Arial" w:hAnsi="Arial"/>
                <w:sz w:val="18"/>
                <w:szCs w:val="18"/>
                <w:color w:val="auto"/>
              </w:rPr>
              <w:t>64.7%</w:t>
            </w:r>
          </w:p>
        </w:tc>
        <w:tc>
          <w:tcPr>
            <w:tcW w:w="1500" w:type="dxa"/>
            <w:vAlign w:val="bottom"/>
            <w:gridSpan w:val="2"/>
          </w:tcPr>
          <w:p>
            <w:pPr>
              <w:jc w:val="right"/>
              <w:ind w:right="82"/>
              <w:spacing w:after="0"/>
              <w:rPr>
                <w:sz w:val="20"/>
                <w:szCs w:val="20"/>
                <w:color w:val="auto"/>
              </w:rPr>
            </w:pPr>
            <w:r>
              <w:rPr>
                <w:rFonts w:ascii="Arial" w:cs="Arial" w:eastAsia="Arial" w:hAnsi="Arial"/>
                <w:sz w:val="18"/>
                <w:szCs w:val="18"/>
                <w:color w:val="auto"/>
              </w:rPr>
              <w:t>92.1%</w:t>
            </w: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firstLine="225"/>
        <w:spacing w:after="0" w:line="273" w:lineRule="auto"/>
        <w:rPr>
          <w:sz w:val="20"/>
          <w:szCs w:val="20"/>
          <w:color w:val="auto"/>
        </w:rPr>
      </w:pPr>
      <w:r>
        <w:rPr>
          <w:rFonts w:ascii="Arial" w:cs="Arial" w:eastAsia="Arial" w:hAnsi="Arial"/>
          <w:sz w:val="17"/>
          <w:szCs w:val="17"/>
          <w:color w:val="auto"/>
        </w:rPr>
        <w:t>During the first nine months of fiscal year 2011 compared to the same period last fiscal year, product revenues decreased from $437.9 million to $379.0 million. The product revenue decline was primarily due to lower enterprise VSAT networks and products sales of $25.3 million, lower consumer broadband product sales of $22.5 million and $7.7 million in satellite networking technology development programs products. Our government systems segment also experienced revenue reductions as tactical data link products revenues decreased by $14.7 million and information assurance products revenues decreased by $6.9 million. These decreases were offset by higher product sales of $11.6 million in antenna systems products, $6.3 million in government satellite communication systems and $5.5 million in next-generation broadband equipment development programs.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0" w:type="dxa"/>
            <w:vAlign w:val="bottom"/>
            <w:tcBorders>
              <w:bottom w:val="single" w:sz="8" w:color="auto"/>
            </w:tcBorders>
            <w:gridSpan w:val="3"/>
          </w:tcPr>
          <w:p>
            <w:pPr>
              <w:jc w:val="right"/>
              <w:ind w:right="602"/>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4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140" w:type="dxa"/>
            <w:vAlign w:val="bottom"/>
          </w:tcPr>
          <w:p>
            <w:pPr>
              <w:jc w:val="right"/>
              <w:ind w:right="82"/>
              <w:spacing w:after="0" w:line="119" w:lineRule="exact"/>
              <w:rPr>
                <w:sz w:val="20"/>
                <w:szCs w:val="20"/>
                <w:color w:val="auto"/>
              </w:rPr>
            </w:pPr>
            <w:r>
              <w:rPr>
                <w:rFonts w:ascii="Arial" w:cs="Arial" w:eastAsia="Arial" w:hAnsi="Arial"/>
                <w:sz w:val="13"/>
                <w:szCs w:val="13"/>
                <w:b w:val="1"/>
                <w:bCs w:val="1"/>
                <w:color w:val="auto"/>
              </w:rPr>
              <w:t>December 31,</w:t>
            </w:r>
          </w:p>
        </w:tc>
        <w:tc>
          <w:tcPr>
            <w:tcW w:w="460" w:type="dxa"/>
            <w:vAlign w:val="bottom"/>
          </w:tcPr>
          <w:p>
            <w:pPr>
              <w:spacing w:after="0"/>
              <w:rPr>
                <w:sz w:val="10"/>
                <w:szCs w:val="10"/>
                <w:color w:val="auto"/>
              </w:rPr>
            </w:pPr>
          </w:p>
        </w:tc>
        <w:tc>
          <w:tcPr>
            <w:tcW w:w="1000" w:type="dxa"/>
            <w:vAlign w:val="bottom"/>
          </w:tcPr>
          <w:p>
            <w:pPr>
              <w:jc w:val="right"/>
              <w:ind w:right="82"/>
              <w:spacing w:after="0" w:line="119" w:lineRule="exact"/>
              <w:rPr>
                <w:sz w:val="20"/>
                <w:szCs w:val="20"/>
                <w:color w:val="auto"/>
              </w:rPr>
            </w:pPr>
            <w:r>
              <w:rPr>
                <w:rFonts w:ascii="Arial" w:cs="Arial" w:eastAsia="Arial" w:hAnsi="Arial"/>
                <w:sz w:val="13"/>
                <w:szCs w:val="13"/>
                <w:b w:val="1"/>
                <w:bCs w:val="1"/>
                <w:color w:val="auto"/>
              </w:rPr>
              <w:t>January 1,</w:t>
            </w:r>
          </w:p>
        </w:tc>
        <w:tc>
          <w:tcPr>
            <w:tcW w:w="50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48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680" w:type="dxa"/>
            <w:vAlign w:val="bottom"/>
            <w:gridSpan w:val="2"/>
            <w:vMerge w:val="continue"/>
          </w:tcPr>
          <w:p>
            <w:pPr>
              <w:spacing w:after="0"/>
              <w:rPr>
                <w:sz w:val="14"/>
                <w:szCs w:val="14"/>
                <w:color w:val="auto"/>
              </w:rPr>
            </w:pPr>
          </w:p>
        </w:tc>
        <w:tc>
          <w:tcPr>
            <w:tcW w:w="1140" w:type="dxa"/>
            <w:vAlign w:val="bottom"/>
          </w:tcPr>
          <w:p>
            <w:pPr>
              <w:jc w:val="right"/>
              <w:ind w:right="342"/>
              <w:spacing w:after="0"/>
              <w:rPr>
                <w:sz w:val="20"/>
                <w:szCs w:val="20"/>
                <w:color w:val="auto"/>
              </w:rPr>
            </w:pPr>
            <w:r>
              <w:rPr>
                <w:rFonts w:ascii="Arial" w:cs="Arial" w:eastAsia="Arial" w:hAnsi="Arial"/>
                <w:sz w:val="14"/>
                <w:szCs w:val="14"/>
                <w:b w:val="1"/>
                <w:bCs w:val="1"/>
                <w:color w:val="auto"/>
              </w:rPr>
              <w:t>2010</w:t>
            </w:r>
          </w:p>
        </w:tc>
        <w:tc>
          <w:tcPr>
            <w:tcW w:w="146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4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5"/>
        </w:trPr>
        <w:tc>
          <w:tcPr>
            <w:tcW w:w="5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Service revenues</w:t>
            </w:r>
          </w:p>
        </w:tc>
        <w:tc>
          <w:tcPr>
            <w:tcW w:w="480" w:type="dxa"/>
            <w:vAlign w:val="bottom"/>
          </w:tcPr>
          <w:p>
            <w:pPr>
              <w:spacing w:after="0"/>
              <w:rPr>
                <w:sz w:val="16"/>
                <w:szCs w:val="16"/>
                <w:color w:val="auto"/>
              </w:rPr>
            </w:pPr>
          </w:p>
        </w:tc>
        <w:tc>
          <w:tcPr>
            <w:tcW w:w="1140" w:type="dxa"/>
            <w:vAlign w:val="bottom"/>
            <w:tcBorders>
              <w:top w:val="single" w:sz="8" w:color="auto"/>
            </w:tcBorders>
          </w:tcPr>
          <w:p>
            <w:pPr>
              <w:jc w:val="right"/>
              <w:ind w:right="282"/>
              <w:spacing w:after="0" w:line="195" w:lineRule="exact"/>
              <w:rPr>
                <w:sz w:val="20"/>
                <w:szCs w:val="20"/>
                <w:color w:val="auto"/>
              </w:rPr>
            </w:pPr>
            <w:r>
              <w:rPr>
                <w:rFonts w:ascii="Arial" w:cs="Arial" w:eastAsia="Arial" w:hAnsi="Arial"/>
                <w:sz w:val="18"/>
                <w:szCs w:val="18"/>
                <w:color w:val="auto"/>
              </w:rPr>
              <w:t>$206.8</w:t>
            </w:r>
          </w:p>
        </w:tc>
        <w:tc>
          <w:tcPr>
            <w:tcW w:w="460" w:type="dxa"/>
            <w:vAlign w:val="bottom"/>
          </w:tcPr>
          <w:p>
            <w:pPr>
              <w:spacing w:after="0"/>
              <w:rPr>
                <w:sz w:val="16"/>
                <w:szCs w:val="16"/>
                <w:color w:val="auto"/>
              </w:rPr>
            </w:pPr>
          </w:p>
        </w:tc>
        <w:tc>
          <w:tcPr>
            <w:tcW w:w="10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$37.5</w:t>
            </w:r>
          </w:p>
        </w:tc>
        <w:tc>
          <w:tcPr>
            <w:tcW w:w="500" w:type="dxa"/>
            <w:vAlign w:val="bottom"/>
          </w:tcPr>
          <w:p>
            <w:pPr>
              <w:spacing w:after="0"/>
              <w:rPr>
                <w:sz w:val="16"/>
                <w:szCs w:val="16"/>
                <w:color w:val="auto"/>
              </w:rPr>
            </w:pPr>
          </w:p>
        </w:tc>
        <w:tc>
          <w:tcPr>
            <w:tcW w:w="1080" w:type="dxa"/>
            <w:vAlign w:val="bottom"/>
            <w:tcBorders>
              <w:top w:val="single" w:sz="8" w:color="auto"/>
            </w:tcBorders>
          </w:tcPr>
          <w:p>
            <w:pPr>
              <w:jc w:val="right"/>
              <w:ind w:right="265"/>
              <w:spacing w:after="0" w:line="195" w:lineRule="exact"/>
              <w:rPr>
                <w:sz w:val="20"/>
                <w:szCs w:val="20"/>
                <w:color w:val="auto"/>
              </w:rPr>
            </w:pPr>
            <w:r>
              <w:rPr>
                <w:rFonts w:ascii="Arial" w:cs="Arial" w:eastAsia="Arial" w:hAnsi="Arial"/>
                <w:sz w:val="18"/>
                <w:szCs w:val="18"/>
                <w:color w:val="auto"/>
              </w:rPr>
              <w:t>$169.3</w:t>
            </w:r>
          </w:p>
        </w:tc>
        <w:tc>
          <w:tcPr>
            <w:tcW w:w="480" w:type="dxa"/>
            <w:vAlign w:val="bottom"/>
          </w:tcPr>
          <w:p>
            <w:pPr>
              <w:spacing w:after="0"/>
              <w:rPr>
                <w:sz w:val="16"/>
                <w:szCs w:val="16"/>
                <w:color w:val="auto"/>
              </w:rPr>
            </w:pPr>
          </w:p>
        </w:tc>
        <w:tc>
          <w:tcPr>
            <w:tcW w:w="108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450.8%</w:t>
            </w: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Percentage of total revenues</w:t>
            </w:r>
          </w:p>
        </w:tc>
        <w:tc>
          <w:tcPr>
            <w:tcW w:w="1140" w:type="dxa"/>
            <w:vAlign w:val="bottom"/>
          </w:tcPr>
          <w:p>
            <w:pPr>
              <w:jc w:val="right"/>
              <w:ind w:right="142"/>
              <w:spacing w:after="0"/>
              <w:rPr>
                <w:sz w:val="20"/>
                <w:szCs w:val="20"/>
                <w:color w:val="auto"/>
              </w:rPr>
            </w:pPr>
            <w:r>
              <w:rPr>
                <w:rFonts w:ascii="Arial" w:cs="Arial" w:eastAsia="Arial" w:hAnsi="Arial"/>
                <w:sz w:val="18"/>
                <w:szCs w:val="18"/>
                <w:color w:val="auto"/>
              </w:rPr>
              <w:t>35.3%</w:t>
            </w:r>
          </w:p>
        </w:tc>
        <w:tc>
          <w:tcPr>
            <w:tcW w:w="1460" w:type="dxa"/>
            <w:vAlign w:val="bottom"/>
            <w:gridSpan w:val="2"/>
          </w:tcPr>
          <w:p>
            <w:pPr>
              <w:jc w:val="right"/>
              <w:ind w:right="102"/>
              <w:spacing w:after="0"/>
              <w:rPr>
                <w:sz w:val="20"/>
                <w:szCs w:val="20"/>
                <w:color w:val="auto"/>
              </w:rPr>
            </w:pPr>
            <w:r>
              <w:rPr>
                <w:rFonts w:ascii="Arial" w:cs="Arial" w:eastAsia="Arial" w:hAnsi="Arial"/>
                <w:sz w:val="18"/>
                <w:szCs w:val="18"/>
                <w:color w:val="auto"/>
              </w:rPr>
              <w:t>7.9%</w:t>
            </w: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Service revenues increased from $37.5 million to $206.8 million during the first nine months of fiscal year 2011 compared to the first nine months of fiscal year 2010, primarily due to our acquisition of WildBlue in December 2009, which contributed an increase in service revenues of $152.1 million in the first nine months of fiscal year 2011 compared to the same period last fiscal year. The remaining service revenue increases were driven by growth in government satellite communication systems services of $10.0 million, $2.4 million from mobile broadband services and $4.8 million spread across various other defense and commercial services.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4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Nine Months Ended</w:t>
            </w:r>
          </w:p>
        </w:tc>
        <w:tc>
          <w:tcPr>
            <w:tcW w:w="4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4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140" w:type="dxa"/>
            <w:vAlign w:val="bottom"/>
          </w:tcPr>
          <w:p>
            <w:pPr>
              <w:jc w:val="right"/>
              <w:ind w:right="62"/>
              <w:spacing w:after="0" w:line="119" w:lineRule="exact"/>
              <w:rPr>
                <w:sz w:val="20"/>
                <w:szCs w:val="20"/>
                <w:color w:val="auto"/>
              </w:rPr>
            </w:pPr>
            <w:r>
              <w:rPr>
                <w:rFonts w:ascii="Arial" w:cs="Arial" w:eastAsia="Arial" w:hAnsi="Arial"/>
                <w:sz w:val="13"/>
                <w:szCs w:val="13"/>
                <w:b w:val="1"/>
                <w:bCs w:val="1"/>
                <w:color w:val="auto"/>
              </w:rPr>
              <w:t>December 31,</w:t>
            </w:r>
          </w:p>
        </w:tc>
        <w:tc>
          <w:tcPr>
            <w:tcW w:w="480" w:type="dxa"/>
            <w:vAlign w:val="bottom"/>
          </w:tcPr>
          <w:p>
            <w:pPr>
              <w:spacing w:after="0"/>
              <w:rPr>
                <w:sz w:val="10"/>
                <w:szCs w:val="10"/>
                <w:color w:val="auto"/>
              </w:rPr>
            </w:pPr>
          </w:p>
        </w:tc>
        <w:tc>
          <w:tcPr>
            <w:tcW w:w="102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January 1,</w:t>
            </w:r>
          </w:p>
        </w:tc>
        <w:tc>
          <w:tcPr>
            <w:tcW w:w="480" w:type="dxa"/>
            <w:vAlign w:val="bottom"/>
          </w:tcPr>
          <w:p>
            <w:pPr>
              <w:spacing w:after="0"/>
              <w:rPr>
                <w:sz w:val="10"/>
                <w:szCs w:val="10"/>
                <w:color w:val="auto"/>
              </w:rPr>
            </w:pP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480" w:type="dxa"/>
            <w:vAlign w:val="bottom"/>
          </w:tcPr>
          <w:p>
            <w:pPr>
              <w:spacing w:after="0"/>
              <w:rPr>
                <w:sz w:val="10"/>
                <w:szCs w:val="10"/>
                <w:color w:val="auto"/>
              </w:rPr>
            </w:pP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700" w:type="dxa"/>
            <w:vAlign w:val="bottom"/>
            <w:gridSpan w:val="2"/>
            <w:vMerge w:val="continue"/>
          </w:tcPr>
          <w:p>
            <w:pPr>
              <w:spacing w:after="0"/>
              <w:rPr>
                <w:sz w:val="14"/>
                <w:szCs w:val="14"/>
                <w:color w:val="auto"/>
              </w:rPr>
            </w:pPr>
          </w:p>
        </w:tc>
        <w:tc>
          <w:tcPr>
            <w:tcW w:w="1140" w:type="dxa"/>
            <w:vAlign w:val="bottom"/>
          </w:tcPr>
          <w:p>
            <w:pPr>
              <w:jc w:val="right"/>
              <w:ind w:right="342"/>
              <w:spacing w:after="0"/>
              <w:rPr>
                <w:sz w:val="20"/>
                <w:szCs w:val="20"/>
                <w:color w:val="auto"/>
              </w:rPr>
            </w:pPr>
            <w:r>
              <w:rPr>
                <w:rFonts w:ascii="Arial" w:cs="Arial" w:eastAsia="Arial" w:hAnsi="Arial"/>
                <w:sz w:val="14"/>
                <w:szCs w:val="14"/>
                <w:b w:val="1"/>
                <w:bCs w:val="1"/>
                <w:color w:val="auto"/>
              </w:rPr>
              <w:t>2010</w:t>
            </w:r>
          </w:p>
        </w:tc>
        <w:tc>
          <w:tcPr>
            <w:tcW w:w="150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4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5"/>
        </w:trPr>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Cost of product revenues</w:t>
            </w:r>
          </w:p>
        </w:tc>
        <w:tc>
          <w:tcPr>
            <w:tcW w:w="480" w:type="dxa"/>
            <w:vAlign w:val="bottom"/>
          </w:tcPr>
          <w:p>
            <w:pPr>
              <w:spacing w:after="0"/>
              <w:rPr>
                <w:sz w:val="16"/>
                <w:szCs w:val="16"/>
                <w:color w:val="auto"/>
              </w:rPr>
            </w:pPr>
          </w:p>
        </w:tc>
        <w:tc>
          <w:tcPr>
            <w:tcW w:w="1140" w:type="dxa"/>
            <w:vAlign w:val="bottom"/>
            <w:tcBorders>
              <w:top w:val="single" w:sz="8" w:color="auto"/>
            </w:tcBorders>
          </w:tcPr>
          <w:p>
            <w:pPr>
              <w:jc w:val="right"/>
              <w:ind w:right="282"/>
              <w:spacing w:after="0" w:line="195" w:lineRule="exact"/>
              <w:rPr>
                <w:sz w:val="20"/>
                <w:szCs w:val="20"/>
                <w:color w:val="auto"/>
              </w:rPr>
            </w:pPr>
            <w:r>
              <w:rPr>
                <w:rFonts w:ascii="Arial" w:cs="Arial" w:eastAsia="Arial" w:hAnsi="Arial"/>
                <w:sz w:val="18"/>
                <w:szCs w:val="18"/>
                <w:color w:val="auto"/>
              </w:rPr>
              <w:t>$278.2</w:t>
            </w:r>
          </w:p>
        </w:tc>
        <w:tc>
          <w:tcPr>
            <w:tcW w:w="480" w:type="dxa"/>
            <w:vAlign w:val="bottom"/>
          </w:tcPr>
          <w:p>
            <w:pPr>
              <w:spacing w:after="0"/>
              <w:rPr>
                <w:sz w:val="16"/>
                <w:szCs w:val="16"/>
                <w:color w:val="auto"/>
              </w:rPr>
            </w:pPr>
          </w:p>
        </w:tc>
        <w:tc>
          <w:tcPr>
            <w:tcW w:w="1020" w:type="dxa"/>
            <w:vAlign w:val="bottom"/>
            <w:tcBorders>
              <w:top w:val="single" w:sz="8" w:color="auto"/>
            </w:tcBorders>
          </w:tcPr>
          <w:p>
            <w:pPr>
              <w:jc w:val="right"/>
              <w:ind w:right="222"/>
              <w:spacing w:after="0" w:line="195" w:lineRule="exact"/>
              <w:rPr>
                <w:sz w:val="20"/>
                <w:szCs w:val="20"/>
                <w:color w:val="auto"/>
              </w:rPr>
            </w:pPr>
            <w:r>
              <w:rPr>
                <w:rFonts w:ascii="Arial" w:cs="Arial" w:eastAsia="Arial" w:hAnsi="Arial"/>
                <w:sz w:val="18"/>
                <w:szCs w:val="18"/>
                <w:color w:val="auto"/>
              </w:rPr>
              <w:t>$309.1</w:t>
            </w:r>
          </w:p>
        </w:tc>
        <w:tc>
          <w:tcPr>
            <w:tcW w:w="480" w:type="dxa"/>
            <w:vAlign w:val="bottom"/>
          </w:tcPr>
          <w:p>
            <w:pPr>
              <w:spacing w:after="0"/>
              <w:rPr>
                <w:sz w:val="16"/>
                <w:szCs w:val="16"/>
                <w:color w:val="auto"/>
              </w:rPr>
            </w:pPr>
          </w:p>
        </w:tc>
        <w:tc>
          <w:tcPr>
            <w:tcW w:w="10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$(30.9)</w:t>
            </w:r>
          </w:p>
        </w:tc>
        <w:tc>
          <w:tcPr>
            <w:tcW w:w="480" w:type="dxa"/>
            <w:vAlign w:val="bottom"/>
          </w:tcPr>
          <w:p>
            <w:pPr>
              <w:spacing w:after="0"/>
              <w:rPr>
                <w:sz w:val="16"/>
                <w:szCs w:val="16"/>
                <w:color w:val="auto"/>
              </w:rPr>
            </w:pPr>
          </w:p>
        </w:tc>
        <w:tc>
          <w:tcPr>
            <w:tcW w:w="1060" w:type="dxa"/>
            <w:vAlign w:val="bottom"/>
            <w:tcBorders>
              <w:top w:val="single" w:sz="8" w:color="auto"/>
            </w:tcBorders>
          </w:tcPr>
          <w:p>
            <w:pPr>
              <w:jc w:val="right"/>
              <w:ind w:right="45"/>
              <w:spacing w:after="0" w:line="195"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Percentage of product revenues</w:t>
            </w:r>
          </w:p>
        </w:tc>
        <w:tc>
          <w:tcPr>
            <w:tcW w:w="1140" w:type="dxa"/>
            <w:vAlign w:val="bottom"/>
          </w:tcPr>
          <w:p>
            <w:pPr>
              <w:jc w:val="right"/>
              <w:ind w:right="142"/>
              <w:spacing w:after="0"/>
              <w:rPr>
                <w:sz w:val="20"/>
                <w:szCs w:val="20"/>
                <w:color w:val="auto"/>
              </w:rPr>
            </w:pPr>
            <w:r>
              <w:rPr>
                <w:rFonts w:ascii="Arial" w:cs="Arial" w:eastAsia="Arial" w:hAnsi="Arial"/>
                <w:sz w:val="18"/>
                <w:szCs w:val="18"/>
                <w:color w:val="auto"/>
              </w:rPr>
              <w:t>73.4%</w:t>
            </w:r>
          </w:p>
        </w:tc>
        <w:tc>
          <w:tcPr>
            <w:tcW w:w="1500" w:type="dxa"/>
            <w:vAlign w:val="bottom"/>
            <w:gridSpan w:val="2"/>
          </w:tcPr>
          <w:p>
            <w:pPr>
              <w:jc w:val="right"/>
              <w:ind w:right="82"/>
              <w:spacing w:after="0"/>
              <w:rPr>
                <w:sz w:val="20"/>
                <w:szCs w:val="20"/>
                <w:color w:val="auto"/>
              </w:rPr>
            </w:pPr>
            <w:r>
              <w:rPr>
                <w:rFonts w:ascii="Arial" w:cs="Arial" w:eastAsia="Arial" w:hAnsi="Arial"/>
                <w:sz w:val="18"/>
                <w:szCs w:val="18"/>
                <w:color w:val="auto"/>
              </w:rPr>
              <w:t>70.6%</w:t>
            </w: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20" w:firstLine="225"/>
        <w:spacing w:after="0" w:line="276" w:lineRule="auto"/>
        <w:rPr>
          <w:sz w:val="20"/>
          <w:szCs w:val="20"/>
          <w:color w:val="auto"/>
        </w:rPr>
      </w:pPr>
      <w:r>
        <w:rPr>
          <w:rFonts w:ascii="Arial" w:cs="Arial" w:eastAsia="Arial" w:hAnsi="Arial"/>
          <w:sz w:val="17"/>
          <w:szCs w:val="17"/>
          <w:color w:val="auto"/>
        </w:rPr>
        <w:t>Cost of product revenues decreased from $309.1 million to $278.2 million during the first nine months of fiscal year 2011 compared to the first nine months of fiscal year 2010 primarily due to decreased product revenues, which caused a decrease of approximately $41.6 million in cost of product revenues (on a constant margin basis), offset by an increase in cost of product revenues of $8.5 million due to an additional program forward loss in our government systems segment for a government satellite communication program recorded in the first quarter of fiscal year 2011, as discussed below, and an additional increase in cost of product revenues of $2.2 million spread across various other defense and commercial products.</w:t>
      </w:r>
    </w:p>
    <w:p>
      <w:pPr>
        <w:spacing w:after="0" w:line="64" w:lineRule="exact"/>
        <w:rPr>
          <w:sz w:val="20"/>
          <w:szCs w:val="20"/>
          <w:color w:val="auto"/>
        </w:rPr>
      </w:pPr>
    </w:p>
    <w:p>
      <w:pPr>
        <w:ind w:right="100" w:firstLine="225"/>
        <w:spacing w:after="0" w:line="290" w:lineRule="auto"/>
        <w:rPr>
          <w:sz w:val="20"/>
          <w:szCs w:val="20"/>
          <w:color w:val="auto"/>
        </w:rPr>
      </w:pPr>
      <w:r>
        <w:rPr>
          <w:rFonts w:ascii="Arial" w:cs="Arial" w:eastAsia="Arial" w:hAnsi="Arial"/>
          <w:sz w:val="16"/>
          <w:szCs w:val="16"/>
          <w:color w:val="auto"/>
        </w:rPr>
        <w:t>In June 2010, we performed extensive integration testing of numerous system components that had been separately developed as part of a government satellite communication program. As a result of this testing and subsequent internal reviews and analyses, we determined that significant additional rework was required in order to complete the program requirements and specifications and to prepare for a scheduled customer test in our fiscal second quarter. This additional rework and engineering effort resulted in a substantial increase in estimated labor and material costs to complete the program. Accordingly, during the first quarter of fiscal year 2011, we recorded an additional forward loss of $8.5 million related to this estimate of program costs. While we believe the additional forward loss is adequate to cover known risks to date and that steps taken to improve the program performance will be effective, the program is on going and our efforts and the end results must be satisfactory to the customer. We believe that our estimate of costs to complete the program is appropriate based on known information, but cannot provide absolute assurance that additional costs will not be incurred.</w:t>
      </w:r>
    </w:p>
    <w:p>
      <w:pPr>
        <w:spacing w:after="0" w:line="58"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Cost of product revenues may fluctuate in future periods depending on the mix of products sold, competition, new product introduction costs and other factors.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service 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20" w:type="dxa"/>
            <w:vAlign w:val="bottom"/>
            <w:tcBorders>
              <w:bottom w:val="single" w:sz="8" w:color="auto"/>
            </w:tcBorders>
            <w:gridSpan w:val="3"/>
          </w:tcPr>
          <w:p>
            <w:pPr>
              <w:jc w:val="right"/>
              <w:ind w:right="602"/>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4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140" w:type="dxa"/>
            <w:vAlign w:val="bottom"/>
          </w:tcPr>
          <w:p>
            <w:pPr>
              <w:jc w:val="right"/>
              <w:ind w:right="62"/>
              <w:spacing w:after="0" w:line="119" w:lineRule="exact"/>
              <w:rPr>
                <w:sz w:val="20"/>
                <w:szCs w:val="20"/>
                <w:color w:val="auto"/>
              </w:rPr>
            </w:pPr>
            <w:r>
              <w:rPr>
                <w:rFonts w:ascii="Arial" w:cs="Arial" w:eastAsia="Arial" w:hAnsi="Arial"/>
                <w:sz w:val="13"/>
                <w:szCs w:val="13"/>
                <w:b w:val="1"/>
                <w:bCs w:val="1"/>
                <w:color w:val="auto"/>
              </w:rPr>
              <w:t>December 31,</w:t>
            </w:r>
          </w:p>
        </w:tc>
        <w:tc>
          <w:tcPr>
            <w:tcW w:w="480" w:type="dxa"/>
            <w:vAlign w:val="bottom"/>
          </w:tcPr>
          <w:p>
            <w:pPr>
              <w:spacing w:after="0"/>
              <w:rPr>
                <w:sz w:val="10"/>
                <w:szCs w:val="10"/>
                <w:color w:val="auto"/>
              </w:rPr>
            </w:pPr>
          </w:p>
        </w:tc>
        <w:tc>
          <w:tcPr>
            <w:tcW w:w="1000" w:type="dxa"/>
            <w:vAlign w:val="bottom"/>
          </w:tcPr>
          <w:p>
            <w:pPr>
              <w:jc w:val="right"/>
              <w:ind w:right="82"/>
              <w:spacing w:after="0" w:line="119" w:lineRule="exact"/>
              <w:rPr>
                <w:sz w:val="20"/>
                <w:szCs w:val="20"/>
                <w:color w:val="auto"/>
              </w:rPr>
            </w:pPr>
            <w:r>
              <w:rPr>
                <w:rFonts w:ascii="Arial" w:cs="Arial" w:eastAsia="Arial" w:hAnsi="Arial"/>
                <w:sz w:val="13"/>
                <w:szCs w:val="13"/>
                <w:b w:val="1"/>
                <w:bCs w:val="1"/>
                <w:color w:val="auto"/>
              </w:rPr>
              <w:t>January 1,</w:t>
            </w:r>
          </w:p>
        </w:tc>
        <w:tc>
          <w:tcPr>
            <w:tcW w:w="50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48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740" w:type="dxa"/>
            <w:vAlign w:val="bottom"/>
            <w:gridSpan w:val="2"/>
            <w:vMerge w:val="continue"/>
          </w:tcPr>
          <w:p>
            <w:pPr>
              <w:spacing w:after="0"/>
              <w:rPr>
                <w:sz w:val="14"/>
                <w:szCs w:val="14"/>
                <w:color w:val="auto"/>
              </w:rPr>
            </w:pPr>
          </w:p>
        </w:tc>
        <w:tc>
          <w:tcPr>
            <w:tcW w:w="1140" w:type="dxa"/>
            <w:vAlign w:val="bottom"/>
          </w:tcPr>
          <w:p>
            <w:pPr>
              <w:jc w:val="right"/>
              <w:ind w:right="342"/>
              <w:spacing w:after="0"/>
              <w:rPr>
                <w:sz w:val="20"/>
                <w:szCs w:val="20"/>
                <w:color w:val="auto"/>
              </w:rPr>
            </w:pPr>
            <w:r>
              <w:rPr>
                <w:rFonts w:ascii="Arial" w:cs="Arial" w:eastAsia="Arial" w:hAnsi="Arial"/>
                <w:sz w:val="14"/>
                <w:szCs w:val="14"/>
                <w:b w:val="1"/>
                <w:bCs w:val="1"/>
                <w:color w:val="auto"/>
              </w:rPr>
              <w:t>2010</w:t>
            </w:r>
          </w:p>
        </w:tc>
        <w:tc>
          <w:tcPr>
            <w:tcW w:w="148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4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5"/>
        </w:trPr>
        <w:tc>
          <w:tcPr>
            <w:tcW w:w="5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Cost of service revenues</w:t>
            </w:r>
          </w:p>
        </w:tc>
        <w:tc>
          <w:tcPr>
            <w:tcW w:w="480" w:type="dxa"/>
            <w:vAlign w:val="bottom"/>
          </w:tcPr>
          <w:p>
            <w:pPr>
              <w:spacing w:after="0"/>
              <w:rPr>
                <w:sz w:val="16"/>
                <w:szCs w:val="16"/>
                <w:color w:val="auto"/>
              </w:rPr>
            </w:pPr>
          </w:p>
        </w:tc>
        <w:tc>
          <w:tcPr>
            <w:tcW w:w="1140" w:type="dxa"/>
            <w:vAlign w:val="bottom"/>
            <w:tcBorders>
              <w:top w:val="single" w:sz="8" w:color="auto"/>
            </w:tcBorders>
          </w:tcPr>
          <w:p>
            <w:pPr>
              <w:jc w:val="right"/>
              <w:ind w:right="282"/>
              <w:spacing w:after="0" w:line="195" w:lineRule="exact"/>
              <w:rPr>
                <w:sz w:val="20"/>
                <w:szCs w:val="20"/>
                <w:color w:val="auto"/>
              </w:rPr>
            </w:pPr>
            <w:r>
              <w:rPr>
                <w:rFonts w:ascii="Arial" w:cs="Arial" w:eastAsia="Arial" w:hAnsi="Arial"/>
                <w:sz w:val="18"/>
                <w:szCs w:val="18"/>
                <w:color w:val="auto"/>
              </w:rPr>
              <w:t>$122.7</w:t>
            </w:r>
          </w:p>
        </w:tc>
        <w:tc>
          <w:tcPr>
            <w:tcW w:w="480" w:type="dxa"/>
            <w:vAlign w:val="bottom"/>
          </w:tcPr>
          <w:p>
            <w:pPr>
              <w:spacing w:after="0"/>
              <w:rPr>
                <w:sz w:val="16"/>
                <w:szCs w:val="16"/>
                <w:color w:val="auto"/>
              </w:rPr>
            </w:pPr>
          </w:p>
        </w:tc>
        <w:tc>
          <w:tcPr>
            <w:tcW w:w="100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$24.6</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65"/>
              <w:spacing w:after="0" w:line="195" w:lineRule="exact"/>
              <w:rPr>
                <w:sz w:val="20"/>
                <w:szCs w:val="20"/>
                <w:color w:val="auto"/>
              </w:rPr>
            </w:pPr>
            <w:r>
              <w:rPr>
                <w:rFonts w:ascii="Arial" w:cs="Arial" w:eastAsia="Arial" w:hAnsi="Arial"/>
                <w:sz w:val="18"/>
                <w:szCs w:val="18"/>
                <w:color w:val="auto"/>
              </w:rPr>
              <w:t>$98.1</w:t>
            </w:r>
          </w:p>
        </w:tc>
        <w:tc>
          <w:tcPr>
            <w:tcW w:w="480" w:type="dxa"/>
            <w:vAlign w:val="bottom"/>
          </w:tcPr>
          <w:p>
            <w:pPr>
              <w:spacing w:after="0"/>
              <w:rPr>
                <w:sz w:val="16"/>
                <w:szCs w:val="16"/>
                <w:color w:val="auto"/>
              </w:rPr>
            </w:pPr>
          </w:p>
        </w:tc>
        <w:tc>
          <w:tcPr>
            <w:tcW w:w="108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399.0%</w:t>
            </w:r>
          </w:p>
        </w:tc>
        <w:tc>
          <w:tcPr>
            <w:tcW w:w="0" w:type="dxa"/>
            <w:vAlign w:val="bottom"/>
          </w:tcPr>
          <w:p>
            <w:pPr>
              <w:spacing w:after="0"/>
              <w:rPr>
                <w:sz w:val="1"/>
                <w:szCs w:val="1"/>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Percentage of service revenues</w:t>
            </w:r>
          </w:p>
        </w:tc>
        <w:tc>
          <w:tcPr>
            <w:tcW w:w="1140" w:type="dxa"/>
            <w:vAlign w:val="bottom"/>
          </w:tcPr>
          <w:p>
            <w:pPr>
              <w:jc w:val="right"/>
              <w:ind w:right="142"/>
              <w:spacing w:after="0"/>
              <w:rPr>
                <w:sz w:val="20"/>
                <w:szCs w:val="20"/>
                <w:color w:val="auto"/>
              </w:rPr>
            </w:pPr>
            <w:r>
              <w:rPr>
                <w:rFonts w:ascii="Arial" w:cs="Arial" w:eastAsia="Arial" w:hAnsi="Arial"/>
                <w:sz w:val="18"/>
                <w:szCs w:val="18"/>
                <w:color w:val="auto"/>
              </w:rPr>
              <w:t>59.3%</w:t>
            </w:r>
          </w:p>
        </w:tc>
        <w:tc>
          <w:tcPr>
            <w:tcW w:w="1480" w:type="dxa"/>
            <w:vAlign w:val="bottom"/>
            <w:gridSpan w:val="2"/>
          </w:tcPr>
          <w:p>
            <w:pPr>
              <w:jc w:val="right"/>
              <w:ind w:right="102"/>
              <w:spacing w:after="0"/>
              <w:rPr>
                <w:sz w:val="20"/>
                <w:szCs w:val="20"/>
                <w:color w:val="auto"/>
              </w:rPr>
            </w:pPr>
            <w:r>
              <w:rPr>
                <w:rFonts w:ascii="Arial" w:cs="Arial" w:eastAsia="Arial" w:hAnsi="Arial"/>
                <w:sz w:val="18"/>
                <w:szCs w:val="18"/>
                <w:color w:val="auto"/>
              </w:rPr>
              <w:t>65.5%</w:t>
            </w: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firstLine="225"/>
        <w:spacing w:after="0" w:line="297" w:lineRule="auto"/>
        <w:rPr>
          <w:sz w:val="20"/>
          <w:szCs w:val="20"/>
          <w:color w:val="auto"/>
        </w:rPr>
      </w:pPr>
      <w:r>
        <w:rPr>
          <w:rFonts w:ascii="Arial" w:cs="Arial" w:eastAsia="Arial" w:hAnsi="Arial"/>
          <w:sz w:val="16"/>
          <w:szCs w:val="16"/>
          <w:color w:val="auto"/>
        </w:rPr>
        <w:t>Cost of service revenues increased from $24.6 million to $122.7 million during the first nine months of fiscal year 2011 compared to the first nine months of fiscal year 2010 primarily due to our acquisition of WildBlue in December 2009, which contributed to an increase of approximately $86.9 million. Approximately $6.7 million of the remainder of the increase in cost of service revenues related to our government satellite communication systems services, and approximately $3.9 million related to our mobile broadband services, in each case primarily driven by service revenue increases. Cost of service revenues may fluctuate in future periods depending on the mix of services provided, competition, new service introduction costs and other factors.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4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140" w:type="dxa"/>
            <w:vAlign w:val="bottom"/>
          </w:tcPr>
          <w:p>
            <w:pPr>
              <w:jc w:val="right"/>
              <w:ind w:right="62"/>
              <w:spacing w:after="0" w:line="119" w:lineRule="exact"/>
              <w:rPr>
                <w:sz w:val="20"/>
                <w:szCs w:val="20"/>
                <w:color w:val="auto"/>
              </w:rPr>
            </w:pPr>
            <w:r>
              <w:rPr>
                <w:rFonts w:ascii="Arial" w:cs="Arial" w:eastAsia="Arial" w:hAnsi="Arial"/>
                <w:sz w:val="13"/>
                <w:szCs w:val="13"/>
                <w:b w:val="1"/>
                <w:bCs w:val="1"/>
                <w:color w:val="auto"/>
              </w:rPr>
              <w:t>December 31,</w:t>
            </w:r>
          </w:p>
        </w:tc>
        <w:tc>
          <w:tcPr>
            <w:tcW w:w="500" w:type="dxa"/>
            <w:vAlign w:val="bottom"/>
          </w:tcPr>
          <w:p>
            <w:pPr>
              <w:spacing w:after="0"/>
              <w:rPr>
                <w:sz w:val="10"/>
                <w:szCs w:val="10"/>
                <w:color w:val="auto"/>
              </w:rPr>
            </w:pP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January 1,</w:t>
            </w:r>
          </w:p>
        </w:tc>
        <w:tc>
          <w:tcPr>
            <w:tcW w:w="50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0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780" w:type="dxa"/>
            <w:vAlign w:val="bottom"/>
            <w:gridSpan w:val="2"/>
            <w:vMerge w:val="continue"/>
          </w:tcPr>
          <w:p>
            <w:pPr>
              <w:spacing w:after="0"/>
              <w:rPr>
                <w:sz w:val="14"/>
                <w:szCs w:val="14"/>
                <w:color w:val="auto"/>
              </w:rPr>
            </w:pPr>
          </w:p>
        </w:tc>
        <w:tc>
          <w:tcPr>
            <w:tcW w:w="1140" w:type="dxa"/>
            <w:vAlign w:val="bottom"/>
          </w:tcPr>
          <w:p>
            <w:pPr>
              <w:jc w:val="right"/>
              <w:ind w:right="342"/>
              <w:spacing w:after="0"/>
              <w:rPr>
                <w:sz w:val="20"/>
                <w:szCs w:val="20"/>
                <w:color w:val="auto"/>
              </w:rPr>
            </w:pPr>
            <w:r>
              <w:rPr>
                <w:rFonts w:ascii="Arial" w:cs="Arial" w:eastAsia="Arial" w:hAnsi="Arial"/>
                <w:sz w:val="14"/>
                <w:szCs w:val="14"/>
                <w:b w:val="1"/>
                <w:bCs w:val="1"/>
                <w:color w:val="auto"/>
              </w:rPr>
              <w:t>2010</w:t>
            </w:r>
          </w:p>
        </w:tc>
        <w:tc>
          <w:tcPr>
            <w:tcW w:w="150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5"/>
        </w:trPr>
        <w:tc>
          <w:tcPr>
            <w:tcW w:w="5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Selling, general and administrative</w:t>
            </w:r>
          </w:p>
        </w:tc>
        <w:tc>
          <w:tcPr>
            <w:tcW w:w="480" w:type="dxa"/>
            <w:vAlign w:val="bottom"/>
          </w:tcPr>
          <w:p>
            <w:pPr>
              <w:spacing w:after="0"/>
              <w:rPr>
                <w:sz w:val="16"/>
                <w:szCs w:val="16"/>
                <w:color w:val="auto"/>
              </w:rPr>
            </w:pPr>
          </w:p>
        </w:tc>
        <w:tc>
          <w:tcPr>
            <w:tcW w:w="1140" w:type="dxa"/>
            <w:vAlign w:val="bottom"/>
            <w:tcBorders>
              <w:top w:val="single" w:sz="8" w:color="auto"/>
            </w:tcBorders>
          </w:tcPr>
          <w:p>
            <w:pPr>
              <w:jc w:val="right"/>
              <w:ind w:right="282"/>
              <w:spacing w:after="0" w:line="195" w:lineRule="exact"/>
              <w:rPr>
                <w:sz w:val="20"/>
                <w:szCs w:val="20"/>
                <w:color w:val="auto"/>
              </w:rPr>
            </w:pPr>
            <w:r>
              <w:rPr>
                <w:rFonts w:ascii="Arial" w:cs="Arial" w:eastAsia="Arial" w:hAnsi="Arial"/>
                <w:sz w:val="18"/>
                <w:szCs w:val="18"/>
                <w:color w:val="auto"/>
              </w:rPr>
              <w:t>$121.3</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$90.3</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65"/>
              <w:spacing w:after="0" w:line="195" w:lineRule="exact"/>
              <w:rPr>
                <w:sz w:val="20"/>
                <w:szCs w:val="20"/>
                <w:color w:val="auto"/>
              </w:rPr>
            </w:pPr>
            <w:r>
              <w:rPr>
                <w:rFonts w:ascii="Arial" w:cs="Arial" w:eastAsia="Arial" w:hAnsi="Arial"/>
                <w:sz w:val="18"/>
                <w:szCs w:val="18"/>
                <w:color w:val="auto"/>
              </w:rPr>
              <w:t>$31.0</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Percentage of total revenues</w:t>
            </w:r>
          </w:p>
        </w:tc>
        <w:tc>
          <w:tcPr>
            <w:tcW w:w="1140" w:type="dxa"/>
            <w:vAlign w:val="bottom"/>
          </w:tcPr>
          <w:p>
            <w:pPr>
              <w:jc w:val="right"/>
              <w:ind w:right="142"/>
              <w:spacing w:after="0"/>
              <w:rPr>
                <w:sz w:val="20"/>
                <w:szCs w:val="20"/>
                <w:color w:val="auto"/>
              </w:rPr>
            </w:pPr>
            <w:r>
              <w:rPr>
                <w:rFonts w:ascii="Arial" w:cs="Arial" w:eastAsia="Arial" w:hAnsi="Arial"/>
                <w:sz w:val="18"/>
                <w:szCs w:val="18"/>
                <w:color w:val="auto"/>
              </w:rPr>
              <w:t>20.7%</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19.0%</w:t>
            </w: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20" w:firstLine="222"/>
        <w:spacing w:after="0" w:line="293" w:lineRule="auto"/>
        <w:rPr>
          <w:sz w:val="20"/>
          <w:szCs w:val="20"/>
          <w:color w:val="auto"/>
        </w:rPr>
      </w:pPr>
      <w:r>
        <w:rPr>
          <w:rFonts w:ascii="Arial" w:cs="Arial" w:eastAsia="Arial" w:hAnsi="Arial"/>
          <w:sz w:val="16"/>
          <w:szCs w:val="16"/>
          <w:color w:val="auto"/>
        </w:rPr>
        <w:t>The increase in SG&amp;A expenses of $31.0 million in the first nine months of fiscal year 2011 compared to the same period last fiscal year was primarily attributable to an increase of $26.1 million in SG&amp;A expenses attributable to our acquisition of WildBlue on December 15, 2009. The remaining increase in SG&amp;A expenses was primarily due to increased support costs related to business growth of approximately $3.8 million and new business proposal costs of approximately $1.1 million mainly in our government systems segment. SG&amp;A expenses consisted primarily of personnel costs and expenses for business development, marketing and sales, bid and proposal, facilities, finance, contract administration and general management. Some SG&amp;A expenses are difficult to predict and vary based on specific government, commercial and satellite service sales opportunities.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80" w:type="dxa"/>
            <w:vAlign w:val="bottom"/>
            <w:tcBorders>
              <w:bottom w:val="single" w:sz="8" w:color="auto"/>
            </w:tcBorders>
            <w:gridSpan w:val="3"/>
          </w:tcPr>
          <w:p>
            <w:pPr>
              <w:jc w:val="right"/>
              <w:ind w:right="602"/>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6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60" w:type="dxa"/>
            <w:vAlign w:val="bottom"/>
          </w:tcPr>
          <w:p>
            <w:pPr>
              <w:jc w:val="right"/>
              <w:ind w:right="22"/>
              <w:spacing w:after="0" w:line="119" w:lineRule="exact"/>
              <w:rPr>
                <w:sz w:val="20"/>
                <w:szCs w:val="20"/>
                <w:color w:val="auto"/>
              </w:rPr>
            </w:pPr>
            <w:r>
              <w:rPr>
                <w:rFonts w:ascii="Arial" w:cs="Arial" w:eastAsia="Arial" w:hAnsi="Arial"/>
                <w:sz w:val="13"/>
                <w:szCs w:val="13"/>
                <w:b w:val="1"/>
                <w:bCs w:val="1"/>
                <w:color w:val="auto"/>
              </w:rPr>
              <w:t>December 31,</w:t>
            </w:r>
          </w:p>
        </w:tc>
        <w:tc>
          <w:tcPr>
            <w:tcW w:w="520" w:type="dxa"/>
            <w:vAlign w:val="bottom"/>
          </w:tcPr>
          <w:p>
            <w:pPr>
              <w:spacing w:after="0"/>
              <w:rPr>
                <w:sz w:val="10"/>
                <w:szCs w:val="10"/>
                <w:color w:val="auto"/>
              </w:rPr>
            </w:pP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January 1,</w:t>
            </w:r>
          </w:p>
        </w:tc>
        <w:tc>
          <w:tcPr>
            <w:tcW w:w="50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4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6000" w:type="dxa"/>
            <w:vAlign w:val="bottom"/>
            <w:gridSpan w:val="2"/>
            <w:vMerge w:val="continue"/>
          </w:tcPr>
          <w:p>
            <w:pPr>
              <w:spacing w:after="0"/>
              <w:rPr>
                <w:sz w:val="14"/>
                <w:szCs w:val="14"/>
                <w:color w:val="auto"/>
              </w:rPr>
            </w:pPr>
          </w:p>
        </w:tc>
        <w:tc>
          <w:tcPr>
            <w:tcW w:w="1060" w:type="dxa"/>
            <w:vAlign w:val="bottom"/>
          </w:tcPr>
          <w:p>
            <w:pPr>
              <w:jc w:val="right"/>
              <w:ind w:right="302"/>
              <w:spacing w:after="0"/>
              <w:rPr>
                <w:sz w:val="20"/>
                <w:szCs w:val="20"/>
                <w:color w:val="auto"/>
              </w:rPr>
            </w:pPr>
            <w:r>
              <w:rPr>
                <w:rFonts w:ascii="Arial" w:cs="Arial" w:eastAsia="Arial" w:hAnsi="Arial"/>
                <w:sz w:val="14"/>
                <w:szCs w:val="14"/>
                <w:b w:val="1"/>
                <w:bCs w:val="1"/>
                <w:color w:val="auto"/>
              </w:rPr>
              <w:t>2010</w:t>
            </w:r>
          </w:p>
        </w:tc>
        <w:tc>
          <w:tcPr>
            <w:tcW w:w="152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5"/>
        </w:trPr>
        <w:tc>
          <w:tcPr>
            <w:tcW w:w="5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Independent research and development</w:t>
            </w:r>
          </w:p>
        </w:tc>
        <w:tc>
          <w:tcPr>
            <w:tcW w:w="500" w:type="dxa"/>
            <w:vAlign w:val="bottom"/>
          </w:tcPr>
          <w:p>
            <w:pPr>
              <w:spacing w:after="0"/>
              <w:rPr>
                <w:sz w:val="16"/>
                <w:szCs w:val="16"/>
                <w:color w:val="auto"/>
              </w:rPr>
            </w:pPr>
          </w:p>
        </w:tc>
        <w:tc>
          <w:tcPr>
            <w:tcW w:w="1060" w:type="dxa"/>
            <w:vAlign w:val="bottom"/>
            <w:tcBorders>
              <w:top w:val="single" w:sz="8" w:color="auto"/>
            </w:tcBorders>
          </w:tcPr>
          <w:p>
            <w:pPr>
              <w:jc w:val="right"/>
              <w:ind w:right="282"/>
              <w:spacing w:after="0" w:line="195" w:lineRule="exact"/>
              <w:rPr>
                <w:sz w:val="20"/>
                <w:szCs w:val="20"/>
                <w:color w:val="auto"/>
              </w:rPr>
            </w:pPr>
            <w:r>
              <w:rPr>
                <w:rFonts w:ascii="Arial" w:cs="Arial" w:eastAsia="Arial" w:hAnsi="Arial"/>
                <w:sz w:val="18"/>
                <w:szCs w:val="18"/>
                <w:color w:val="auto"/>
              </w:rPr>
              <w:t>$21.6</w:t>
            </w:r>
          </w:p>
        </w:tc>
        <w:tc>
          <w:tcPr>
            <w:tcW w:w="520" w:type="dxa"/>
            <w:vAlign w:val="bottom"/>
          </w:tcPr>
          <w:p>
            <w:pPr>
              <w:spacing w:after="0"/>
              <w:rPr>
                <w:sz w:val="16"/>
                <w:szCs w:val="16"/>
                <w:color w:val="auto"/>
              </w:rPr>
            </w:pPr>
          </w:p>
        </w:tc>
        <w:tc>
          <w:tcPr>
            <w:tcW w:w="10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$21.6</w:t>
            </w:r>
          </w:p>
        </w:tc>
        <w:tc>
          <w:tcPr>
            <w:tcW w:w="500" w:type="dxa"/>
            <w:vAlign w:val="bottom"/>
          </w:tcPr>
          <w:p>
            <w:pPr>
              <w:spacing w:after="0"/>
              <w:rPr>
                <w:sz w:val="16"/>
                <w:szCs w:val="16"/>
                <w:color w:val="auto"/>
              </w:rPr>
            </w:pPr>
          </w:p>
        </w:tc>
        <w:tc>
          <w:tcPr>
            <w:tcW w:w="900" w:type="dxa"/>
            <w:vAlign w:val="bottom"/>
            <w:tcBorders>
              <w:top w:val="single" w:sz="8" w:color="auto"/>
            </w:tcBorders>
          </w:tcPr>
          <w:p>
            <w:pPr>
              <w:jc w:val="right"/>
              <w:ind w:right="245"/>
              <w:spacing w:after="0" w:line="195" w:lineRule="exact"/>
              <w:rPr>
                <w:sz w:val="20"/>
                <w:szCs w:val="20"/>
                <w:color w:val="auto"/>
              </w:rPr>
            </w:pPr>
            <w:r>
              <w:rPr>
                <w:rFonts w:ascii="Arial" w:cs="Arial" w:eastAsia="Arial" w:hAnsi="Arial"/>
                <w:sz w:val="18"/>
                <w:szCs w:val="18"/>
                <w:color w:val="auto"/>
              </w:rPr>
              <w:t>$0.0</w:t>
            </w:r>
          </w:p>
        </w:tc>
        <w:tc>
          <w:tcPr>
            <w:tcW w:w="540" w:type="dxa"/>
            <w:vAlign w:val="bottom"/>
          </w:tcPr>
          <w:p>
            <w:pPr>
              <w:spacing w:after="0"/>
              <w:rPr>
                <w:sz w:val="16"/>
                <w:szCs w:val="16"/>
                <w:color w:val="auto"/>
              </w:rPr>
            </w:pPr>
          </w:p>
        </w:tc>
        <w:tc>
          <w:tcPr>
            <w:tcW w:w="90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6000" w:type="dxa"/>
            <w:vAlign w:val="bottom"/>
            <w:gridSpan w:val="2"/>
          </w:tcPr>
          <w:p>
            <w:pPr>
              <w:spacing w:after="0"/>
              <w:rPr>
                <w:sz w:val="20"/>
                <w:szCs w:val="20"/>
                <w:color w:val="auto"/>
              </w:rPr>
            </w:pPr>
            <w:r>
              <w:rPr>
                <w:rFonts w:ascii="Arial" w:cs="Arial" w:eastAsia="Arial" w:hAnsi="Arial"/>
                <w:sz w:val="18"/>
                <w:szCs w:val="18"/>
                <w:color w:val="auto"/>
              </w:rPr>
              <w:t>Percentage of total revenues</w:t>
            </w:r>
          </w:p>
        </w:tc>
        <w:tc>
          <w:tcPr>
            <w:tcW w:w="1060" w:type="dxa"/>
            <w:vAlign w:val="bottom"/>
          </w:tcPr>
          <w:p>
            <w:pPr>
              <w:jc w:val="right"/>
              <w:ind w:right="142"/>
              <w:spacing w:after="0"/>
              <w:rPr>
                <w:sz w:val="20"/>
                <w:szCs w:val="20"/>
                <w:color w:val="auto"/>
              </w:rPr>
            </w:pPr>
            <w:r>
              <w:rPr>
                <w:rFonts w:ascii="Arial" w:cs="Arial" w:eastAsia="Arial" w:hAnsi="Arial"/>
                <w:sz w:val="18"/>
                <w:szCs w:val="18"/>
                <w:color w:val="auto"/>
              </w:rPr>
              <w:t>3.7%</w:t>
            </w:r>
          </w:p>
        </w:tc>
        <w:tc>
          <w:tcPr>
            <w:tcW w:w="1520" w:type="dxa"/>
            <w:vAlign w:val="bottom"/>
            <w:gridSpan w:val="2"/>
          </w:tcPr>
          <w:p>
            <w:pPr>
              <w:jc w:val="right"/>
              <w:ind w:right="122"/>
              <w:spacing w:after="0"/>
              <w:rPr>
                <w:sz w:val="20"/>
                <w:szCs w:val="20"/>
                <w:color w:val="auto"/>
              </w:rPr>
            </w:pPr>
            <w:r>
              <w:rPr>
                <w:rFonts w:ascii="Arial" w:cs="Arial" w:eastAsia="Arial" w:hAnsi="Arial"/>
                <w:sz w:val="18"/>
                <w:szCs w:val="18"/>
                <w:color w:val="auto"/>
              </w:rPr>
              <w:t>4.5%</w:t>
            </w: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IR&amp;D expenses remained relatively flat for the first nine months of fiscal year 2011 compared to the first nine months of fiscal year 2010 due to an increase in our commercial networks segment of approximately $1.5 million principally related to next-generation satellite communication systems and next-generation consumer broadband products, offset by a decrease in our government systems segment as we shifted some of our efforts from internal development projects to customer-funded development projects.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117"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ranging from eight months to ten years. The increase in amortization of approximately $9.9 million in the first nine months of fiscal year 2011 compared to the same period last fiscal year was a result of the December 2009 acquisition of WildBlue, contributing an increase of $9.2 million, and the Stonewood acquisition in July 2010, contributing an increase of $1.1 million. These increases were slightly offset by a decrease in amortization as certain acquired technology intangibles in our commercial networks segment became fully amortized over the preceding twelve months. Current and expected amortization expense for acquired intangible assets for each of the following periods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20" w:type="dxa"/>
            <w:vAlign w:val="bottom"/>
          </w:tcPr>
          <w:p>
            <w:pPr>
              <w:spacing w:after="0"/>
              <w:rPr>
                <w:sz w:val="14"/>
                <w:szCs w:val="14"/>
                <w:color w:val="auto"/>
              </w:rPr>
            </w:pPr>
          </w:p>
        </w:tc>
        <w:tc>
          <w:tcPr>
            <w:tcW w:w="1000" w:type="dxa"/>
            <w:vAlign w:val="bottom"/>
            <w:gridSpan w:val="4"/>
          </w:tcPr>
          <w:p>
            <w:pPr>
              <w:ind w:left="4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10420" w:type="dxa"/>
            <w:vAlign w:val="bottom"/>
          </w:tcPr>
          <w:p>
            <w:pPr>
              <w:spacing w:after="0"/>
              <w:rPr>
                <w:sz w:val="12"/>
                <w:szCs w:val="12"/>
                <w:color w:val="auto"/>
              </w:rPr>
            </w:pPr>
          </w:p>
        </w:tc>
        <w:tc>
          <w:tcPr>
            <w:tcW w:w="9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For the nine months ended December 31, 2010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14,627</w:t>
            </w:r>
          </w:p>
        </w:tc>
        <w:tc>
          <w:tcPr>
            <w:tcW w:w="80" w:type="dxa"/>
            <w:vAlign w:val="bottom"/>
            <w:shd w:val="clear" w:color="auto" w:fill="CCEEFF"/>
          </w:tcPr>
          <w:p>
            <w:pPr>
              <w:spacing w:after="0"/>
              <w:rPr>
                <w:sz w:val="18"/>
                <w:szCs w:val="18"/>
                <w:color w:val="auto"/>
              </w:rPr>
            </w:pPr>
          </w:p>
        </w:tc>
      </w:tr>
      <w:tr>
        <w:trPr>
          <w:trHeight w:val="432"/>
        </w:trPr>
        <w:tc>
          <w:tcPr>
            <w:tcW w:w="10420" w:type="dxa"/>
            <w:vAlign w:val="bottom"/>
          </w:tcPr>
          <w:p>
            <w:pPr>
              <w:spacing w:after="0"/>
              <w:rPr>
                <w:sz w:val="20"/>
                <w:szCs w:val="20"/>
                <w:color w:val="auto"/>
              </w:rPr>
            </w:pPr>
            <w:r>
              <w:rPr>
                <w:rFonts w:ascii="Arial" w:cs="Arial" w:eastAsia="Arial" w:hAnsi="Arial"/>
                <w:sz w:val="18"/>
                <w:szCs w:val="18"/>
                <w:color w:val="auto"/>
              </w:rPr>
              <w:t>Expected for the remainder of fiscal year 2011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4,762</w:t>
            </w:r>
          </w:p>
        </w:tc>
        <w:tc>
          <w:tcPr>
            <w:tcW w:w="80" w:type="dxa"/>
            <w:vAlign w:val="bottom"/>
          </w:tcPr>
          <w:p>
            <w:pPr>
              <w:spacing w:after="0"/>
              <w:rPr>
                <w:sz w:val="24"/>
                <w:szCs w:val="24"/>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2012</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18,657</w:t>
            </w:r>
          </w:p>
        </w:tc>
        <w:tc>
          <w:tcPr>
            <w:tcW w:w="80" w:type="dxa"/>
            <w:vAlign w:val="bottom"/>
            <w:shd w:val="clear" w:color="auto" w:fill="CCEEFF"/>
          </w:tcPr>
          <w:p>
            <w:pPr>
              <w:spacing w:after="0"/>
              <w:rPr>
                <w:sz w:val="18"/>
                <w:szCs w:val="18"/>
                <w:color w:val="auto"/>
              </w:rPr>
            </w:pP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Expected for fiscal year 2013</w:t>
            </w:r>
          </w:p>
        </w:tc>
        <w:tc>
          <w:tcPr>
            <w:tcW w:w="2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15,558</w:t>
            </w:r>
          </w:p>
        </w:tc>
        <w:tc>
          <w:tcPr>
            <w:tcW w:w="80" w:type="dxa"/>
            <w:vAlign w:val="bottom"/>
          </w:tcPr>
          <w:p>
            <w:pPr>
              <w:spacing w:after="0"/>
              <w:rPr>
                <w:sz w:val="18"/>
                <w:szCs w:val="18"/>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2014</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13,807</w:t>
            </w:r>
          </w:p>
        </w:tc>
        <w:tc>
          <w:tcPr>
            <w:tcW w:w="80" w:type="dxa"/>
            <w:vAlign w:val="bottom"/>
            <w:shd w:val="clear" w:color="auto" w:fill="CCEEFF"/>
          </w:tcPr>
          <w:p>
            <w:pPr>
              <w:spacing w:after="0"/>
              <w:rPr>
                <w:sz w:val="18"/>
                <w:szCs w:val="18"/>
                <w:color w:val="auto"/>
              </w:rPr>
            </w:pP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Expected for fiscal year 2015</w:t>
            </w:r>
          </w:p>
        </w:tc>
        <w:tc>
          <w:tcPr>
            <w:tcW w:w="2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13,731</w:t>
            </w:r>
          </w:p>
        </w:tc>
        <w:tc>
          <w:tcPr>
            <w:tcW w:w="80" w:type="dxa"/>
            <w:vAlign w:val="bottom"/>
          </w:tcPr>
          <w:p>
            <w:pPr>
              <w:spacing w:after="0"/>
              <w:rPr>
                <w:sz w:val="18"/>
                <w:szCs w:val="18"/>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19,796</w:t>
            </w:r>
          </w:p>
        </w:tc>
        <w:tc>
          <w:tcPr>
            <w:tcW w:w="80" w:type="dxa"/>
            <w:vAlign w:val="bottom"/>
            <w:shd w:val="clear" w:color="auto" w:fill="CCEEFF"/>
          </w:tcPr>
          <w:p>
            <w:pPr>
              <w:spacing w:after="0"/>
              <w:rPr>
                <w:sz w:val="18"/>
                <w:szCs w:val="18"/>
                <w:color w:val="auto"/>
              </w:rPr>
            </w:pPr>
          </w:p>
        </w:tc>
      </w:tr>
      <w:tr>
        <w:trPr>
          <w:trHeight w:val="223"/>
        </w:trPr>
        <w:tc>
          <w:tcPr>
            <w:tcW w:w="10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86,311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Interest income for the nine months ended December 31, 2010 compared to the nine months ended January 1, 2010 decreased slightly as we experienced similar average interest rates on our investments but lower average invested cash balances during the first nine months of fiscal year 2011 compared to the same period last fiscal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The increase in interest expense from the first nine months of fiscal year 2010 to the first nine months of fiscal year 2011 of $0.6 million was primarily due to interest expense incurred during the nine months ended December 31, 2010 on the Notes, which were issued during the third quarter of fiscal year 2010, as well as interest expense incurred under the Credit Facility. Interest expense is net of capitalized interest associated with the construction of our ViaSat-1 satellite and other assets currently under construction of $20.5 million and $5.0 million for the nine months ended December 31, 2010 and January 1, 2010,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The Company currently estimates its annual effective income tax rate to be approximately 7.7% for fiscal year 2011, as compared to the actual 15.0% effective income tax rate in fiscal year 2010. The effective income tax rate of approximately 1.8% for the first nine months of fiscal year 2011 was lower than the expected annual effective tax rate primarily due to the recording of research and development tax credits allowed for in the third quarter of fiscal year 2011 by the Tax Relief, Unemployment Insurance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Reauthorization, and Job Creation Act of 2010, enacted on December 17, 2010, which extended the research and development tax credit from January 1, 2010 to December 31, 2011. In the first two quarters of fiscal year 2011, the Company’s estimated annual effective income tax rate did not include the effect of the extension of the research and development tax credit, which resulted in a catch-up adjustment of approximately $2.8 million in the third quarter of fiscal year 2011. Also as a result of the extension of the research and development tax credit, approximately $1.5 million of research and development tax credit generated in the fourth quarter of fiscal year 2010 was recognized as a discrete tax benefit in the third quarter of fiscal year 2011. In addition, in the third quarter of fiscal year 2011, approximately $2.1 million of previously unrecognized tax benefits were recognized due to the expiration of the statute of limitations for certain previously filed tax returns.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Nine Months Ended December 31, 2010 vs. Nine Months Ended January 1, 2010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700" w:type="dxa"/>
            <w:vAlign w:val="bottom"/>
            <w:tcBorders>
              <w:bottom w:val="single" w:sz="8" w:color="auto"/>
            </w:tcBorders>
            <w:gridSpan w:val="3"/>
          </w:tcPr>
          <w:p>
            <w:pPr>
              <w:jc w:val="right"/>
              <w:ind w:right="662"/>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1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50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January 1,</w:t>
            </w:r>
          </w:p>
        </w:tc>
        <w:tc>
          <w:tcPr>
            <w:tcW w:w="50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0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780" w:type="dxa"/>
            <w:vAlign w:val="bottom"/>
            <w:gridSpan w:val="2"/>
            <w:vMerge w:val="continue"/>
          </w:tcPr>
          <w:p>
            <w:pPr>
              <w:spacing w:after="0"/>
              <w:rPr>
                <w:sz w:val="14"/>
                <w:szCs w:val="14"/>
                <w:color w:val="auto"/>
              </w:rPr>
            </w:pPr>
          </w:p>
        </w:tc>
        <w:tc>
          <w:tcPr>
            <w:tcW w:w="1120" w:type="dxa"/>
            <w:vAlign w:val="bottom"/>
          </w:tcPr>
          <w:p>
            <w:pPr>
              <w:jc w:val="right"/>
              <w:ind w:right="345"/>
              <w:spacing w:after="0"/>
              <w:rPr>
                <w:sz w:val="20"/>
                <w:szCs w:val="20"/>
                <w:color w:val="auto"/>
              </w:rPr>
            </w:pPr>
            <w:r>
              <w:rPr>
                <w:rFonts w:ascii="Arial" w:cs="Arial" w:eastAsia="Arial" w:hAnsi="Arial"/>
                <w:sz w:val="14"/>
                <w:szCs w:val="14"/>
                <w:b w:val="1"/>
                <w:bCs w:val="1"/>
                <w:color w:val="auto"/>
              </w:rPr>
              <w:t>2010</w:t>
            </w:r>
          </w:p>
        </w:tc>
        <w:tc>
          <w:tcPr>
            <w:tcW w:w="1580" w:type="dxa"/>
            <w:vAlign w:val="bottom"/>
            <w:gridSpan w:val="2"/>
          </w:tcPr>
          <w:p>
            <w:pPr>
              <w:jc w:val="right"/>
              <w:ind w:right="322"/>
              <w:spacing w:after="0"/>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4"/>
        </w:trPr>
        <w:tc>
          <w:tcPr>
            <w:tcW w:w="5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Revenues</w:t>
            </w:r>
          </w:p>
        </w:tc>
        <w:tc>
          <w:tcPr>
            <w:tcW w:w="500" w:type="dxa"/>
            <w:vAlign w:val="bottom"/>
          </w:tcPr>
          <w:p>
            <w:pPr>
              <w:spacing w:after="0"/>
              <w:rPr>
                <w:sz w:val="19"/>
                <w:szCs w:val="19"/>
                <w:color w:val="auto"/>
              </w:rPr>
            </w:pPr>
          </w:p>
        </w:tc>
        <w:tc>
          <w:tcPr>
            <w:tcW w:w="1120" w:type="dxa"/>
            <w:vAlign w:val="bottom"/>
            <w:tcBorders>
              <w:top w:val="single" w:sz="8" w:color="auto"/>
            </w:tcBorders>
          </w:tcPr>
          <w:p>
            <w:pPr>
              <w:jc w:val="right"/>
              <w:ind w:right="285"/>
              <w:spacing w:after="0"/>
              <w:rPr>
                <w:sz w:val="20"/>
                <w:szCs w:val="20"/>
                <w:color w:val="auto"/>
              </w:rPr>
            </w:pPr>
            <w:r>
              <w:rPr>
                <w:rFonts w:ascii="Arial" w:cs="Arial" w:eastAsia="Arial" w:hAnsi="Arial"/>
                <w:sz w:val="18"/>
                <w:szCs w:val="18"/>
                <w:color w:val="auto"/>
              </w:rPr>
              <w:t>$281.3</w:t>
            </w:r>
          </w:p>
        </w:tc>
        <w:tc>
          <w:tcPr>
            <w:tcW w:w="500" w:type="dxa"/>
            <w:vAlign w:val="bottom"/>
          </w:tcPr>
          <w:p>
            <w:pPr>
              <w:spacing w:after="0"/>
              <w:rPr>
                <w:sz w:val="19"/>
                <w:szCs w:val="19"/>
                <w:color w:val="auto"/>
              </w:rPr>
            </w:pPr>
          </w:p>
        </w:tc>
        <w:tc>
          <w:tcPr>
            <w:tcW w:w="1080" w:type="dxa"/>
            <w:vAlign w:val="bottom"/>
            <w:tcBorders>
              <w:top w:val="single" w:sz="8" w:color="auto"/>
            </w:tcBorders>
          </w:tcPr>
          <w:p>
            <w:pPr>
              <w:jc w:val="right"/>
              <w:ind w:right="262"/>
              <w:spacing w:after="0"/>
              <w:rPr>
                <w:sz w:val="20"/>
                <w:szCs w:val="20"/>
                <w:color w:val="auto"/>
              </w:rPr>
            </w:pPr>
            <w:r>
              <w:rPr>
                <w:rFonts w:ascii="Arial" w:cs="Arial" w:eastAsia="Arial" w:hAnsi="Arial"/>
                <w:sz w:val="18"/>
                <w:szCs w:val="18"/>
                <w:color w:val="auto"/>
              </w:rPr>
              <w:t>$284.5</w:t>
            </w:r>
          </w:p>
        </w:tc>
        <w:tc>
          <w:tcPr>
            <w:tcW w:w="500" w:type="dxa"/>
            <w:vAlign w:val="bottom"/>
          </w:tcPr>
          <w:p>
            <w:pPr>
              <w:spacing w:after="0"/>
              <w:rPr>
                <w:sz w:val="19"/>
                <w:szCs w:val="19"/>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$(3.1)</w:t>
            </w:r>
          </w:p>
        </w:tc>
        <w:tc>
          <w:tcPr>
            <w:tcW w:w="500" w:type="dxa"/>
            <w:vAlign w:val="bottom"/>
          </w:tcPr>
          <w:p>
            <w:pPr>
              <w:spacing w:after="0"/>
              <w:rPr>
                <w:sz w:val="19"/>
                <w:szCs w:val="19"/>
                <w:color w:val="auto"/>
              </w:rPr>
            </w:pPr>
          </w:p>
        </w:tc>
        <w:tc>
          <w:tcPr>
            <w:tcW w:w="980" w:type="dxa"/>
            <w:vAlign w:val="bottom"/>
            <w:tcBorders>
              <w:top w:val="single" w:sz="8" w:color="auto"/>
            </w:tcBorders>
          </w:tcPr>
          <w:p>
            <w:pPr>
              <w:jc w:val="right"/>
              <w:ind w:right="45"/>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right="60" w:firstLine="225"/>
        <w:spacing w:after="0" w:line="259" w:lineRule="auto"/>
        <w:rPr>
          <w:sz w:val="20"/>
          <w:szCs w:val="20"/>
          <w:color w:val="auto"/>
        </w:rPr>
      </w:pPr>
      <w:r>
        <w:rPr>
          <w:rFonts w:ascii="Arial" w:cs="Arial" w:eastAsia="Arial" w:hAnsi="Arial"/>
          <w:sz w:val="18"/>
          <w:szCs w:val="18"/>
          <w:color w:val="auto"/>
        </w:rPr>
        <w:t>Our government systems segment experienced revenue decreases in the first nine months of fiscal year 2011 compared to the same period last fiscal year primarily attributable to reductions in our tactical data link products and services of $12.6 million and information assurance products of $6.5 million. These decreases were offset by continued growth in our government satellite communication systems revenues, increasing $16.3 million in fiscal year 2011 year-to-date.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40" w:type="dxa"/>
            <w:vAlign w:val="bottom"/>
            <w:tcBorders>
              <w:bottom w:val="single" w:sz="8" w:color="auto"/>
            </w:tcBorders>
            <w:gridSpan w:val="3"/>
          </w:tcPr>
          <w:p>
            <w:pPr>
              <w:jc w:val="right"/>
              <w:ind w:right="582"/>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40" w:type="dxa"/>
            <w:vAlign w:val="bottom"/>
          </w:tcPr>
          <w:p>
            <w:pPr>
              <w:jc w:val="right"/>
              <w:ind w:right="22"/>
              <w:spacing w:after="0" w:line="119" w:lineRule="exact"/>
              <w:rPr>
                <w:sz w:val="20"/>
                <w:szCs w:val="20"/>
                <w:color w:val="auto"/>
              </w:rPr>
            </w:pPr>
            <w:r>
              <w:rPr>
                <w:rFonts w:ascii="Arial" w:cs="Arial" w:eastAsia="Arial" w:hAnsi="Arial"/>
                <w:sz w:val="13"/>
                <w:szCs w:val="13"/>
                <w:b w:val="1"/>
                <w:bCs w:val="1"/>
                <w:color w:val="auto"/>
              </w:rPr>
              <w:t>December 31,</w:t>
            </w:r>
          </w:p>
        </w:tc>
        <w:tc>
          <w:tcPr>
            <w:tcW w:w="500" w:type="dxa"/>
            <w:vAlign w:val="bottom"/>
          </w:tcPr>
          <w:p>
            <w:pPr>
              <w:spacing w:after="0"/>
              <w:rPr>
                <w:sz w:val="10"/>
                <w:szCs w:val="10"/>
                <w:color w:val="auto"/>
              </w:rPr>
            </w:pP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January 1,</w:t>
            </w:r>
          </w:p>
        </w:tc>
        <w:tc>
          <w:tcPr>
            <w:tcW w:w="500" w:type="dxa"/>
            <w:vAlign w:val="bottom"/>
          </w:tcPr>
          <w:p>
            <w:pPr>
              <w:spacing w:after="0"/>
              <w:rPr>
                <w:sz w:val="10"/>
                <w:szCs w:val="10"/>
                <w:color w:val="auto"/>
              </w:rPr>
            </w:pP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00" w:type="dxa"/>
            <w:vAlign w:val="bottom"/>
          </w:tcPr>
          <w:p>
            <w:pPr>
              <w:spacing w:after="0"/>
              <w:rPr>
                <w:sz w:val="10"/>
                <w:szCs w:val="10"/>
                <w:color w:val="auto"/>
              </w:rPr>
            </w:pP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780" w:type="dxa"/>
            <w:vAlign w:val="bottom"/>
            <w:gridSpan w:val="2"/>
            <w:vMerge w:val="continue"/>
          </w:tcPr>
          <w:p>
            <w:pPr>
              <w:spacing w:after="0"/>
              <w:rPr>
                <w:sz w:val="14"/>
                <w:szCs w:val="14"/>
                <w:color w:val="auto"/>
              </w:rPr>
            </w:pPr>
          </w:p>
        </w:tc>
        <w:tc>
          <w:tcPr>
            <w:tcW w:w="1040" w:type="dxa"/>
            <w:vAlign w:val="bottom"/>
          </w:tcPr>
          <w:p>
            <w:pPr>
              <w:jc w:val="right"/>
              <w:ind w:right="302"/>
              <w:spacing w:after="0"/>
              <w:rPr>
                <w:sz w:val="20"/>
                <w:szCs w:val="20"/>
                <w:color w:val="auto"/>
              </w:rPr>
            </w:pPr>
            <w:r>
              <w:rPr>
                <w:rFonts w:ascii="Arial" w:cs="Arial" w:eastAsia="Arial" w:hAnsi="Arial"/>
                <w:sz w:val="14"/>
                <w:szCs w:val="14"/>
                <w:b w:val="1"/>
                <w:bCs w:val="1"/>
                <w:color w:val="auto"/>
              </w:rPr>
              <w:t>2010</w:t>
            </w:r>
          </w:p>
        </w:tc>
        <w:tc>
          <w:tcPr>
            <w:tcW w:w="150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5"/>
        </w:trPr>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Operating profit</w:t>
            </w:r>
          </w:p>
        </w:tc>
        <w:tc>
          <w:tcPr>
            <w:tcW w:w="500" w:type="dxa"/>
            <w:vAlign w:val="bottom"/>
          </w:tcPr>
          <w:p>
            <w:pPr>
              <w:spacing w:after="0"/>
              <w:rPr>
                <w:sz w:val="16"/>
                <w:szCs w:val="16"/>
                <w:color w:val="auto"/>
              </w:rPr>
            </w:pPr>
          </w:p>
        </w:tc>
        <w:tc>
          <w:tcPr>
            <w:tcW w:w="1040" w:type="dxa"/>
            <w:vAlign w:val="bottom"/>
            <w:tcBorders>
              <w:top w:val="single" w:sz="8" w:color="auto"/>
            </w:tcBorders>
          </w:tcPr>
          <w:p>
            <w:pPr>
              <w:jc w:val="right"/>
              <w:ind w:right="282"/>
              <w:spacing w:after="0" w:line="195" w:lineRule="exact"/>
              <w:rPr>
                <w:sz w:val="20"/>
                <w:szCs w:val="20"/>
                <w:color w:val="auto"/>
              </w:rPr>
            </w:pPr>
            <w:r>
              <w:rPr>
                <w:rFonts w:ascii="Arial" w:cs="Arial" w:eastAsia="Arial" w:hAnsi="Arial"/>
                <w:sz w:val="18"/>
                <w:szCs w:val="18"/>
                <w:color w:val="auto"/>
              </w:rPr>
              <w:t>$22.6</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$37.2</w:t>
            </w:r>
          </w:p>
        </w:tc>
        <w:tc>
          <w:tcPr>
            <w:tcW w:w="500" w:type="dxa"/>
            <w:vAlign w:val="bottom"/>
          </w:tcPr>
          <w:p>
            <w:pPr>
              <w:spacing w:after="0"/>
              <w:rPr>
                <w:sz w:val="16"/>
                <w:szCs w:val="16"/>
                <w:color w:val="auto"/>
              </w:rPr>
            </w:pPr>
          </w:p>
        </w:tc>
        <w:tc>
          <w:tcPr>
            <w:tcW w:w="1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$(14.6)</w:t>
            </w:r>
          </w:p>
        </w:tc>
        <w:tc>
          <w:tcPr>
            <w:tcW w:w="500" w:type="dxa"/>
            <w:vAlign w:val="bottom"/>
          </w:tcPr>
          <w:p>
            <w:pPr>
              <w:spacing w:after="0"/>
              <w:rPr>
                <w:sz w:val="16"/>
                <w:szCs w:val="16"/>
                <w:color w:val="auto"/>
              </w:rPr>
            </w:pPr>
          </w:p>
        </w:tc>
        <w:tc>
          <w:tcPr>
            <w:tcW w:w="1060" w:type="dxa"/>
            <w:vAlign w:val="bottom"/>
            <w:tcBorders>
              <w:top w:val="single" w:sz="8" w:color="auto"/>
            </w:tcBorders>
          </w:tcPr>
          <w:p>
            <w:pPr>
              <w:jc w:val="right"/>
              <w:ind w:right="45"/>
              <w:spacing w:after="0" w:line="195" w:lineRule="exact"/>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040" w:type="dxa"/>
            <w:vAlign w:val="bottom"/>
          </w:tcPr>
          <w:p>
            <w:pPr>
              <w:jc w:val="right"/>
              <w:ind w:right="122"/>
              <w:spacing w:after="0"/>
              <w:rPr>
                <w:sz w:val="20"/>
                <w:szCs w:val="20"/>
                <w:color w:val="auto"/>
              </w:rPr>
            </w:pPr>
            <w:r>
              <w:rPr>
                <w:rFonts w:ascii="Arial" w:cs="Arial" w:eastAsia="Arial" w:hAnsi="Arial"/>
                <w:sz w:val="18"/>
                <w:szCs w:val="18"/>
                <w:color w:val="auto"/>
              </w:rPr>
              <w:t>8.0%</w:t>
            </w:r>
          </w:p>
        </w:tc>
        <w:tc>
          <w:tcPr>
            <w:tcW w:w="1500" w:type="dxa"/>
            <w:vAlign w:val="bottom"/>
            <w:gridSpan w:val="2"/>
          </w:tcPr>
          <w:p>
            <w:pPr>
              <w:jc w:val="right"/>
              <w:ind w:right="122"/>
              <w:spacing w:after="0"/>
              <w:rPr>
                <w:sz w:val="20"/>
                <w:szCs w:val="20"/>
                <w:color w:val="auto"/>
              </w:rPr>
            </w:pPr>
            <w:r>
              <w:rPr>
                <w:rFonts w:ascii="Arial" w:cs="Arial" w:eastAsia="Arial" w:hAnsi="Arial"/>
                <w:sz w:val="18"/>
                <w:szCs w:val="18"/>
                <w:color w:val="auto"/>
              </w:rPr>
              <w:t>13.1%</w:t>
            </w: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firstLine="222"/>
        <w:spacing w:after="0" w:line="279" w:lineRule="auto"/>
        <w:rPr>
          <w:sz w:val="20"/>
          <w:szCs w:val="20"/>
          <w:color w:val="auto"/>
        </w:rPr>
      </w:pPr>
      <w:r>
        <w:rPr>
          <w:rFonts w:ascii="Arial" w:cs="Arial" w:eastAsia="Arial" w:hAnsi="Arial"/>
          <w:sz w:val="17"/>
          <w:szCs w:val="17"/>
          <w:color w:val="auto"/>
        </w:rPr>
        <w:t>The decrease in our government systems segment operating profit of $14.6 million during the first nine months of fiscal year 2011 compared to the first nine months of fiscal year 2010 was primarily due to decreased revenues coupled with lower product contributions, mainly related to the $8.5 million forward loss recorded on a government satellite communication program in the first quarter of fiscal year 2011 as discussed below, as well as an increase in selling, support and new business proposal costs of $9.9 million, offset by a decrease in IR&amp;D expenses of $1.7 million.</w:t>
      </w:r>
    </w:p>
    <w:p>
      <w:pPr>
        <w:spacing w:after="0" w:line="63" w:lineRule="exact"/>
        <w:rPr>
          <w:sz w:val="20"/>
          <w:szCs w:val="20"/>
          <w:color w:val="auto"/>
        </w:rPr>
      </w:pPr>
    </w:p>
    <w:p>
      <w:pPr>
        <w:ind w:right="100" w:firstLine="225"/>
        <w:spacing w:after="0" w:line="290" w:lineRule="auto"/>
        <w:rPr>
          <w:sz w:val="20"/>
          <w:szCs w:val="20"/>
          <w:color w:val="auto"/>
        </w:rPr>
      </w:pPr>
      <w:r>
        <w:rPr>
          <w:rFonts w:ascii="Arial" w:cs="Arial" w:eastAsia="Arial" w:hAnsi="Arial"/>
          <w:sz w:val="16"/>
          <w:szCs w:val="16"/>
          <w:color w:val="auto"/>
        </w:rPr>
        <w:t>In June 2010, we performed extensive integration testing of numerous system components that had been separately developed as part of a government satellite communication program. As a result of this testing and subsequent internal reviews and analyses, we determined that significant additional rework was required in order to complete the program requirements and specifications and to prepare for a scheduled customer test in our fiscal second quarter. This additional rework and engineering effort resulted in a substantial increase in estimated labor and material costs to complete the program. Accordingly, during the first quarter of fiscal year 2011 we recorded an additional forward loss of $8.5 million related to this estimate of program costs. While we believe the additional forward loss is adequate to cover known risks to date and that steps taken to improve the program performance will be effective, the program is on going and our efforts and the end results must be satisfactory to the customer. We believe that our estimate of costs to complete the program is appropriate based on known information, but cannot provide absolute assurance that additional costs will not be incurred.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80" w:type="dxa"/>
            <w:vAlign w:val="bottom"/>
            <w:tcBorders>
              <w:bottom w:val="single" w:sz="8" w:color="auto"/>
            </w:tcBorders>
            <w:gridSpan w:val="3"/>
          </w:tcPr>
          <w:p>
            <w:pPr>
              <w:jc w:val="right"/>
              <w:ind w:right="642"/>
              <w:spacing w:after="0"/>
              <w:rPr>
                <w:sz w:val="20"/>
                <w:szCs w:val="20"/>
                <w:color w:val="auto"/>
              </w:rPr>
            </w:pPr>
            <w:r>
              <w:rPr>
                <w:rFonts w:ascii="Arial" w:cs="Arial" w:eastAsia="Arial" w:hAnsi="Arial"/>
                <w:sz w:val="14"/>
                <w:szCs w:val="14"/>
                <w:b w:val="1"/>
                <w:bCs w:val="1"/>
                <w:color w:val="auto"/>
              </w:rPr>
              <w:t>Nine Months Ended</w:t>
            </w:r>
          </w:p>
        </w:tc>
        <w:tc>
          <w:tcPr>
            <w:tcW w:w="4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4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1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48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January 1,</w:t>
            </w:r>
          </w:p>
        </w:tc>
        <w:tc>
          <w:tcPr>
            <w:tcW w:w="480" w:type="dxa"/>
            <w:vAlign w:val="bottom"/>
          </w:tcPr>
          <w:p>
            <w:pPr>
              <w:spacing w:after="0"/>
              <w:rPr>
                <w:sz w:val="10"/>
                <w:szCs w:val="10"/>
                <w:color w:val="auto"/>
              </w:rPr>
            </w:pP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480" w:type="dxa"/>
            <w:vAlign w:val="bottom"/>
          </w:tcPr>
          <w:p>
            <w:pPr>
              <w:spacing w:after="0"/>
              <w:rPr>
                <w:sz w:val="10"/>
                <w:szCs w:val="10"/>
                <w:color w:val="auto"/>
              </w:rPr>
            </w:pP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660" w:type="dxa"/>
            <w:vAlign w:val="bottom"/>
            <w:gridSpan w:val="2"/>
            <w:vMerge w:val="continue"/>
          </w:tcPr>
          <w:p>
            <w:pPr>
              <w:spacing w:after="0"/>
              <w:rPr>
                <w:sz w:val="14"/>
                <w:szCs w:val="14"/>
                <w:color w:val="auto"/>
              </w:rPr>
            </w:pPr>
          </w:p>
        </w:tc>
        <w:tc>
          <w:tcPr>
            <w:tcW w:w="1120" w:type="dxa"/>
            <w:vAlign w:val="bottom"/>
          </w:tcPr>
          <w:p>
            <w:pPr>
              <w:jc w:val="right"/>
              <w:ind w:right="345"/>
              <w:spacing w:after="0"/>
              <w:rPr>
                <w:sz w:val="20"/>
                <w:szCs w:val="20"/>
                <w:color w:val="auto"/>
              </w:rPr>
            </w:pPr>
            <w:r>
              <w:rPr>
                <w:rFonts w:ascii="Arial" w:cs="Arial" w:eastAsia="Arial" w:hAnsi="Arial"/>
                <w:sz w:val="14"/>
                <w:szCs w:val="14"/>
                <w:b w:val="1"/>
                <w:bCs w:val="1"/>
                <w:color w:val="auto"/>
              </w:rPr>
              <w:t>2010</w:t>
            </w:r>
          </w:p>
        </w:tc>
        <w:tc>
          <w:tcPr>
            <w:tcW w:w="1560" w:type="dxa"/>
            <w:vAlign w:val="bottom"/>
            <w:gridSpan w:val="2"/>
          </w:tcPr>
          <w:p>
            <w:pPr>
              <w:jc w:val="right"/>
              <w:ind w:right="322"/>
              <w:spacing w:after="0"/>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4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4"/>
        </w:trPr>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Revenues</w:t>
            </w:r>
          </w:p>
        </w:tc>
        <w:tc>
          <w:tcPr>
            <w:tcW w:w="480" w:type="dxa"/>
            <w:vAlign w:val="bottom"/>
          </w:tcPr>
          <w:p>
            <w:pPr>
              <w:spacing w:after="0"/>
              <w:rPr>
                <w:sz w:val="19"/>
                <w:szCs w:val="19"/>
                <w:color w:val="auto"/>
              </w:rPr>
            </w:pPr>
          </w:p>
        </w:tc>
        <w:tc>
          <w:tcPr>
            <w:tcW w:w="1120" w:type="dxa"/>
            <w:vAlign w:val="bottom"/>
            <w:tcBorders>
              <w:top w:val="single" w:sz="8" w:color="auto"/>
            </w:tcBorders>
          </w:tcPr>
          <w:p>
            <w:pPr>
              <w:jc w:val="right"/>
              <w:ind w:right="285"/>
              <w:spacing w:after="0"/>
              <w:rPr>
                <w:sz w:val="20"/>
                <w:szCs w:val="20"/>
                <w:color w:val="auto"/>
              </w:rPr>
            </w:pPr>
            <w:r>
              <w:rPr>
                <w:rFonts w:ascii="Arial" w:cs="Arial" w:eastAsia="Arial" w:hAnsi="Arial"/>
                <w:sz w:val="18"/>
                <w:szCs w:val="18"/>
                <w:color w:val="auto"/>
              </w:rPr>
              <w:t>$129.0</w:t>
            </w:r>
          </w:p>
        </w:tc>
        <w:tc>
          <w:tcPr>
            <w:tcW w:w="480" w:type="dxa"/>
            <w:vAlign w:val="bottom"/>
          </w:tcPr>
          <w:p>
            <w:pPr>
              <w:spacing w:after="0"/>
              <w:rPr>
                <w:sz w:val="19"/>
                <w:szCs w:val="19"/>
                <w:color w:val="auto"/>
              </w:rPr>
            </w:pPr>
          </w:p>
        </w:tc>
        <w:tc>
          <w:tcPr>
            <w:tcW w:w="1080" w:type="dxa"/>
            <w:vAlign w:val="bottom"/>
            <w:tcBorders>
              <w:top w:val="single" w:sz="8" w:color="auto"/>
            </w:tcBorders>
          </w:tcPr>
          <w:p>
            <w:pPr>
              <w:jc w:val="right"/>
              <w:ind w:right="262"/>
              <w:spacing w:after="0"/>
              <w:rPr>
                <w:sz w:val="20"/>
                <w:szCs w:val="20"/>
                <w:color w:val="auto"/>
              </w:rPr>
            </w:pPr>
            <w:r>
              <w:rPr>
                <w:rFonts w:ascii="Arial" w:cs="Arial" w:eastAsia="Arial" w:hAnsi="Arial"/>
                <w:sz w:val="18"/>
                <w:szCs w:val="18"/>
                <w:color w:val="auto"/>
              </w:rPr>
              <w:t>$172.7</w:t>
            </w:r>
          </w:p>
        </w:tc>
        <w:tc>
          <w:tcPr>
            <w:tcW w:w="480" w:type="dxa"/>
            <w:vAlign w:val="bottom"/>
          </w:tcPr>
          <w:p>
            <w:pPr>
              <w:spacing w:after="0"/>
              <w:rPr>
                <w:sz w:val="19"/>
                <w:szCs w:val="19"/>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$(43.7)</w:t>
            </w:r>
          </w:p>
        </w:tc>
        <w:tc>
          <w:tcPr>
            <w:tcW w:w="480" w:type="dxa"/>
            <w:vAlign w:val="bottom"/>
          </w:tcPr>
          <w:p>
            <w:pPr>
              <w:spacing w:after="0"/>
              <w:rPr>
                <w:sz w:val="19"/>
                <w:szCs w:val="19"/>
                <w:color w:val="auto"/>
              </w:rPr>
            </w:pPr>
          </w:p>
        </w:tc>
        <w:tc>
          <w:tcPr>
            <w:tcW w:w="1060" w:type="dxa"/>
            <w:vAlign w:val="bottom"/>
            <w:tcBorders>
              <w:top w:val="single" w:sz="8" w:color="auto"/>
            </w:tcBorders>
          </w:tcPr>
          <w:p>
            <w:pPr>
              <w:jc w:val="right"/>
              <w:ind w:right="45"/>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80" w:firstLine="222"/>
        <w:spacing w:after="0" w:line="291" w:lineRule="auto"/>
        <w:rPr>
          <w:sz w:val="20"/>
          <w:szCs w:val="20"/>
          <w:color w:val="auto"/>
        </w:rPr>
      </w:pPr>
      <w:r>
        <w:rPr>
          <w:rFonts w:ascii="Arial" w:cs="Arial" w:eastAsia="Arial" w:hAnsi="Arial"/>
          <w:sz w:val="16"/>
          <w:szCs w:val="16"/>
          <w:color w:val="auto"/>
        </w:rPr>
        <w:t>The decrease of approximately $43.7 million in commercial networks segment revenue in the first nine months of fiscal year 2011 compared to the first nine months of fiscal year 2010 was primarily attributable to decreases in revenues of $28.0 million in consumer broadband products and services,</w:t>
      </w:r>
    </w:p>
    <w:p>
      <w:pPr>
        <w:ind w:right="120"/>
        <w:spacing w:after="0" w:line="255" w:lineRule="auto"/>
        <w:rPr>
          <w:sz w:val="20"/>
          <w:szCs w:val="20"/>
          <w:color w:val="auto"/>
        </w:rPr>
      </w:pPr>
      <w:r>
        <w:rPr>
          <w:rFonts w:ascii="Arial" w:cs="Arial" w:eastAsia="Arial" w:hAnsi="Arial"/>
          <w:sz w:val="18"/>
          <w:szCs w:val="18"/>
          <w:color w:val="auto"/>
        </w:rPr>
        <w:t>$24.0 million in enterprise VSAT networks products and services, $7.9 million in satellite networking technology development programs and $2.7 million in various other commercial products. These decreases were offset by increases in revenues of $13.4 million in antenna systems products and services and $5.5 million in next-generation broadband equipment development programs.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 profit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40" w:type="dxa"/>
            <w:vAlign w:val="bottom"/>
            <w:tcBorders>
              <w:bottom w:val="single" w:sz="8" w:color="auto"/>
            </w:tcBorders>
            <w:gridSpan w:val="3"/>
          </w:tcPr>
          <w:p>
            <w:pPr>
              <w:jc w:val="right"/>
              <w:ind w:right="522"/>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40" w:type="dxa"/>
            <w:vAlign w:val="bottom"/>
          </w:tcPr>
          <w:p>
            <w:pPr>
              <w:jc w:val="right"/>
              <w:ind w:right="22"/>
              <w:spacing w:after="0" w:line="119" w:lineRule="exact"/>
              <w:rPr>
                <w:sz w:val="20"/>
                <w:szCs w:val="20"/>
                <w:color w:val="auto"/>
              </w:rPr>
            </w:pPr>
            <w:r>
              <w:rPr>
                <w:rFonts w:ascii="Arial" w:cs="Arial" w:eastAsia="Arial" w:hAnsi="Arial"/>
                <w:sz w:val="13"/>
                <w:szCs w:val="13"/>
                <w:b w:val="1"/>
                <w:bCs w:val="1"/>
                <w:color w:val="auto"/>
              </w:rPr>
              <w:t>December 31,</w:t>
            </w:r>
          </w:p>
        </w:tc>
        <w:tc>
          <w:tcPr>
            <w:tcW w:w="500" w:type="dxa"/>
            <w:vAlign w:val="bottom"/>
          </w:tcPr>
          <w:p>
            <w:pPr>
              <w:spacing w:after="0"/>
              <w:rPr>
                <w:sz w:val="10"/>
                <w:szCs w:val="10"/>
                <w:color w:val="auto"/>
              </w:rPr>
            </w:pPr>
          </w:p>
        </w:tc>
        <w:tc>
          <w:tcPr>
            <w:tcW w:w="900" w:type="dxa"/>
            <w:vAlign w:val="bottom"/>
          </w:tcPr>
          <w:p>
            <w:pPr>
              <w:jc w:val="right"/>
              <w:ind w:right="42"/>
              <w:spacing w:after="0" w:line="119" w:lineRule="exact"/>
              <w:rPr>
                <w:sz w:val="20"/>
                <w:szCs w:val="20"/>
                <w:color w:val="auto"/>
              </w:rPr>
            </w:pPr>
            <w:r>
              <w:rPr>
                <w:rFonts w:ascii="Arial" w:cs="Arial" w:eastAsia="Arial" w:hAnsi="Arial"/>
                <w:sz w:val="13"/>
                <w:szCs w:val="13"/>
                <w:b w:val="1"/>
                <w:bCs w:val="1"/>
                <w:color w:val="auto"/>
              </w:rPr>
              <w:t>January 1,</w:t>
            </w:r>
          </w:p>
        </w:tc>
        <w:tc>
          <w:tcPr>
            <w:tcW w:w="500" w:type="dxa"/>
            <w:vAlign w:val="bottom"/>
          </w:tcPr>
          <w:p>
            <w:pPr>
              <w:spacing w:after="0"/>
              <w:rPr>
                <w:sz w:val="10"/>
                <w:szCs w:val="10"/>
                <w:color w:val="auto"/>
              </w:rPr>
            </w:pP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00" w:type="dxa"/>
            <w:vAlign w:val="bottom"/>
          </w:tcPr>
          <w:p>
            <w:pPr>
              <w:spacing w:after="0"/>
              <w:rPr>
                <w:sz w:val="10"/>
                <w:szCs w:val="10"/>
                <w:color w:val="auto"/>
              </w:rPr>
            </w:pPr>
          </w:p>
        </w:tc>
        <w:tc>
          <w:tcPr>
            <w:tcW w:w="11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820" w:type="dxa"/>
            <w:vAlign w:val="bottom"/>
            <w:gridSpan w:val="2"/>
            <w:vMerge w:val="continue"/>
          </w:tcPr>
          <w:p>
            <w:pPr>
              <w:spacing w:after="0"/>
              <w:rPr>
                <w:sz w:val="14"/>
                <w:szCs w:val="14"/>
                <w:color w:val="auto"/>
              </w:rPr>
            </w:pPr>
          </w:p>
        </w:tc>
        <w:tc>
          <w:tcPr>
            <w:tcW w:w="1040" w:type="dxa"/>
            <w:vAlign w:val="bottom"/>
          </w:tcPr>
          <w:p>
            <w:pPr>
              <w:jc w:val="right"/>
              <w:ind w:right="302"/>
              <w:spacing w:after="0"/>
              <w:rPr>
                <w:sz w:val="20"/>
                <w:szCs w:val="20"/>
                <w:color w:val="auto"/>
              </w:rPr>
            </w:pPr>
            <w:r>
              <w:rPr>
                <w:rFonts w:ascii="Arial" w:cs="Arial" w:eastAsia="Arial" w:hAnsi="Arial"/>
                <w:sz w:val="14"/>
                <w:szCs w:val="14"/>
                <w:b w:val="1"/>
                <w:bCs w:val="1"/>
                <w:color w:val="auto"/>
              </w:rPr>
              <w:t>2010</w:t>
            </w:r>
          </w:p>
        </w:tc>
        <w:tc>
          <w:tcPr>
            <w:tcW w:w="140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5"/>
        </w:trPr>
        <w:tc>
          <w:tcPr>
            <w:tcW w:w="5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Operating (loss) profit</w:t>
            </w:r>
          </w:p>
        </w:tc>
        <w:tc>
          <w:tcPr>
            <w:tcW w:w="500" w:type="dxa"/>
            <w:vAlign w:val="bottom"/>
          </w:tcPr>
          <w:p>
            <w:pPr>
              <w:spacing w:after="0"/>
              <w:rPr>
                <w:sz w:val="16"/>
                <w:szCs w:val="16"/>
                <w:color w:val="auto"/>
              </w:rPr>
            </w:pPr>
          </w:p>
        </w:tc>
        <w:tc>
          <w:tcPr>
            <w:tcW w:w="1040" w:type="dxa"/>
            <w:vAlign w:val="bottom"/>
            <w:tcBorders>
              <w:top w:val="single" w:sz="8" w:color="auto"/>
            </w:tcBorders>
          </w:tcPr>
          <w:p>
            <w:pPr>
              <w:jc w:val="right"/>
              <w:ind w:right="222"/>
              <w:spacing w:after="0" w:line="195" w:lineRule="exact"/>
              <w:rPr>
                <w:sz w:val="20"/>
                <w:szCs w:val="20"/>
                <w:color w:val="auto"/>
              </w:rPr>
            </w:pPr>
            <w:r>
              <w:rPr>
                <w:rFonts w:ascii="Arial" w:cs="Arial" w:eastAsia="Arial" w:hAnsi="Arial"/>
                <w:sz w:val="18"/>
                <w:szCs w:val="18"/>
                <w:color w:val="auto"/>
              </w:rPr>
              <w:t>$(7.7)</w:t>
            </w:r>
          </w:p>
        </w:tc>
        <w:tc>
          <w:tcPr>
            <w:tcW w:w="500" w:type="dxa"/>
            <w:vAlign w:val="bottom"/>
          </w:tcPr>
          <w:p>
            <w:pPr>
              <w:spacing w:after="0"/>
              <w:rPr>
                <w:sz w:val="16"/>
                <w:szCs w:val="16"/>
                <w:color w:val="auto"/>
              </w:rPr>
            </w:pPr>
          </w:p>
        </w:tc>
        <w:tc>
          <w:tcPr>
            <w:tcW w:w="9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$3.0</w:t>
            </w:r>
          </w:p>
        </w:tc>
        <w:tc>
          <w:tcPr>
            <w:tcW w:w="500" w:type="dxa"/>
            <w:vAlign w:val="bottom"/>
          </w:tcPr>
          <w:p>
            <w:pPr>
              <w:spacing w:after="0"/>
              <w:rPr>
                <w:sz w:val="16"/>
                <w:szCs w:val="16"/>
                <w:color w:val="auto"/>
              </w:rPr>
            </w:pPr>
          </w:p>
        </w:tc>
        <w:tc>
          <w:tcPr>
            <w:tcW w:w="10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$(10.6)</w:t>
            </w:r>
          </w:p>
        </w:tc>
        <w:tc>
          <w:tcPr>
            <w:tcW w:w="500" w:type="dxa"/>
            <w:vAlign w:val="bottom"/>
          </w:tcPr>
          <w:p>
            <w:pPr>
              <w:spacing w:after="0"/>
              <w:rPr>
                <w:sz w:val="16"/>
                <w:szCs w:val="16"/>
                <w:color w:val="auto"/>
              </w:rPr>
            </w:pPr>
          </w:p>
        </w:tc>
        <w:tc>
          <w:tcPr>
            <w:tcW w:w="1100" w:type="dxa"/>
            <w:vAlign w:val="bottom"/>
            <w:tcBorders>
              <w:top w:val="single" w:sz="8" w:color="auto"/>
            </w:tcBorders>
          </w:tcPr>
          <w:p>
            <w:pPr>
              <w:jc w:val="right"/>
              <w:ind w:right="45"/>
              <w:spacing w:after="0" w:line="195" w:lineRule="exact"/>
              <w:rPr>
                <w:sz w:val="20"/>
                <w:szCs w:val="20"/>
                <w:color w:val="auto"/>
              </w:rPr>
            </w:pPr>
            <w:r>
              <w:rPr>
                <w:rFonts w:ascii="Arial" w:cs="Arial" w:eastAsia="Arial" w:hAnsi="Arial"/>
                <w:sz w:val="18"/>
                <w:szCs w:val="18"/>
                <w:color w:val="auto"/>
              </w:rPr>
              <w:t>(360.2)%</w:t>
            </w:r>
          </w:p>
        </w:tc>
        <w:tc>
          <w:tcPr>
            <w:tcW w:w="0" w:type="dxa"/>
            <w:vAlign w:val="bottom"/>
          </w:tcPr>
          <w:p>
            <w:pPr>
              <w:spacing w:after="0"/>
              <w:rPr>
                <w:sz w:val="1"/>
                <w:szCs w:val="1"/>
                <w:color w:val="auto"/>
              </w:rPr>
            </w:pP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040" w:type="dxa"/>
            <w:vAlign w:val="bottom"/>
          </w:tcPr>
          <w:p>
            <w:pPr>
              <w:jc w:val="right"/>
              <w:ind w:right="82"/>
              <w:spacing w:after="0"/>
              <w:rPr>
                <w:sz w:val="20"/>
                <w:szCs w:val="20"/>
                <w:color w:val="auto"/>
              </w:rPr>
            </w:pPr>
            <w:r>
              <w:rPr>
                <w:rFonts w:ascii="Arial" w:cs="Arial" w:eastAsia="Arial" w:hAnsi="Arial"/>
                <w:sz w:val="18"/>
                <w:szCs w:val="18"/>
                <w:color w:val="auto"/>
              </w:rPr>
              <w:t>(6.0)%</w:t>
            </w:r>
          </w:p>
        </w:tc>
        <w:tc>
          <w:tcPr>
            <w:tcW w:w="1400" w:type="dxa"/>
            <w:vAlign w:val="bottom"/>
            <w:gridSpan w:val="2"/>
          </w:tcPr>
          <w:p>
            <w:pPr>
              <w:jc w:val="right"/>
              <w:ind w:right="102"/>
              <w:spacing w:after="0"/>
              <w:rPr>
                <w:sz w:val="20"/>
                <w:szCs w:val="20"/>
                <w:color w:val="auto"/>
              </w:rPr>
            </w:pPr>
            <w:r>
              <w:rPr>
                <w:rFonts w:ascii="Arial" w:cs="Arial" w:eastAsia="Arial" w:hAnsi="Arial"/>
                <w:sz w:val="18"/>
                <w:szCs w:val="18"/>
                <w:color w:val="auto"/>
              </w:rPr>
              <w:t>1.7%</w:t>
            </w: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Our commercial networks segment results yielded an operating loss in the first nine months of fiscal year 2011 compared to an operating profit in the same period last fiscal year. This change was primarily due to lower earnings contributions of approximately $13.7 million from lower revenues and an increase in IR&amp;D costs of approximately $1.5 million, which were offset by a decrease in selling, support and new business proposal costs of approximately $4.6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0" w:type="dxa"/>
            <w:vAlign w:val="bottom"/>
            <w:tcBorders>
              <w:bottom w:val="single" w:sz="8" w:color="auto"/>
            </w:tcBorders>
            <w:gridSpan w:val="3"/>
          </w:tcPr>
          <w:p>
            <w:pPr>
              <w:jc w:val="right"/>
              <w:ind w:right="602"/>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4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1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460" w:type="dxa"/>
            <w:vAlign w:val="bottom"/>
          </w:tcPr>
          <w:p>
            <w:pPr>
              <w:spacing w:after="0"/>
              <w:rPr>
                <w:sz w:val="10"/>
                <w:szCs w:val="10"/>
                <w:color w:val="auto"/>
              </w:rPr>
            </w:pPr>
          </w:p>
        </w:tc>
        <w:tc>
          <w:tcPr>
            <w:tcW w:w="1000" w:type="dxa"/>
            <w:vAlign w:val="bottom"/>
          </w:tcPr>
          <w:p>
            <w:pPr>
              <w:jc w:val="right"/>
              <w:ind w:right="82"/>
              <w:spacing w:after="0" w:line="119" w:lineRule="exact"/>
              <w:rPr>
                <w:sz w:val="20"/>
                <w:szCs w:val="20"/>
                <w:color w:val="auto"/>
              </w:rPr>
            </w:pPr>
            <w:r>
              <w:rPr>
                <w:rFonts w:ascii="Arial" w:cs="Arial" w:eastAsia="Arial" w:hAnsi="Arial"/>
                <w:sz w:val="13"/>
                <w:szCs w:val="13"/>
                <w:b w:val="1"/>
                <w:bCs w:val="1"/>
                <w:color w:val="auto"/>
              </w:rPr>
              <w:t>January 1,</w:t>
            </w:r>
          </w:p>
        </w:tc>
        <w:tc>
          <w:tcPr>
            <w:tcW w:w="50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48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680" w:type="dxa"/>
            <w:vAlign w:val="bottom"/>
            <w:gridSpan w:val="2"/>
            <w:vMerge w:val="continue"/>
          </w:tcPr>
          <w:p>
            <w:pPr>
              <w:spacing w:after="0"/>
              <w:rPr>
                <w:sz w:val="14"/>
                <w:szCs w:val="14"/>
                <w:color w:val="auto"/>
              </w:rPr>
            </w:pPr>
          </w:p>
        </w:tc>
        <w:tc>
          <w:tcPr>
            <w:tcW w:w="1140" w:type="dxa"/>
            <w:vAlign w:val="bottom"/>
          </w:tcPr>
          <w:p>
            <w:pPr>
              <w:jc w:val="right"/>
              <w:ind w:right="345"/>
              <w:spacing w:after="0"/>
              <w:rPr>
                <w:sz w:val="20"/>
                <w:szCs w:val="20"/>
                <w:color w:val="auto"/>
              </w:rPr>
            </w:pPr>
            <w:r>
              <w:rPr>
                <w:rFonts w:ascii="Arial" w:cs="Arial" w:eastAsia="Arial" w:hAnsi="Arial"/>
                <w:sz w:val="14"/>
                <w:szCs w:val="14"/>
                <w:b w:val="1"/>
                <w:bCs w:val="1"/>
                <w:color w:val="auto"/>
              </w:rPr>
              <w:t>2010</w:t>
            </w:r>
          </w:p>
        </w:tc>
        <w:tc>
          <w:tcPr>
            <w:tcW w:w="146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4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4"/>
        </w:trPr>
        <w:tc>
          <w:tcPr>
            <w:tcW w:w="5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Revenues</w:t>
            </w:r>
          </w:p>
        </w:tc>
        <w:tc>
          <w:tcPr>
            <w:tcW w:w="480" w:type="dxa"/>
            <w:vAlign w:val="bottom"/>
          </w:tcPr>
          <w:p>
            <w:pPr>
              <w:spacing w:after="0"/>
              <w:rPr>
                <w:sz w:val="19"/>
                <w:szCs w:val="19"/>
                <w:color w:val="auto"/>
              </w:rPr>
            </w:pPr>
          </w:p>
        </w:tc>
        <w:tc>
          <w:tcPr>
            <w:tcW w:w="1140" w:type="dxa"/>
            <w:vAlign w:val="bottom"/>
            <w:tcBorders>
              <w:top w:val="single" w:sz="8" w:color="auto"/>
            </w:tcBorders>
          </w:tcPr>
          <w:p>
            <w:pPr>
              <w:jc w:val="right"/>
              <w:ind w:right="285"/>
              <w:spacing w:after="0"/>
              <w:rPr>
                <w:sz w:val="20"/>
                <w:szCs w:val="20"/>
                <w:color w:val="auto"/>
              </w:rPr>
            </w:pPr>
            <w:r>
              <w:rPr>
                <w:rFonts w:ascii="Arial" w:cs="Arial" w:eastAsia="Arial" w:hAnsi="Arial"/>
                <w:sz w:val="18"/>
                <w:szCs w:val="18"/>
                <w:color w:val="auto"/>
              </w:rPr>
              <w:t>$175.5</w:t>
            </w:r>
          </w:p>
        </w:tc>
        <w:tc>
          <w:tcPr>
            <w:tcW w:w="460" w:type="dxa"/>
            <w:vAlign w:val="bottom"/>
          </w:tcPr>
          <w:p>
            <w:pPr>
              <w:spacing w:after="0"/>
              <w:rPr>
                <w:sz w:val="19"/>
                <w:szCs w:val="19"/>
                <w:color w:val="auto"/>
              </w:rPr>
            </w:pPr>
          </w:p>
        </w:tc>
        <w:tc>
          <w:tcPr>
            <w:tcW w:w="1000" w:type="dxa"/>
            <w:vAlign w:val="bottom"/>
            <w:tcBorders>
              <w:top w:val="single" w:sz="8" w:color="auto"/>
            </w:tcBorders>
          </w:tcPr>
          <w:p>
            <w:pPr>
              <w:jc w:val="right"/>
              <w:ind w:right="262"/>
              <w:spacing w:after="0"/>
              <w:rPr>
                <w:sz w:val="20"/>
                <w:szCs w:val="20"/>
                <w:color w:val="auto"/>
              </w:rPr>
            </w:pPr>
            <w:r>
              <w:rPr>
                <w:rFonts w:ascii="Arial" w:cs="Arial" w:eastAsia="Arial" w:hAnsi="Arial"/>
                <w:sz w:val="18"/>
                <w:szCs w:val="18"/>
                <w:color w:val="auto"/>
              </w:rPr>
              <w:t>$18.3</w:t>
            </w:r>
          </w:p>
        </w:tc>
        <w:tc>
          <w:tcPr>
            <w:tcW w:w="500" w:type="dxa"/>
            <w:vAlign w:val="bottom"/>
          </w:tcPr>
          <w:p>
            <w:pPr>
              <w:spacing w:after="0"/>
              <w:rPr>
                <w:sz w:val="19"/>
                <w:szCs w:val="19"/>
                <w:color w:val="auto"/>
              </w:rPr>
            </w:pPr>
          </w:p>
        </w:tc>
        <w:tc>
          <w:tcPr>
            <w:tcW w:w="1080" w:type="dxa"/>
            <w:vAlign w:val="bottom"/>
            <w:tcBorders>
              <w:top w:val="single" w:sz="8" w:color="auto"/>
            </w:tcBorders>
          </w:tcPr>
          <w:p>
            <w:pPr>
              <w:jc w:val="right"/>
              <w:ind w:right="265"/>
              <w:spacing w:after="0"/>
              <w:rPr>
                <w:sz w:val="20"/>
                <w:szCs w:val="20"/>
                <w:color w:val="auto"/>
              </w:rPr>
            </w:pPr>
            <w:r>
              <w:rPr>
                <w:rFonts w:ascii="Arial" w:cs="Arial" w:eastAsia="Arial" w:hAnsi="Arial"/>
                <w:sz w:val="18"/>
                <w:szCs w:val="18"/>
                <w:color w:val="auto"/>
              </w:rPr>
              <w:t>$157.2</w:t>
            </w:r>
          </w:p>
        </w:tc>
        <w:tc>
          <w:tcPr>
            <w:tcW w:w="480" w:type="dxa"/>
            <w:vAlign w:val="bottom"/>
          </w:tcPr>
          <w:p>
            <w:pPr>
              <w:spacing w:after="0"/>
              <w:rPr>
                <w:sz w:val="19"/>
                <w:szCs w:val="19"/>
                <w:color w:val="auto"/>
              </w:rPr>
            </w:pPr>
          </w:p>
        </w:tc>
        <w:tc>
          <w:tcPr>
            <w:tcW w:w="1080" w:type="dxa"/>
            <w:vAlign w:val="bottom"/>
            <w:tcBorders>
              <w:top w:val="single" w:sz="8" w:color="auto"/>
            </w:tcBorders>
          </w:tcPr>
          <w:p>
            <w:pPr>
              <w:jc w:val="right"/>
              <w:ind w:right="105"/>
              <w:spacing w:after="0"/>
              <w:rPr>
                <w:sz w:val="20"/>
                <w:szCs w:val="20"/>
                <w:color w:val="auto"/>
              </w:rPr>
            </w:pPr>
            <w:r>
              <w:rPr>
                <w:rFonts w:ascii="Arial" w:cs="Arial" w:eastAsia="Arial" w:hAnsi="Arial"/>
                <w:sz w:val="18"/>
                <w:szCs w:val="18"/>
                <w:color w:val="auto"/>
              </w:rPr>
              <w:t>860.3%</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140" w:firstLine="222"/>
        <w:spacing w:after="0" w:line="259" w:lineRule="auto"/>
        <w:rPr>
          <w:sz w:val="20"/>
          <w:szCs w:val="20"/>
          <w:color w:val="auto"/>
        </w:rPr>
      </w:pPr>
      <w:r>
        <w:rPr>
          <w:rFonts w:ascii="Arial" w:cs="Arial" w:eastAsia="Arial" w:hAnsi="Arial"/>
          <w:sz w:val="18"/>
          <w:szCs w:val="18"/>
          <w:color w:val="auto"/>
        </w:rPr>
        <w:t>The increase of approximately $157.2 million in satellite services segment revenue in the first nine months of fiscal year 2011 compared to the first nine months of fiscal year 2010 was primarily attributable to our acquisition of WildBlue in December 2009, which contributed $156.1 million of revenues in the first nine months of fiscal year 2011. The remainder of the revenue increase in our satellite services segment was primarily driven by growth in our mobile broadband services revenues.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 (loss)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60" w:type="dxa"/>
            <w:vAlign w:val="bottom"/>
            <w:tcBorders>
              <w:bottom w:val="single" w:sz="8" w:color="auto"/>
            </w:tcBorders>
            <w:gridSpan w:val="3"/>
          </w:tcPr>
          <w:p>
            <w:pPr>
              <w:jc w:val="right"/>
              <w:ind w:right="582"/>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60" w:type="dxa"/>
            <w:vAlign w:val="bottom"/>
          </w:tcPr>
          <w:p>
            <w:pPr>
              <w:jc w:val="right"/>
              <w:ind w:right="22"/>
              <w:spacing w:after="0" w:line="119" w:lineRule="exact"/>
              <w:rPr>
                <w:sz w:val="20"/>
                <w:szCs w:val="20"/>
                <w:color w:val="auto"/>
              </w:rPr>
            </w:pPr>
            <w:r>
              <w:rPr>
                <w:rFonts w:ascii="Arial" w:cs="Arial" w:eastAsia="Arial" w:hAnsi="Arial"/>
                <w:sz w:val="13"/>
                <w:szCs w:val="13"/>
                <w:b w:val="1"/>
                <w:bCs w:val="1"/>
                <w:color w:val="auto"/>
              </w:rPr>
              <w:t>December 31,</w:t>
            </w:r>
          </w:p>
        </w:tc>
        <w:tc>
          <w:tcPr>
            <w:tcW w:w="480" w:type="dxa"/>
            <w:vAlign w:val="bottom"/>
          </w:tcPr>
          <w:p>
            <w:pPr>
              <w:spacing w:after="0"/>
              <w:rPr>
                <w:sz w:val="10"/>
                <w:szCs w:val="10"/>
                <w:color w:val="auto"/>
              </w:rPr>
            </w:pPr>
          </w:p>
        </w:tc>
        <w:tc>
          <w:tcPr>
            <w:tcW w:w="102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January 1,</w:t>
            </w:r>
          </w:p>
        </w:tc>
        <w:tc>
          <w:tcPr>
            <w:tcW w:w="50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0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780" w:type="dxa"/>
            <w:vAlign w:val="bottom"/>
            <w:gridSpan w:val="2"/>
            <w:vMerge w:val="continue"/>
          </w:tcPr>
          <w:p>
            <w:pPr>
              <w:spacing w:after="0"/>
              <w:rPr>
                <w:sz w:val="14"/>
                <w:szCs w:val="14"/>
                <w:color w:val="auto"/>
              </w:rPr>
            </w:pPr>
          </w:p>
        </w:tc>
        <w:tc>
          <w:tcPr>
            <w:tcW w:w="1060" w:type="dxa"/>
            <w:vAlign w:val="bottom"/>
          </w:tcPr>
          <w:p>
            <w:pPr>
              <w:jc w:val="right"/>
              <w:ind w:right="302"/>
              <w:spacing w:after="0"/>
              <w:rPr>
                <w:sz w:val="20"/>
                <w:szCs w:val="20"/>
                <w:color w:val="auto"/>
              </w:rPr>
            </w:pPr>
            <w:r>
              <w:rPr>
                <w:rFonts w:ascii="Arial" w:cs="Arial" w:eastAsia="Arial" w:hAnsi="Arial"/>
                <w:sz w:val="14"/>
                <w:szCs w:val="14"/>
                <w:b w:val="1"/>
                <w:bCs w:val="1"/>
                <w:color w:val="auto"/>
              </w:rPr>
              <w:t>2010</w:t>
            </w:r>
          </w:p>
        </w:tc>
        <w:tc>
          <w:tcPr>
            <w:tcW w:w="150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5"/>
        </w:trPr>
        <w:tc>
          <w:tcPr>
            <w:tcW w:w="5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Operating profit (loss)</w:t>
            </w:r>
          </w:p>
        </w:tc>
        <w:tc>
          <w:tcPr>
            <w:tcW w:w="480" w:type="dxa"/>
            <w:vAlign w:val="bottom"/>
          </w:tcPr>
          <w:p>
            <w:pPr>
              <w:spacing w:after="0"/>
              <w:rPr>
                <w:sz w:val="16"/>
                <w:szCs w:val="16"/>
                <w:color w:val="auto"/>
              </w:rPr>
            </w:pPr>
          </w:p>
        </w:tc>
        <w:tc>
          <w:tcPr>
            <w:tcW w:w="1060" w:type="dxa"/>
            <w:vAlign w:val="bottom"/>
            <w:tcBorders>
              <w:top w:val="single" w:sz="8" w:color="auto"/>
            </w:tcBorders>
          </w:tcPr>
          <w:p>
            <w:pPr>
              <w:jc w:val="right"/>
              <w:ind w:right="282"/>
              <w:spacing w:after="0" w:line="195" w:lineRule="exact"/>
              <w:rPr>
                <w:sz w:val="20"/>
                <w:szCs w:val="20"/>
                <w:color w:val="auto"/>
              </w:rPr>
            </w:pPr>
            <w:r>
              <w:rPr>
                <w:rFonts w:ascii="Arial" w:cs="Arial" w:eastAsia="Arial" w:hAnsi="Arial"/>
                <w:sz w:val="18"/>
                <w:szCs w:val="18"/>
                <w:color w:val="auto"/>
              </w:rPr>
              <w:t>$27.1</w:t>
            </w:r>
          </w:p>
        </w:tc>
        <w:tc>
          <w:tcPr>
            <w:tcW w:w="480" w:type="dxa"/>
            <w:vAlign w:val="bottom"/>
          </w:tcPr>
          <w:p>
            <w:pPr>
              <w:spacing w:after="0"/>
              <w:rPr>
                <w:sz w:val="16"/>
                <w:szCs w:val="16"/>
                <w:color w:val="auto"/>
              </w:rPr>
            </w:pPr>
          </w:p>
        </w:tc>
        <w:tc>
          <w:tcPr>
            <w:tcW w:w="1020" w:type="dxa"/>
            <w:vAlign w:val="bottom"/>
            <w:tcBorders>
              <w:top w:val="single" w:sz="8" w:color="auto"/>
            </w:tcBorders>
          </w:tcPr>
          <w:p>
            <w:pPr>
              <w:jc w:val="right"/>
              <w:ind w:right="182"/>
              <w:spacing w:after="0" w:line="195" w:lineRule="exact"/>
              <w:rPr>
                <w:sz w:val="20"/>
                <w:szCs w:val="20"/>
                <w:color w:val="auto"/>
              </w:rPr>
            </w:pPr>
            <w:r>
              <w:rPr>
                <w:rFonts w:ascii="Arial" w:cs="Arial" w:eastAsia="Arial" w:hAnsi="Arial"/>
                <w:sz w:val="18"/>
                <w:szCs w:val="18"/>
                <w:color w:val="auto"/>
              </w:rPr>
              <w:t>$(10.2)</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65"/>
              <w:spacing w:after="0" w:line="195" w:lineRule="exact"/>
              <w:rPr>
                <w:sz w:val="20"/>
                <w:szCs w:val="20"/>
                <w:color w:val="auto"/>
              </w:rPr>
            </w:pPr>
            <w:r>
              <w:rPr>
                <w:rFonts w:ascii="Arial" w:cs="Arial" w:eastAsia="Arial" w:hAnsi="Arial"/>
                <w:sz w:val="18"/>
                <w:szCs w:val="18"/>
                <w:color w:val="auto"/>
              </w:rPr>
              <w:t>$37.3</w:t>
            </w:r>
          </w:p>
        </w:tc>
        <w:tc>
          <w:tcPr>
            <w:tcW w:w="500" w:type="dxa"/>
            <w:vAlign w:val="bottom"/>
          </w:tcPr>
          <w:p>
            <w:pPr>
              <w:spacing w:after="0"/>
              <w:rPr>
                <w:sz w:val="16"/>
                <w:szCs w:val="16"/>
                <w:color w:val="auto"/>
              </w:rPr>
            </w:pPr>
          </w:p>
        </w:tc>
        <w:tc>
          <w:tcPr>
            <w:tcW w:w="108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365.2%</w:t>
            </w: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060" w:type="dxa"/>
            <w:vAlign w:val="bottom"/>
          </w:tcPr>
          <w:p>
            <w:pPr>
              <w:jc w:val="right"/>
              <w:ind w:right="142"/>
              <w:spacing w:after="0"/>
              <w:rPr>
                <w:sz w:val="20"/>
                <w:szCs w:val="20"/>
                <w:color w:val="auto"/>
              </w:rPr>
            </w:pPr>
            <w:r>
              <w:rPr>
                <w:rFonts w:ascii="Arial" w:cs="Arial" w:eastAsia="Arial" w:hAnsi="Arial"/>
                <w:sz w:val="18"/>
                <w:szCs w:val="18"/>
                <w:color w:val="auto"/>
              </w:rPr>
              <w:t>15.4%</w:t>
            </w:r>
          </w:p>
        </w:tc>
        <w:tc>
          <w:tcPr>
            <w:tcW w:w="1500" w:type="dxa"/>
            <w:vAlign w:val="bottom"/>
            <w:gridSpan w:val="2"/>
          </w:tcPr>
          <w:p>
            <w:pPr>
              <w:jc w:val="right"/>
              <w:ind w:right="42"/>
              <w:spacing w:after="0"/>
              <w:rPr>
                <w:sz w:val="20"/>
                <w:szCs w:val="20"/>
                <w:color w:val="auto"/>
              </w:rPr>
            </w:pPr>
            <w:r>
              <w:rPr>
                <w:rFonts w:ascii="Arial" w:cs="Arial" w:eastAsia="Arial" w:hAnsi="Arial"/>
                <w:sz w:val="18"/>
                <w:szCs w:val="18"/>
                <w:color w:val="auto"/>
              </w:rPr>
              <w:t>(55.9)%</w:t>
            </w: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Our satellite services segment generated an operating profit in the first nine months of fiscal year 2011 compared to an operating loss in the same period last fiscal year. This change was primarily attributable to our acquisition of WildBlue in December 2009.</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jc w:val="both"/>
        <w:ind w:right="160" w:firstLine="215"/>
        <w:spacing w:after="0" w:line="342" w:lineRule="auto"/>
        <w:rPr>
          <w:sz w:val="20"/>
          <w:szCs w:val="20"/>
          <w:color w:val="auto"/>
        </w:rPr>
      </w:pPr>
      <w:r>
        <w:rPr>
          <w:rFonts w:ascii="Arial" w:cs="Arial" w:eastAsia="Arial" w:hAnsi="Arial"/>
          <w:sz w:val="16"/>
          <w:szCs w:val="16"/>
          <w:color w:val="auto"/>
        </w:rPr>
        <w:t>As reflected in the table below, both firm and funded backlog decreased during the first nine months of fiscal year 2011. The decrease in firm and funded backlog was primarily due to expected contract awards being delayed and shifting to the last quarter of fiscal year 2011 or the early part of fiscal year 2012.</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Arial" w:cs="Arial" w:eastAsia="Arial" w:hAnsi="Arial"/>
                <w:sz w:val="14"/>
                <w:szCs w:val="14"/>
                <w:b w:val="1"/>
                <w:bCs w:val="1"/>
                <w:color w:val="auto"/>
              </w:rPr>
              <w:t>December 31, 2010</w:t>
            </w:r>
          </w:p>
        </w:tc>
        <w:tc>
          <w:tcPr>
            <w:tcW w:w="960" w:type="dxa"/>
            <w:vAlign w:val="bottom"/>
            <w:gridSpan w:val="4"/>
          </w:tcPr>
          <w:p>
            <w:pPr>
              <w:ind w:left="60"/>
              <w:spacing w:after="0"/>
              <w:rPr>
                <w:sz w:val="20"/>
                <w:szCs w:val="20"/>
                <w:color w:val="auto"/>
              </w:rPr>
            </w:pPr>
            <w:r>
              <w:rPr>
                <w:rFonts w:ascii="Arial" w:cs="Arial" w:eastAsia="Arial" w:hAnsi="Arial"/>
                <w:sz w:val="14"/>
                <w:szCs w:val="14"/>
                <w:b w:val="1"/>
                <w:bCs w:val="1"/>
                <w:color w:val="auto"/>
              </w:rPr>
              <w:t>April 2, 2010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(In</w:t>
            </w:r>
          </w:p>
        </w:tc>
        <w:tc>
          <w:tcPr>
            <w:tcW w:w="560" w:type="dxa"/>
            <w:vAlign w:val="bottom"/>
          </w:tcPr>
          <w:p>
            <w:pPr>
              <w:spacing w:after="0" w:line="142" w:lineRule="exact"/>
              <w:rPr>
                <w:sz w:val="20"/>
                <w:szCs w:val="20"/>
                <w:color w:val="auto"/>
              </w:rPr>
            </w:pPr>
            <w:r>
              <w:rPr>
                <w:rFonts w:ascii="Arial" w:cs="Arial" w:eastAsia="Arial" w:hAnsi="Arial"/>
                <w:sz w:val="14"/>
                <w:szCs w:val="14"/>
                <w:b w:val="1"/>
                <w:bCs w:val="1"/>
                <w:color w:val="auto"/>
                <w:w w:val="93"/>
              </w:rPr>
              <w:t>millions)</w:t>
            </w:r>
          </w:p>
        </w:tc>
        <w:tc>
          <w:tcPr>
            <w:tcW w:w="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Firm backlog</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Government Systems segment</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266.1</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Commercial Networks segment</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Satellite Services segment</w:t>
            </w: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523.5</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w:t>
            </w:r>
            <w:r>
              <w:rPr>
                <w:rFonts w:ascii="Arial" w:cs="Arial" w:eastAsia="Arial" w:hAnsi="Arial"/>
                <w:sz w:val="18"/>
                <w:szCs w:val="18"/>
                <w:u w:val="single" w:color="auto"/>
                <w:color w:val="auto"/>
              </w:rPr>
              <w:t>8</w:t>
            </w: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Funded backlog</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 segment</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Commercial Networks segment</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236.9</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 segment</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3"/>
        </w:trPr>
        <w:tc>
          <w:tcPr>
            <w:tcW w:w="8720" w:type="dxa"/>
            <w:vAlign w:val="bottom"/>
            <w:gridSpan w:val="2"/>
          </w:tcPr>
          <w:p>
            <w:pPr>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478.1</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w:t>
            </w:r>
            <w:r>
              <w:rPr>
                <w:rFonts w:ascii="Arial" w:cs="Arial" w:eastAsia="Arial" w:hAnsi="Arial"/>
                <w:sz w:val="18"/>
                <w:szCs w:val="18"/>
                <w:u w:val="single" w:color="auto"/>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firm backlog does not include contract options. Of the $523.5 million in firm backlog, approximately $116.4 million is expected to be delivered during the remaining three months of fiscal year 2011, and the balance is expected to be delivered in fiscal year 2012 and thereafter. We include in our backlog only those orders for which we have accepted purchase orders.</w:t>
      </w:r>
    </w:p>
    <w:p>
      <w:pPr>
        <w:spacing w:after="0" w:line="73" w:lineRule="exact"/>
        <w:rPr>
          <w:sz w:val="20"/>
          <w:szCs w:val="20"/>
          <w:color w:val="auto"/>
        </w:rPr>
      </w:pPr>
    </w:p>
    <w:p>
      <w:pPr>
        <w:ind w:right="1000" w:firstLine="225"/>
        <w:spacing w:after="0" w:line="277" w:lineRule="auto"/>
        <w:rPr>
          <w:sz w:val="20"/>
          <w:szCs w:val="20"/>
          <w:color w:val="auto"/>
        </w:rPr>
      </w:pPr>
      <w:r>
        <w:rPr>
          <w:rFonts w:ascii="Arial" w:cs="Arial" w:eastAsia="Arial" w:hAnsi="Arial"/>
          <w:sz w:val="18"/>
          <w:szCs w:val="18"/>
          <w:color w:val="auto"/>
        </w:rPr>
        <w:t>Our new awards totaled $172.1 million and $576.7 million in the three and nine months ended December 31, 2010, respectively, compared to $157.1 million and $503.4 million for the three and nine months ended January 1, 2010, respectively.</w:t>
      </w:r>
    </w:p>
    <w:p>
      <w:pPr>
        <w:spacing w:after="0" w:line="62"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79"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Firm backlog amounts as presented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fundings have ultimately been approximately equal to the aggregate amounts of the contracts.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0" w:firstLine="222"/>
        <w:spacing w:after="0" w:line="287" w:lineRule="auto"/>
        <w:rPr>
          <w:sz w:val="20"/>
          <w:szCs w:val="20"/>
          <w:color w:val="auto"/>
        </w:rPr>
      </w:pPr>
      <w:r>
        <w:rPr>
          <w:rFonts w:ascii="Arial" w:cs="Arial" w:eastAsia="Arial" w:hAnsi="Arial"/>
          <w:sz w:val="16"/>
          <w:szCs w:val="16"/>
          <w:color w:val="auto"/>
        </w:rPr>
        <w:t>We have financed our operations to date primarily with cash flows from operations, bank line of credit financing, debt financing and equity financing. The general cash needs of our government systems, commercial networks and satellite services segments can vary significantly and depend on the type and mix of contracts in backlog (i.e., product or service, development or production, and timing of payments), the quality of the customer (i.e., government or commercial, domestic or international), the duration of the contract and the timing of payment of capital expenditures (e.g., milestones under our satellite construction and launch contracts). In addition, primarily within our government systems and commercial networks segments, program performance significantly impacts the timing and amount of cash flows. If a program is performing and meeting its contractual requirements, then the cash flow requirements are usually lower. The cash needs of the government systems segment tend to be more a function of the type of contract rather than customer quality. Also, U.S. government procurement regulations tend to restrict the timing of cash payments on the contract. In the commercial networks and satellite services segments, our cash needs are driven primarily by the quality of the customer and the type of contract. The quality of the customer can affect the specific contract cash flow and whether financing instruments are required by the customer. In addition, the commercial networks and satellite services financing environments tend to provide for more flexible payment terms with customers, including advance payments.</w:t>
      </w:r>
    </w:p>
    <w:p>
      <w:pPr>
        <w:spacing w:after="0" w:line="65"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Cash provided by operating activities for the first nine months of fiscal year 2011 was $123.3 million as compared to cash provided by operating activities of $57.9 million for the first nine months of fiscal year 2010. This $65.4 million increase was primarily driven by our operating results (net income adjusted for depreciation, amortization and other non-cash charges) which generated $73.9 million of cash inflows, offset by an $8.4 million year-over-year increase in cash used to fund net operating asset needs. The increase in net operating assets was predominantly due to an approximate $23.3 million decrease in accounts payable from April 2, 2010 due to timing of payments, offset by an increase of approximately $18.0 million from April 2, 2010 in our collections in excess of revenues and deferred revenues included in accrued liabilities, primarily due to timing of billings in our satellite services and commercial networks segments.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225"/>
        <w:spacing w:after="0" w:line="297" w:lineRule="auto"/>
        <w:rPr>
          <w:sz w:val="20"/>
          <w:szCs w:val="20"/>
          <w:color w:val="auto"/>
        </w:rPr>
      </w:pPr>
      <w:r>
        <w:rPr>
          <w:rFonts w:ascii="Arial" w:cs="Arial" w:eastAsia="Arial" w:hAnsi="Arial"/>
          <w:sz w:val="16"/>
          <w:szCs w:val="16"/>
          <w:color w:val="auto"/>
        </w:rPr>
        <w:t>Cash used in investing activities in the first nine months of fiscal year 2011 was $176.7 million as compared to $468.3 million for the first nine months of fiscal year 2010. This $291.6 million decrease in cash used in investing activities was primarily related to $378.0 million of net cash used for the acquisition of WildBlue in the first nine months of fiscal year 2010, compared to approximately $13.5 million of net cash used for the acquisition of Stonewood in fiscal year 2011. This decrease was offset by an increase of approximately $39.9 million in capital expenditures for new CPE units and other general purpose equipment and an additional $24.0 million for the construction of gateway facilities and network operation systems related to ViaSat-1.</w:t>
      </w:r>
    </w:p>
    <w:p>
      <w:pPr>
        <w:spacing w:after="0" w:line="50" w:lineRule="exact"/>
        <w:rPr>
          <w:sz w:val="20"/>
          <w:szCs w:val="20"/>
          <w:color w:val="auto"/>
        </w:rPr>
      </w:pPr>
    </w:p>
    <w:p>
      <w:pPr>
        <w:ind w:right="60" w:firstLine="225"/>
        <w:spacing w:after="0" w:line="293" w:lineRule="auto"/>
        <w:rPr>
          <w:sz w:val="20"/>
          <w:szCs w:val="20"/>
          <w:color w:val="auto"/>
        </w:rPr>
      </w:pPr>
      <w:r>
        <w:rPr>
          <w:rFonts w:ascii="Arial" w:cs="Arial" w:eastAsia="Arial" w:hAnsi="Arial"/>
          <w:sz w:val="16"/>
          <w:szCs w:val="16"/>
          <w:color w:val="auto"/>
        </w:rPr>
        <w:t>Cash provided by financing activities for the first nine months of fiscal year 2011 was $8.9 million as compared to $413.6 million for the first nine months of fiscal year 2010. This $404.7 million decrease related primarily to $271.6 million and $263.0 million in proceeds from borrowings under the Notes and under our Credit Facility, respectively, during first nine months of fiscal year 2010, compared to a $10.0 million, net, repayment of borrowings under our Credit Facility during the same period of fiscal year 2011. In addition, cash provided by financing activities for both periods included cash received from stock option exercises and employee stock purchase plan purchases, which raised an additional $9.6 million year-over-year, and cash used for the repurchase of common stock related to net share settlement of certain employee tax liabilities in connection with the vesting of restricted stock unit awards.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Satellite-related activities</w:t>
      </w:r>
    </w:p>
    <w:p>
      <w:pPr>
        <w:spacing w:after="0" w:line="117"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In January 2008, we entered into several agreements with Space Systems/Loral, Inc. (SS/L), Loral Space &amp; Communications, Inc. (Loral) and Telesat Canada related to our anticipated high-capacity satellite system. Under the satellite construction contract with SS/L, we purchased ViaSat-1, a new high-capacity Ka-band spot-beam satellite designed by us and currently under construction by SS/L for approximately $209.1 million, subject to purchase price adjustments based on satellite performance. The total cost of the satellite is $246.0 million, but as part of the satellite purchase arrangements, Loral executed a separate contract with SS/L whereby Loral is purchasing the Canadian beams on the ViaSat-1 satellite for approximately $36.9 million (15% of the total satellite cost). We have entered into a beam sharing agreement with Loral, whereby Loral has agreed to reimburse us for 15% of the total costs associated with launch and launch insurance, which is estimated to be approximately $22.5 million, and in-orbit insurance and satellite operating costs post launch.</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November 2008, we entered into a launch services agreement with Arianespace to procure launch services for ViaSat-1 at a cost estimated to be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$107.8 million, depending on the mass of the satellite at launch. In March 2009, we substituted ILS International Launch Services, Inc. (ILS) for Arianespace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the primary provider of launch services for ViaSat-1, and accordingly, we entered into a contract for launch services with ILS to procure launch services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ViaSat-1 at an estimated cost of approximately $80.0 million, subject to certain adjustments, resulting in a net savings of approximately $20.0 million.</w:t>
      </w:r>
    </w:p>
    <w:p>
      <w:pPr>
        <w:spacing w:after="0" w:line="114"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On May 7, 2009, we entered into an Amended and Restated Launch Services Agreement with Arianespace whereby Arianespace has agreed to perform certain launch services to maintain the launch capability for ViaSat-1, should the need arise, or for launch services of a future ViaSat satellite launch prior to December 2015. This amendment and restatement also provides for certain cost adjustments depending on fluctuations in foreign currencies, mass of the satellite launched and launch period timing.</w:t>
      </w:r>
    </w:p>
    <w:p>
      <w:pPr>
        <w:spacing w:after="0" w:line="79" w:lineRule="exact"/>
        <w:rPr>
          <w:sz w:val="20"/>
          <w:szCs w:val="20"/>
          <w:color w:val="auto"/>
        </w:rPr>
      </w:pPr>
    </w:p>
    <w:p>
      <w:pPr>
        <w:ind w:right="120" w:firstLine="222"/>
        <w:spacing w:after="0" w:line="291" w:lineRule="auto"/>
        <w:rPr>
          <w:sz w:val="20"/>
          <w:szCs w:val="20"/>
          <w:color w:val="auto"/>
        </w:rPr>
      </w:pPr>
      <w:r>
        <w:rPr>
          <w:rFonts w:ascii="Arial" w:cs="Arial" w:eastAsia="Arial" w:hAnsi="Arial"/>
          <w:sz w:val="16"/>
          <w:szCs w:val="16"/>
          <w:color w:val="auto"/>
        </w:rPr>
        <w:t>The projected total cost of the ViaSat-1 project, including the satellite, launch, insurance and related gateway infrastructure, through in-service of the satellite is estimated to be approximately $400.0 million, excluding capitalized interest, and will depend on the timing of the gateway infrastructure roll-out, among other things. However, we anticipate capitalizing certain amounts of interest expense related to our outstanding borrowings in connection with our capital projects under construction, such as construction of ViaSat-1 and other assets. We continually evaluate alternative strategies that would limit our total required investment. We believe we have adequate sources of funding for the project, which includes our cash on hand, the cash we expect to generate from operations, and additional borrowing ability based on our financial position and debt leverage ratio. We believe this provides us flexibility to execute this project in an appropriate manner and/or obtain outside equity under terms that we consider reasonable.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2016</w:t>
      </w:r>
    </w:p>
    <w:p>
      <w:pPr>
        <w:spacing w:after="0" w:line="117"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On October 22, 2009, we issued $275.0 million in principal amount of Notes in a private placement to institutional buyers. The Notes were exchanged in May 2010 for substantially identical Notes that had been registered with the SEC. The Notes bear interest at the rate of 8.875% per year, payable semi-annually in cash in arrears, which interest payments commenced in March 2010. The Notes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were issued with an original issue discount of 1.24%, or $3.4 million. The Notes are recorded as long-term debt, net of original issue discount, in our consolidated financial statements. The original issue discount and deferred financing cost associated with the issuance of the Notes are amortized to interest expense over the term of the Notes.</w:t>
      </w:r>
    </w:p>
    <w:p>
      <w:pPr>
        <w:spacing w:after="0" w:line="73"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Notes are guaranteed on an unsecured senior basis by each of our existing and future subsidiaries that guarantees the Credit Facility (the Guarantor Subsidiaries). The Notes and the guarantees are our and the Guarantor Subsidiaries’ general senior unsecured obligations and rank equally in right of payment with all of their existing and future unsecured unsubordinated debt. The Notes and the guarantees are effectively junior in right of payment to their existing and future secured debt, including under the Credit Facility (to the extent of the value of the assets securing such debt), are structurally subordinated to all existing and future liabilities (including trade payables) of our subsidiaries that are not guarantors of the Notes, and are senior in right of payment to all of their existing and future subordinated indebtedness.</w:t>
      </w:r>
    </w:p>
    <w:p>
      <w:pPr>
        <w:spacing w:after="0" w:line="85"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The indenture governing the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their assets to, another person.</w:t>
      </w:r>
    </w:p>
    <w:p>
      <w:pPr>
        <w:spacing w:after="0" w:line="80" w:lineRule="exact"/>
        <w:rPr>
          <w:sz w:val="20"/>
          <w:szCs w:val="20"/>
          <w:color w:val="auto"/>
        </w:rPr>
      </w:pPr>
    </w:p>
    <w:p>
      <w:pPr>
        <w:ind w:right="60" w:firstLine="225"/>
        <w:spacing w:after="0" w:line="285" w:lineRule="auto"/>
        <w:rPr>
          <w:sz w:val="20"/>
          <w:szCs w:val="20"/>
          <w:color w:val="auto"/>
        </w:rPr>
      </w:pPr>
      <w:r>
        <w:rPr>
          <w:rFonts w:ascii="Arial" w:cs="Arial" w:eastAsia="Arial" w:hAnsi="Arial"/>
          <w:sz w:val="16"/>
          <w:szCs w:val="16"/>
          <w:color w:val="auto"/>
        </w:rPr>
        <w:t>Prior to September 15, 2012, we may redeem up to 35% of the Notes at a redemption price of 108.875% of the principal amount thereof, plus accrued and unpaid interest, if any, thereon to the redemption date, from the net cash proceeds of specified equity offerings. We may also redeem the Notes prior to September 15, 2012,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Notes and (ii) the excess, if any, of (a) the present value at such date of redemption of (1) the redemption price of such Notes on September 15, 2012 plus</w:t>
      </w:r>
    </w:p>
    <w:p>
      <w:pPr>
        <w:spacing w:after="0" w:line="2" w:lineRule="exact"/>
        <w:rPr>
          <w:sz w:val="20"/>
          <w:szCs w:val="20"/>
          <w:color w:val="auto"/>
        </w:rPr>
      </w:pPr>
    </w:p>
    <w:p>
      <w:pPr>
        <w:ind w:right="20" w:firstLine="8"/>
        <w:spacing w:after="0" w:line="252"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required interest payments due on such Notes through September 15, 2012 (excluding accrued but unpaid interest to the date of redemption), computed using a discount rate equal to the treasury rate (as defined under the indenture) plus 50 basis points, over (b) the then-outstanding principal amount of such Notes. The Notes may be redeemed, in whole or in part, at any time during the twelve months beginning on September 15, 2012 at a redemption price of 106.656%, during the twelve months beginning on September 15, 2013 at a redemption price of 104.438%, during the twelve months beginning on September 15, 2014 at a redemption price of 102.219%, and at any time on or after September 12, 2015 at a redemption price of 100%, in each case plus accrued and unpaid interest, if any, thereon to the redemption date.</w:t>
      </w:r>
    </w:p>
    <w:p>
      <w:pPr>
        <w:spacing w:after="0" w:line="86"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In the event a change of control occurs (as defined under the indenture), each holder will have the right to require us to repurchase all or any part (equal to $2,000 or larger integral multiples of $1,000) of such holder’s Notes at a purchase price in cash equal to 101% of the aggregate principal amount of the Notes repurchased plus accrued and unpaid interest, if any, to the date of purchase (subject to the right of holders of record on the relevant record date to receive interest due on the relevant interest payment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 and liquidity</w:t>
      </w:r>
    </w:p>
    <w:p>
      <w:pPr>
        <w:spacing w:after="0" w:line="117"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We invest our cash in excess of current operating requirements in short-term, interest-bearing, investment-grade securities. At December 31, 2010, we had $45.4 million in cash and cash equivalents, $181.8 million in working capital and $50.0 million in principal amount of outstanding borrowings under our Credit Facility. At April 2, 2010, we had $89.6 million in cash and cash equivalents, $214.5 million in working capital and $60.0 million in principal amount of outstanding borrowings under our Credit Facility.</w:t>
      </w:r>
    </w:p>
    <w:p>
      <w:pPr>
        <w:spacing w:after="0" w:line="79" w:lineRule="exact"/>
        <w:rPr>
          <w:sz w:val="20"/>
          <w:szCs w:val="20"/>
          <w:color w:val="auto"/>
        </w:rPr>
      </w:pPr>
    </w:p>
    <w:p>
      <w:pPr>
        <w:ind w:right="20" w:firstLine="215"/>
        <w:spacing w:after="0" w:line="288" w:lineRule="auto"/>
        <w:rPr>
          <w:sz w:val="20"/>
          <w:szCs w:val="20"/>
          <w:color w:val="auto"/>
        </w:rPr>
      </w:pPr>
      <w:r>
        <w:rPr>
          <w:rFonts w:ascii="Arial" w:cs="Arial" w:eastAsia="Arial" w:hAnsi="Arial"/>
          <w:sz w:val="16"/>
          <w:szCs w:val="16"/>
          <w:color w:val="auto"/>
        </w:rPr>
        <w:t>As of December 31, 2010, the Credit Facility provided a revolving line of credit of $275.0 million (including up to $35.0 million of letters of credit) with a maturity date of July 1, 2012. Borrowings under the Credit Facility bear interest, at our option, at either (1) the highest of the Federal Funds rate plus 0.50%, Eurodollar rate plus 1.00% or the administrative agent’s prime rate as announced from time to time, or (2) at the Eurodollar rate plus, in the case of each of</w:t>
      </w:r>
    </w:p>
    <w:p>
      <w:pPr>
        <w:ind w:right="160" w:firstLine="8"/>
        <w:spacing w:after="0" w:line="292" w:lineRule="auto"/>
        <w:tabs>
          <w:tab w:leader="none" w:pos="2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and (2), an applicable margin that is based on the ratio of our debt to earnings before interest, taxes, depreciation and amortization (EBITDA). At December 31, 2010, the weighted average effective interest rate on our outstanding borrowings under the Credit Facility was 4.28%. We have capitalized certain amounts of interest expense on our Credit Facility in connection with the construction of ViaSat-1 and other assets currently under construction. The Credit Facility is guaranteed by certain of our domestic subsidiaries and collateralized by substantially all of our respective assets. The Credit Facility contains financial covenants regarding a maximum leverage ratio, a maximum senior secured leverage ratio and a minimum interest</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coverage ratio. In addition, the Credit Facility contains covenants that restrict, among other things, our ability to sell assets, make investments and acquisitions, make capital expenditures, grant liens, pay dividends and make certain other restricted payments.</w:t>
      </w:r>
    </w:p>
    <w:p>
      <w:pPr>
        <w:spacing w:after="0" w:line="62" w:lineRule="exact"/>
        <w:rPr>
          <w:sz w:val="20"/>
          <w:szCs w:val="20"/>
          <w:color w:val="auto"/>
        </w:rPr>
      </w:pPr>
    </w:p>
    <w:p>
      <w:pPr>
        <w:ind w:right="60" w:firstLine="215"/>
        <w:spacing w:after="0" w:line="286" w:lineRule="auto"/>
        <w:rPr>
          <w:sz w:val="20"/>
          <w:szCs w:val="20"/>
          <w:color w:val="auto"/>
        </w:rPr>
      </w:pPr>
      <w:r>
        <w:rPr>
          <w:rFonts w:ascii="Arial" w:cs="Arial" w:eastAsia="Arial" w:hAnsi="Arial"/>
          <w:sz w:val="17"/>
          <w:szCs w:val="17"/>
          <w:color w:val="auto"/>
        </w:rPr>
        <w:t>At December 31, 2010, we had $50.0 million in principal amount of outstanding borrowings under the Credit Facility and $14.8 million outstanding under standby letters of credit, leaving borrowing availability under the Credit Facility as of December 31, 2010 of $210.2 million. At April 2, 2010, we had $60.0 million in principal amount of outstanding borrowings under the Credit Facility and $12.9 million outstanding under standby letters of credit.</w:t>
      </w:r>
    </w:p>
    <w:p>
      <w:pPr>
        <w:spacing w:after="0" w:line="57"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On January 25, 2011, subsequent to the third quarter of fiscal year 2011, we further amended the Credit Facility to (1) increase our revolving line of credit from $275.0 million to $325.0 million, (2) extend the maturity date of the Credit Facility from July 1, 2012 to January 25, 2016, (3) decrease the commitment fee and the applicable margin for Eurodollar and base rate loans under the Credit Facility, and (4) amend certain financial and other covenants to provide us with increased flexibility.</w:t>
      </w:r>
    </w:p>
    <w:p>
      <w:pPr>
        <w:spacing w:after="0" w:line="79"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To further enhance our liquidity position, we may obtain additional financing, which could consist of debt, convertible debt or equity financing from public and/or private capital markets. In March 2010, we filed a universal shelf registration statement with the SEC for the future sale of an unlimited amount of debt securities, common stock, preferred stock, depositary shares, warrants and rights. The securities may be offered from time to time, separately or together, directly by us, by selling security holders, or through underwriters, dealers or agents at amounts, prices, interest rates and other terms to be determined at the time of the offering.</w:t>
      </w:r>
    </w:p>
    <w:p>
      <w:pPr>
        <w:spacing w:after="0" w:line="80"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On March 31, 2010, we and certain WildBlue Investors completed the sale of an aggregate of 6,900,000 shares of ViaSat common stock in an underwritten public offering, 3,173,962 of which were sold by us and 3,726,038 of which were sold by such WildBlue Investors. Our net proceeds from the offering were approximately $100.5 million. The shares sold by WildBlue Investors in the offering constituted shares of our common stock issued to such WildBlue Investors in connection with our acquisition of WildBlue. On April 1, 2010, we used $80.0 million of the net proceeds to repay outstanding borrowings under the Credit Facility. The remaining net proceeds from the offering were used for general corporate purposes.</w:t>
      </w:r>
    </w:p>
    <w:p>
      <w:pPr>
        <w:spacing w:after="0" w:line="64" w:lineRule="exact"/>
        <w:rPr>
          <w:sz w:val="20"/>
          <w:szCs w:val="20"/>
          <w:color w:val="auto"/>
        </w:rPr>
      </w:pPr>
    </w:p>
    <w:p>
      <w:pPr>
        <w:ind w:right="220" w:firstLine="225"/>
        <w:spacing w:after="0" w:line="255" w:lineRule="auto"/>
        <w:rPr>
          <w:sz w:val="20"/>
          <w:szCs w:val="20"/>
          <w:color w:val="auto"/>
        </w:rPr>
      </w:pPr>
      <w:r>
        <w:rPr>
          <w:rFonts w:ascii="Arial" w:cs="Arial" w:eastAsia="Arial" w:hAnsi="Arial"/>
          <w:sz w:val="18"/>
          <w:szCs w:val="18"/>
          <w:color w:val="auto"/>
        </w:rPr>
        <w:t>Our future capital requirements will depend upon many factors, including the timing and amount of cash required for the ViaSat-1 satellite project pursuant to our contractual commitments, other future broadband satellite projects we may engage in, expansion of our research and development and marketing efforts, and the nature and timing of orders. Additionally, we will continue to evaluate possible acquisitions of, or investments in complementary businesses, products and technologies which may require the use of cash or additional financing. We believe that our current cash balances and net cash expected to be provided by operating activities along with availability under our Credit Facility will be sufficient to meet our anticipated operating requirements for at least the next twelve months.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a summary of our obligations at December 31, 2010: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For the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Remainder of</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93"/>
              </w:rPr>
              <w:t>For the Fiscal Years Ending</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jc w:val="right"/>
              <w:ind w:right="900"/>
              <w:spacing w:after="0"/>
              <w:rPr>
                <w:sz w:val="20"/>
                <w:szCs w:val="20"/>
                <w:color w:val="auto"/>
              </w:rPr>
            </w:pPr>
            <w:r>
              <w:rPr>
                <w:rFonts w:ascii="Arial" w:cs="Arial" w:eastAsia="Arial" w:hAnsi="Arial"/>
                <w:sz w:val="14"/>
                <w:szCs w:val="14"/>
                <w:b w:val="1"/>
                <w:bCs w:val="1"/>
                <w:color w:val="auto"/>
              </w:rPr>
              <w:t>Total</w:t>
            </w:r>
          </w:p>
        </w:tc>
        <w:tc>
          <w:tcPr>
            <w:tcW w:w="11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Fiscal Year</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center"/>
              <w:ind w:right="74"/>
              <w:spacing w:after="0" w:line="142" w:lineRule="exact"/>
              <w:rPr>
                <w:sz w:val="20"/>
                <w:szCs w:val="20"/>
                <w:color w:val="auto"/>
              </w:rPr>
            </w:pPr>
            <w:r>
              <w:rPr>
                <w:rFonts w:ascii="Arial" w:cs="Arial" w:eastAsia="Arial" w:hAnsi="Arial"/>
                <w:sz w:val="14"/>
                <w:szCs w:val="14"/>
                <w:b w:val="1"/>
                <w:bCs w:val="1"/>
                <w:color w:val="auto"/>
                <w:w w:val="89"/>
              </w:rPr>
              <w:t>2011</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2012-2013</w:t>
            </w:r>
          </w:p>
        </w:tc>
        <w:tc>
          <w:tcPr>
            <w:tcW w:w="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2014-2015</w:t>
            </w:r>
          </w:p>
        </w:tc>
        <w:tc>
          <w:tcPr>
            <w:tcW w:w="6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Thereafter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 and satellite capacity agreements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133,089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7,780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47,074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43,004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Capital lease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2,960</w:t>
            </w:r>
          </w:p>
        </w:tc>
        <w:tc>
          <w:tcPr>
            <w:tcW w:w="1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2,361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599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The Notes (1)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414,319</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48,813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48,813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310,591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Line of credit (2)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50,000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Standby letters of credit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14,801</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5,290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9,511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tcPr>
          <w:p>
            <w:pPr>
              <w:spacing w:after="0" w:line="201" w:lineRule="exact"/>
              <w:rPr>
                <w:sz w:val="20"/>
                <w:szCs w:val="20"/>
                <w:color w:val="auto"/>
              </w:rPr>
            </w:pPr>
            <w:r>
              <w:rPr>
                <w:rFonts w:ascii="Arial" w:cs="Arial" w:eastAsia="Arial" w:hAnsi="Arial"/>
                <w:sz w:val="18"/>
                <w:szCs w:val="18"/>
                <w:color w:val="auto"/>
              </w:rPr>
              <w:t>Purchase commitments including satellite-related</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agreements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514,769</w:t>
            </w:r>
          </w:p>
        </w:tc>
        <w:tc>
          <w:tcPr>
            <w:tcW w:w="16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109,373</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150,947</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149,653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104,796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1,129,938</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128,545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308,706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242,069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450,618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60" w:hanging="452"/>
        <w:spacing w:after="0" w:line="27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total interest payments on the Notes of $6.1 million for the remainder of fiscal year 2011, $48.8 million in fiscal 2012-2013, $48.8 million in fiscal 2014-2015 and $35.6 million thereafter.</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Does not reflect the amendment to the Credit Facility in January 2011 which extended the maturity date to January 2016.</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2"/>
        <w:spacing w:after="0" w:line="272" w:lineRule="auto"/>
        <w:rPr>
          <w:sz w:val="20"/>
          <w:szCs w:val="20"/>
          <w:color w:val="auto"/>
        </w:rPr>
      </w:pPr>
      <w:r>
        <w:rPr>
          <w:rFonts w:ascii="Arial" w:cs="Arial" w:eastAsia="Arial" w:hAnsi="Arial"/>
          <w:sz w:val="17"/>
          <w:szCs w:val="17"/>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have also entered into agreements with suppliers for the construction, operation and launch of ViaSat-1. In addition, we have contracted for an additional launch which can be used as a back-up launch for ViaSat-1 or for a future satellite.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w:t>
      </w:r>
    </w:p>
    <w:p>
      <w:pPr>
        <w:spacing w:after="0" w:line="70" w:lineRule="exact"/>
        <w:rPr>
          <w:sz w:val="20"/>
          <w:szCs w:val="20"/>
          <w:color w:val="auto"/>
        </w:rPr>
      </w:pPr>
    </w:p>
    <w:p>
      <w:pPr>
        <w:ind w:right="320" w:firstLine="225"/>
        <w:spacing w:after="0" w:line="276" w:lineRule="auto"/>
        <w:rPr>
          <w:sz w:val="20"/>
          <w:szCs w:val="20"/>
          <w:color w:val="auto"/>
        </w:rPr>
      </w:pPr>
      <w:r>
        <w:rPr>
          <w:rFonts w:ascii="Arial" w:cs="Arial" w:eastAsia="Arial" w:hAnsi="Arial"/>
          <w:sz w:val="17"/>
          <w:szCs w:val="17"/>
          <w:color w:val="auto"/>
        </w:rPr>
        <w:t>Our condensed consolidated balance sheets included $30.3 million and $24.4 million of “other liabilities” as of December 31, 2010 and April 2, 2010, respectively, which primarily consisted of our long-term warranty obligations, deferred lease credits, long-term portion of deferred revenue and long-term unrecognized tax position liabilities. These remaining liabilities have been excluded from the above table as the timing and/or the amount of any cash payment is uncertain. See Note 10 of the notes to condensed consolidated financial statements for additional information regarding our income taxes and related tax positions and Note 8 for a discussion of our product warranties.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121" w:lineRule="exact"/>
        <w:rPr>
          <w:sz w:val="20"/>
          <w:szCs w:val="20"/>
          <w:color w:val="auto"/>
        </w:rPr>
      </w:pPr>
    </w:p>
    <w:p>
      <w:pPr>
        <w:ind w:right="100" w:firstLine="225"/>
        <w:spacing w:after="0" w:line="273" w:lineRule="auto"/>
        <w:rPr>
          <w:sz w:val="20"/>
          <w:szCs w:val="20"/>
          <w:color w:val="auto"/>
        </w:rPr>
      </w:pPr>
      <w:r>
        <w:rPr>
          <w:rFonts w:ascii="Arial" w:cs="Arial" w:eastAsia="Arial" w:hAnsi="Arial"/>
          <w:sz w:val="17"/>
          <w:szCs w:val="17"/>
          <w:color w:val="auto"/>
        </w:rPr>
        <w:t>In October 2009, the FASB issued authoritative guidance for revenue recognition with multiple deliverables (EITF 08-1, “Revenue Arrangements with Multiple Deliverables”). This new guidance impacts the determination of when the individual deliverables included in a multiple-element arrangement may be treated as separate units of accounting. Additionally, this guidance modifies the manner in which the transaction consideration is allocated across the separately identified deliverables by no longer permitting the residual method of allocating arrangement consideration. This guidance will be effective for us beginning in the first quarter of fiscal year 2012; however, early adoption is permitted. We are currently evaluating the impact that the authoritative guidance may have on our consolidated financial statements and disclosures.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0" w:firstLine="222"/>
        <w:spacing w:after="0" w:line="264" w:lineRule="auto"/>
        <w:rPr>
          <w:sz w:val="20"/>
          <w:szCs w:val="20"/>
          <w:color w:val="auto"/>
        </w:rPr>
      </w:pPr>
      <w:r>
        <w:rPr>
          <w:rFonts w:ascii="Arial" w:cs="Arial" w:eastAsia="Arial" w:hAnsi="Arial"/>
          <w:sz w:val="18"/>
          <w:szCs w:val="18"/>
          <w:color w:val="auto"/>
        </w:rPr>
        <w:t>We had no material off-balance sheet arrangements at December 31, 2010 as defined in Regulation S-K Item 303(a)(4) other than as discussed under Contractual Obligations above or disclosed in the notes to our financial statements included in this Quarterly Report or in our Annual Report on Form 10-K for the year ended April 2, 2010.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Our financial instruments consist of cash and cash equivalents, trade accounts receivable, accounts payable, and short-term and long-term obligations, including the Credit Facility and the Notes. We consider investments in highly liquid instruments purchased with a remaining maturity of 90 days or less at the date of purchase to be cash equivalents. As of December 31, 2010, we had $50.0 million and $275.0 million in principal amount of outstanding borrowings under our Credit Facility and Notes, respectively, and we held no short-term investments. Our exposure to market risk for changes in interest rates relates primarily to borrowings under our Credit Facility, cash equivalents, short-term investments and short-term obligations, as our Notes bear interest at a fixed rate.</w:t>
      </w:r>
    </w:p>
    <w:p>
      <w:pPr>
        <w:spacing w:after="0" w:line="85" w:lineRule="exact"/>
        <w:rPr>
          <w:sz w:val="20"/>
          <w:szCs w:val="20"/>
          <w:color w:val="auto"/>
        </w:rPr>
      </w:pPr>
    </w:p>
    <w:p>
      <w:pPr>
        <w:ind w:right="40" w:firstLine="222"/>
        <w:spacing w:after="0" w:line="290" w:lineRule="auto"/>
        <w:rPr>
          <w:sz w:val="20"/>
          <w:szCs w:val="20"/>
          <w:color w:val="auto"/>
        </w:rPr>
      </w:pPr>
      <w:r>
        <w:rPr>
          <w:rFonts w:ascii="Arial" w:cs="Arial" w:eastAsia="Arial" w:hAnsi="Arial"/>
          <w:sz w:val="16"/>
          <w:szCs w:val="16"/>
          <w:color w:val="auto"/>
        </w:rPr>
        <w:t>The primary objective of our investment activities is to preserve principal while at the same time maximizing the income we receive from our investments without significantly increasing risk. To minimize this risk, we maintain a significant portion of our cash balance in money market funds. In general, money market funds are not subject to interest rate risk because the interest paid on such funds fluctuates with the prevailing interest rate. Our cash and cash equivalents earn interest at variable rates. Given recent declines in interest rates, our interest income has been and may continue to be negatively impacted.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 constant over a year, changed by 50 basis points, interest income would have increased or decreased by approximately $0.1 million. Because our investment policy restricts us to invest in conservative, interest-bearing investments and because our business strategy</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does not rely on generating material returns from our investment portfolio, we do not expect our market risk exposure on our investment portfolio to be material.</w:t>
      </w:r>
    </w:p>
    <w:p>
      <w:pPr>
        <w:spacing w:after="0" w:line="62" w:lineRule="exact"/>
        <w:rPr>
          <w:sz w:val="20"/>
          <w:szCs w:val="20"/>
          <w:color w:val="auto"/>
        </w:rPr>
      </w:pPr>
    </w:p>
    <w:p>
      <w:pPr>
        <w:ind w:right="100" w:firstLine="215"/>
        <w:spacing w:after="0" w:line="257" w:lineRule="auto"/>
        <w:rPr>
          <w:sz w:val="20"/>
          <w:szCs w:val="20"/>
          <w:color w:val="auto"/>
        </w:rPr>
      </w:pPr>
      <w:r>
        <w:rPr>
          <w:rFonts w:ascii="Arial" w:cs="Arial" w:eastAsia="Arial" w:hAnsi="Arial"/>
          <w:sz w:val="18"/>
          <w:szCs w:val="18"/>
          <w:color w:val="auto"/>
        </w:rPr>
        <w:t>As of December 31, 2010, we had $50.0 million in principal amount of outstanding borrowings under our Credit Facility. Our primary interest rate under the Credit Facility is the Eurodollar rate plus an applicable margin that is based on the ratio of our debt to EBITDA. As of December 31, 2010, the weighted average effective interest rate on our outstanding borrowings under the Credit Facility was 4.28%. Assuming the outstanding balance remained constant over a year, a 50 basis point increase in the interest rate would increase interest incurred prior to effects of capitalized interest and cash flow by approximately $0.3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17"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We generally conduct our business in U.S. dollars. However, as our international business is conducted in a variety of foreign currencies and we pay some of our vendors in Euros, we are exposed to fluctuations in foreign currency exchange rates.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As of December 31, 2010, we had a number of foreign currency forward contracts outstanding which are intended to reduce the foreign currency risk for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amounts payable to vendors in Euros. The foreign currency forward contracts with a notional amount of $6.1 million had a fair value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$0.2 million and were recorded as a receivable as of December 31, 2010. The fair value of these foreign currency forward contracts as of December 31, 2010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would have changed by approximately $0.6 million if the foreign currency forward rate for the Euro to the U.S. dollar on these foreign currency forward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contracts had changed by 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60" w:firstLine="222"/>
        <w:spacing w:after="0" w:line="293" w:lineRule="auto"/>
        <w:rPr>
          <w:sz w:val="20"/>
          <w:szCs w:val="20"/>
          <w:color w:val="auto"/>
        </w:rPr>
      </w:pPr>
      <w:r>
        <w:rPr>
          <w:rFonts w:ascii="Arial" w:cs="Arial" w:eastAsia="Arial" w:hAnsi="Arial"/>
          <w:sz w:val="16"/>
          <w:szCs w:val="16"/>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57" w:lineRule="exact"/>
        <w:rPr>
          <w:sz w:val="20"/>
          <w:szCs w:val="20"/>
          <w:color w:val="auto"/>
        </w:rPr>
      </w:pPr>
    </w:p>
    <w:p>
      <w:pPr>
        <w:ind w:right="200" w:firstLine="215"/>
        <w:spacing w:after="0" w:line="259"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December 31, 2010, the end of the period covered by this Quarterly Report. Based upon the foregoing, our Chief Executive Officer and Chief Financial Officer concluded that our disclosure controls and procedures were effective at a reasonable assurance level as of December 31, 2010.</w:t>
      </w:r>
    </w:p>
    <w:p>
      <w:pPr>
        <w:spacing w:after="0" w:line="79"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During the period covered by this Quarterly Report, there were no changes in our internal control over financial reporting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From time to time, we are involved in a variety of claims, suits, investigations and proceedings arising in the ordinary course of business, including actions with respect to intellectual property claims, breach of contract claims, labor and employment claims, tax and other matters.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addition to the other information set forth in this Quarterly Report, you should carefully consider the factors discussed in Part I, Item 1A, “Risk Factors” in our Annual Report on Form 10-K for the fiscal year ended April 2, 2010, which could materially affect our business, financial condition, liquidity or future results. The risks described in our reports on Forms 10-K and 10-Q are not the only risks facing our company. Additional risks and uncertainties not currently known to us or that we currently deem to be immaterial also may materially adversely affect our business, financial condition, liquidity or future results.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Exhibit Index on page 56 is incorporated herein by reference as the list of exhibits required as part of this Quarterly Report.</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February 8, 2011</w:t>
      </w:r>
      <w:r>
        <w:rPr>
          <w:sz w:val="20"/>
          <w:szCs w:val="20"/>
          <w:color w:val="auto"/>
        </w:rPr>
        <w:tab/>
      </w:r>
      <w:r>
        <w:rPr>
          <w:rFonts w:ascii="Arial" w:cs="Arial" w:eastAsia="Arial" w:hAnsi="Arial"/>
          <w:sz w:val="17"/>
          <w:szCs w:val="17"/>
          <w:color w:val="auto"/>
        </w:rPr>
        <w:t>VIASAT, INC.</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D. D</w:t>
      </w:r>
      <w:r>
        <w:rPr>
          <w:rFonts w:ascii="Arial" w:cs="Arial" w:eastAsia="Arial" w:hAnsi="Arial"/>
          <w:sz w:val="12"/>
          <w:szCs w:val="12"/>
          <w:color w:val="auto"/>
        </w:rPr>
        <w:t>ANKBERG</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Mark D.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Chairman of the Board and Chief Executive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ONALD</w:t>
      </w:r>
      <w:r>
        <w:rPr>
          <w:rFonts w:ascii="Arial" w:cs="Arial" w:eastAsia="Arial" w:hAnsi="Arial"/>
          <w:sz w:val="18"/>
          <w:szCs w:val="18"/>
          <w:color w:val="auto"/>
        </w:rPr>
        <w:t xml:space="preserve"> G. W</w:t>
      </w:r>
      <w:r>
        <w:rPr>
          <w:rFonts w:ascii="Arial" w:cs="Arial" w:eastAsia="Arial" w:hAnsi="Arial"/>
          <w:sz w:val="12"/>
          <w:szCs w:val="12"/>
          <w:color w:val="auto"/>
        </w:rPr>
        <w:t>ANGERIN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Ronald G. Wangerin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Vice President, Chief Financial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Financial and Accounting Officer)</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Incorporated by Reference</w:t>
            </w:r>
          </w:p>
        </w:tc>
        <w:tc>
          <w:tcPr>
            <w:tcW w:w="820" w:type="dxa"/>
            <w:vAlign w:val="bottom"/>
            <w:tcBorders>
              <w:bottom w:val="single" w:sz="8" w:color="auto"/>
            </w:tcBorders>
          </w:tcPr>
          <w:p>
            <w:pPr>
              <w:spacing w:after="0"/>
              <w:rPr>
                <w:sz w:val="14"/>
                <w:szCs w:val="14"/>
                <w:color w:val="auto"/>
              </w:rPr>
            </w:pPr>
          </w:p>
        </w:tc>
      </w:tr>
      <w:tr>
        <w:trPr>
          <w:trHeight w:val="142"/>
        </w:trPr>
        <w:tc>
          <w:tcPr>
            <w:tcW w:w="8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4300" w:type="dxa"/>
            <w:vAlign w:val="bottom"/>
          </w:tcPr>
          <w:p>
            <w:pPr>
              <w:ind w:left="1560"/>
              <w:spacing w:after="0" w:line="142" w:lineRule="exact"/>
              <w:rPr>
                <w:sz w:val="20"/>
                <w:szCs w:val="20"/>
                <w:color w:val="auto"/>
              </w:rPr>
            </w:pPr>
            <w:r>
              <w:rPr>
                <w:rFonts w:ascii="Arial" w:cs="Arial" w:eastAsia="Arial" w:hAnsi="Arial"/>
                <w:sz w:val="14"/>
                <w:szCs w:val="14"/>
                <w:b w:val="1"/>
                <w:bCs w:val="1"/>
                <w:color w:val="auto"/>
              </w:rPr>
              <w:t>Exhibit Description</w:t>
            </w:r>
          </w:p>
        </w:tc>
        <w:tc>
          <w:tcPr>
            <w:tcW w:w="220" w:type="dxa"/>
            <w:vAlign w:val="bottom"/>
          </w:tcPr>
          <w:p>
            <w:pPr>
              <w:spacing w:after="0"/>
              <w:rPr>
                <w:sz w:val="12"/>
                <w:szCs w:val="12"/>
                <w:color w:val="auto"/>
              </w:rPr>
            </w:pPr>
          </w:p>
        </w:tc>
        <w:tc>
          <w:tcPr>
            <w:tcW w:w="1280" w:type="dxa"/>
            <w:vAlign w:val="bottom"/>
            <w:gridSpan w:val="2"/>
          </w:tcPr>
          <w:p>
            <w:pPr>
              <w:jc w:val="center"/>
              <w:ind w:right="460"/>
              <w:spacing w:after="0" w:line="142" w:lineRule="exact"/>
              <w:rPr>
                <w:sz w:val="20"/>
                <w:szCs w:val="20"/>
                <w:color w:val="auto"/>
              </w:rPr>
            </w:pPr>
            <w:r>
              <w:rPr>
                <w:rFonts w:ascii="Arial" w:cs="Arial" w:eastAsia="Arial" w:hAnsi="Arial"/>
                <w:sz w:val="14"/>
                <w:szCs w:val="14"/>
                <w:b w:val="1"/>
                <w:bCs w:val="1"/>
                <w:color w:val="auto"/>
                <w:w w:val="97"/>
              </w:rPr>
              <w:t>Form</w:t>
            </w:r>
          </w:p>
        </w:tc>
        <w:tc>
          <w:tcPr>
            <w:tcW w:w="8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File No.</w:t>
            </w:r>
          </w:p>
        </w:tc>
        <w:tc>
          <w:tcPr>
            <w:tcW w:w="460" w:type="dxa"/>
            <w:vAlign w:val="bottom"/>
          </w:tcPr>
          <w:p>
            <w:pPr>
              <w:spacing w:after="0"/>
              <w:rPr>
                <w:sz w:val="12"/>
                <w:szCs w:val="12"/>
                <w:color w:val="auto"/>
              </w:rPr>
            </w:pPr>
          </w:p>
        </w:tc>
        <w:tc>
          <w:tcPr>
            <w:tcW w:w="1240" w:type="dxa"/>
            <w:vAlign w:val="bottom"/>
            <w:gridSpan w:val="2"/>
          </w:tcPr>
          <w:p>
            <w:pPr>
              <w:jc w:val="center"/>
              <w:ind w:right="460"/>
              <w:spacing w:after="0" w:line="142" w:lineRule="exact"/>
              <w:rPr>
                <w:sz w:val="20"/>
                <w:szCs w:val="20"/>
                <w:color w:val="auto"/>
              </w:rPr>
            </w:pPr>
            <w:r>
              <w:rPr>
                <w:rFonts w:ascii="Arial" w:cs="Arial" w:eastAsia="Arial" w:hAnsi="Arial"/>
                <w:sz w:val="14"/>
                <w:szCs w:val="14"/>
                <w:b w:val="1"/>
                <w:bCs w:val="1"/>
                <w:color w:val="auto"/>
                <w:w w:val="98"/>
              </w:rPr>
              <w:t>Exhibit</w:t>
            </w:r>
          </w:p>
        </w:tc>
        <w:tc>
          <w:tcPr>
            <w:tcW w:w="82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Filing Date</w:t>
            </w:r>
          </w:p>
        </w:tc>
      </w:tr>
      <w:tr>
        <w:trPr>
          <w:trHeight w:val="195"/>
        </w:trPr>
        <w:tc>
          <w:tcPr>
            <w:tcW w:w="20" w:type="dxa"/>
            <w:vAlign w:val="bottom"/>
          </w:tcPr>
          <w:p>
            <w:pPr>
              <w:spacing w:after="0"/>
              <w:rPr>
                <w:sz w:val="16"/>
                <w:szCs w:val="16"/>
                <w:color w:val="auto"/>
              </w:rPr>
            </w:pPr>
          </w:p>
        </w:tc>
        <w:tc>
          <w:tcPr>
            <w:tcW w:w="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6"/>
              </w:rPr>
              <w:t>Letter agreement, dated as of October 12, 2010, by and</w:t>
            </w:r>
          </w:p>
        </w:tc>
        <w:tc>
          <w:tcPr>
            <w:tcW w:w="22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rPr>
              <w:t>among ViaSat, Inc., Union Bank, N.A., and the other</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rPr>
              <w:t>lenders party thereto</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18"/>
        </w:trPr>
        <w:tc>
          <w:tcPr>
            <w:tcW w:w="760" w:type="dxa"/>
            <w:vAlign w:val="bottom"/>
            <w:gridSpan w:val="2"/>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w w:val="97"/>
              </w:rPr>
              <w:t>Seventh Amendment to Fourth Amended and Restated</w:t>
            </w:r>
          </w:p>
        </w:tc>
        <w:tc>
          <w:tcPr>
            <w:tcW w:w="220" w:type="dxa"/>
            <w:vAlign w:val="bottom"/>
          </w:tcPr>
          <w:p>
            <w:pPr>
              <w:spacing w:after="0"/>
              <w:rPr>
                <w:sz w:val="24"/>
                <w:szCs w:val="2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8-K</w:t>
            </w:r>
          </w:p>
        </w:tc>
        <w:tc>
          <w:tcPr>
            <w:tcW w:w="800" w:type="dxa"/>
            <w:vAlign w:val="bottom"/>
          </w:tcPr>
          <w:p>
            <w:pPr>
              <w:jc w:val="right"/>
              <w:spacing w:after="0"/>
              <w:rPr>
                <w:sz w:val="20"/>
                <w:szCs w:val="20"/>
                <w:color w:val="auto"/>
              </w:rPr>
            </w:pPr>
            <w:r>
              <w:rPr>
                <w:rFonts w:ascii="Arial" w:cs="Arial" w:eastAsia="Arial" w:hAnsi="Arial"/>
                <w:sz w:val="18"/>
                <w:szCs w:val="18"/>
                <w:color w:val="auto"/>
                <w:w w:val="88"/>
              </w:rPr>
              <w:t>000-21767</w:t>
            </w:r>
          </w:p>
        </w:tc>
        <w:tc>
          <w:tcPr>
            <w:tcW w:w="1240" w:type="dxa"/>
            <w:vAlign w:val="bottom"/>
            <w:gridSpan w:val="2"/>
          </w:tcPr>
          <w:p>
            <w:pPr>
              <w:jc w:val="center"/>
              <w:ind w:left="399"/>
              <w:spacing w:after="0"/>
              <w:rPr>
                <w:sz w:val="20"/>
                <w:szCs w:val="20"/>
                <w:color w:val="auto"/>
              </w:rPr>
            </w:pPr>
            <w:r>
              <w:rPr>
                <w:rFonts w:ascii="Arial" w:cs="Arial" w:eastAsia="Arial" w:hAnsi="Arial"/>
                <w:sz w:val="18"/>
                <w:szCs w:val="18"/>
                <w:color w:val="auto"/>
                <w:w w:val="91"/>
              </w:rPr>
              <w:t>10.1</w:t>
            </w:r>
          </w:p>
        </w:tc>
        <w:tc>
          <w:tcPr>
            <w:tcW w:w="460" w:type="dxa"/>
            <w:vAlign w:val="bottom"/>
          </w:tcPr>
          <w:p>
            <w:pPr>
              <w:spacing w:after="0"/>
              <w:rPr>
                <w:sz w:val="24"/>
                <w:szCs w:val="24"/>
                <w:color w:val="auto"/>
              </w:rPr>
            </w:pPr>
          </w:p>
        </w:tc>
        <w:tc>
          <w:tcPr>
            <w:tcW w:w="820" w:type="dxa"/>
            <w:vAlign w:val="bottom"/>
          </w:tcPr>
          <w:p>
            <w:pPr>
              <w:ind w:left="60"/>
              <w:spacing w:after="0"/>
              <w:rPr>
                <w:sz w:val="20"/>
                <w:szCs w:val="20"/>
                <w:color w:val="auto"/>
              </w:rPr>
            </w:pPr>
            <w:r>
              <w:rPr>
                <w:rFonts w:ascii="Arial" w:cs="Arial" w:eastAsia="Arial" w:hAnsi="Arial"/>
                <w:sz w:val="18"/>
                <w:szCs w:val="18"/>
                <w:color w:val="auto"/>
                <w:w w:val="92"/>
              </w:rPr>
              <w:t>1/28/2011</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w w:val="91"/>
              </w:rPr>
              <w:t>Revolving Loan Agreement, dated as of January 25, 2011,</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w w:val="94"/>
              </w:rPr>
              <w:t>by and among ViaSat, Inc., Bank of America, N.A., Union</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w w:val="99"/>
              </w:rPr>
              <w:t>Bank, N.A., JPMorgan Chase Bank, N.A., Wells Fargo</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w w:val="92"/>
              </w:rPr>
              <w:t>Bank, National Association, Compass Bank, Credit Suisse</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w w:val="92"/>
              </w:rPr>
              <w:t>AG, Cayman Islands Branch, Bank of the West, and other</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rPr>
              <w:t>lenders party thereto</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18"/>
        </w:trPr>
        <w:tc>
          <w:tcPr>
            <w:tcW w:w="760" w:type="dxa"/>
            <w:vAlign w:val="bottom"/>
            <w:gridSpan w:val="2"/>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rPr>
              <w:t>Certification of Chief Executive Officer Pursuant to</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rPr>
              <w:t>Section 302 of the Sarbanes-Oxley Act of 2002</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18"/>
        </w:trPr>
        <w:tc>
          <w:tcPr>
            <w:tcW w:w="760" w:type="dxa"/>
            <w:vAlign w:val="bottom"/>
            <w:gridSpan w:val="2"/>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rPr>
              <w:t>Certification of Chief Financial Officer Pursuant to</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rPr>
              <w:t>Section 302 of the Sarbanes-Oxley Act of 2002</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18"/>
        </w:trPr>
        <w:tc>
          <w:tcPr>
            <w:tcW w:w="760" w:type="dxa"/>
            <w:vAlign w:val="bottom"/>
            <w:gridSpan w:val="2"/>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rPr>
              <w:t>Certifications Pursuant to 18 U.S.C. Section 1350, as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w w:val="95"/>
              </w:rPr>
              <w:t>Adopted Pursuant to Section 906 of the Sarbanes-Oxley</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rPr>
              <w:t>Act of 2002</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32"/>
        </w:trPr>
        <w:tc>
          <w:tcPr>
            <w:tcW w:w="880" w:type="dxa"/>
            <w:vAlign w:val="bottom"/>
            <w:gridSpan w:val="3"/>
          </w:tcPr>
          <w:p>
            <w:pPr>
              <w:spacing w:after="0"/>
              <w:rPr>
                <w:sz w:val="20"/>
                <w:szCs w:val="20"/>
                <w:color w:val="auto"/>
              </w:rPr>
            </w:pPr>
            <w:r>
              <w:rPr>
                <w:rFonts w:ascii="Arial" w:cs="Arial" w:eastAsia="Arial" w:hAnsi="Arial"/>
                <w:sz w:val="18"/>
                <w:szCs w:val="18"/>
                <w:color w:val="auto"/>
              </w:rPr>
              <w:t>101.INS*</w:t>
            </w: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rPr>
              <w:t>XBRL Instance Document</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32"/>
        </w:trPr>
        <w:tc>
          <w:tcPr>
            <w:tcW w:w="880" w:type="dxa"/>
            <w:vAlign w:val="bottom"/>
            <w:gridSpan w:val="3"/>
          </w:tcPr>
          <w:p>
            <w:pPr>
              <w:spacing w:after="0"/>
              <w:rPr>
                <w:sz w:val="20"/>
                <w:szCs w:val="20"/>
                <w:color w:val="auto"/>
              </w:rPr>
            </w:pPr>
            <w:r>
              <w:rPr>
                <w:rFonts w:ascii="Arial" w:cs="Arial" w:eastAsia="Arial" w:hAnsi="Arial"/>
                <w:sz w:val="18"/>
                <w:szCs w:val="18"/>
                <w:color w:val="auto"/>
              </w:rPr>
              <w:t>101.SCH*</w:t>
            </w: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Schema</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32"/>
        </w:trPr>
        <w:tc>
          <w:tcPr>
            <w:tcW w:w="880" w:type="dxa"/>
            <w:vAlign w:val="bottom"/>
            <w:gridSpan w:val="3"/>
          </w:tcPr>
          <w:p>
            <w:pPr>
              <w:spacing w:after="0"/>
              <w:rPr>
                <w:sz w:val="20"/>
                <w:szCs w:val="20"/>
                <w:color w:val="auto"/>
              </w:rPr>
            </w:pPr>
            <w:r>
              <w:rPr>
                <w:rFonts w:ascii="Arial" w:cs="Arial" w:eastAsia="Arial" w:hAnsi="Arial"/>
                <w:sz w:val="18"/>
                <w:szCs w:val="18"/>
                <w:color w:val="auto"/>
              </w:rPr>
              <w:t>101.CAL*</w:t>
            </w: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Calculation Linkbase</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32"/>
        </w:trPr>
        <w:tc>
          <w:tcPr>
            <w:tcW w:w="880" w:type="dxa"/>
            <w:vAlign w:val="bottom"/>
            <w:gridSpan w:val="3"/>
          </w:tcPr>
          <w:p>
            <w:pPr>
              <w:spacing w:after="0"/>
              <w:rPr>
                <w:sz w:val="20"/>
                <w:szCs w:val="20"/>
                <w:color w:val="auto"/>
              </w:rPr>
            </w:pPr>
            <w:r>
              <w:rPr>
                <w:rFonts w:ascii="Arial" w:cs="Arial" w:eastAsia="Arial" w:hAnsi="Arial"/>
                <w:sz w:val="18"/>
                <w:szCs w:val="18"/>
                <w:color w:val="auto"/>
              </w:rPr>
              <w:t>101.LAB*</w:t>
            </w: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Labels Linkbase</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32"/>
        </w:trPr>
        <w:tc>
          <w:tcPr>
            <w:tcW w:w="880" w:type="dxa"/>
            <w:vAlign w:val="bottom"/>
            <w:gridSpan w:val="3"/>
          </w:tcPr>
          <w:p>
            <w:pPr>
              <w:spacing w:after="0"/>
              <w:rPr>
                <w:sz w:val="20"/>
                <w:szCs w:val="20"/>
                <w:color w:val="auto"/>
              </w:rPr>
            </w:pPr>
            <w:r>
              <w:rPr>
                <w:rFonts w:ascii="Arial" w:cs="Arial" w:eastAsia="Arial" w:hAnsi="Arial"/>
                <w:sz w:val="18"/>
                <w:szCs w:val="18"/>
                <w:color w:val="auto"/>
              </w:rPr>
              <w:t>101.PRE*</w:t>
            </w: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Presentation Linkbase</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32"/>
        </w:trPr>
        <w:tc>
          <w:tcPr>
            <w:tcW w:w="880" w:type="dxa"/>
            <w:vAlign w:val="bottom"/>
            <w:gridSpan w:val="3"/>
          </w:tcPr>
          <w:p>
            <w:pPr>
              <w:spacing w:after="0"/>
              <w:rPr>
                <w:sz w:val="20"/>
                <w:szCs w:val="20"/>
                <w:color w:val="auto"/>
              </w:rPr>
            </w:pPr>
            <w:r>
              <w:rPr>
                <w:rFonts w:ascii="Arial" w:cs="Arial" w:eastAsia="Arial" w:hAnsi="Arial"/>
                <w:sz w:val="18"/>
                <w:szCs w:val="18"/>
                <w:color w:val="auto"/>
              </w:rPr>
              <w:t>101.DEF*</w:t>
            </w: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Definition Linkbase</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Filed</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3810</wp:posOffset>
            </wp:positionV>
            <wp:extent cx="54038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23" w:lineRule="exact"/>
        <w:rPr>
          <w:sz w:val="20"/>
          <w:szCs w:val="20"/>
          <w:color w:val="auto"/>
        </w:rPr>
      </w:pPr>
    </w:p>
    <w:p>
      <w:pPr>
        <w:sectPr>
          <w:pgSz w:w="11900" w:h="16838" w:orient="portrait"/>
          <w:cols w:equalWidth="0" w:num="2">
            <w:col w:w="10100" w:space="600"/>
            <w:col w:w="600"/>
          </w:cols>
          <w:pgMar w:left="240" w:top="419" w:right="359" w:bottom="1440" w:gutter="0" w:footer="0" w:header="0"/>
        </w:sectPr>
      </w:pPr>
    </w:p>
    <w:p>
      <w:pPr>
        <w:spacing w:after="0" w:line="164" w:lineRule="exact"/>
        <w:rPr>
          <w:sz w:val="20"/>
          <w:szCs w:val="20"/>
          <w:color w:val="auto"/>
        </w:rPr>
      </w:pPr>
    </w:p>
    <w:p>
      <w:pPr>
        <w:ind w:left="460" w:hanging="452"/>
        <w:spacing w:after="0" w:line="291"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Attached as Exhibit 101 to this report are documents formatted in XBRL (Extensible Business Reporting Language). Pursuant to applicable securities laws and regulations, we are deemed to have complied with the reporting obligation relating to the submission of interactive data files in such exhibits and are not subject to liability under any anti-fraud provisions of the federal securities laws as long as we have made a good faith attempt to comply with the submission requirements and promptly amend the interactive data files after becoming aware that the interactive data files fail to comply with the submission requirements. Users of this data are advised that, pursuant to Rule 406T of Regulation S-T, these interactive data files are deemed not filed for purposes of Section 18 of the Securities Exchange Act of 1934, as amended, are deemed not filed or part of any registration statement or prospectus for purposes of Sections 11 or 12 of the Securities Act of 1933, as amended, and are otherwise not subject to liability under these sections.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00"/>
          </w:cols>
          <w:pgMar w:left="240" w:top="419" w:right="359" w:bottom="1440" w:gutter="0" w:footer="0" w:header="0"/>
          <w:type w:val="continuous"/>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10.1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12,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ViaSat,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6155 El Camino Real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Carlsbad, CA 92009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Paul Konopka, Esq.</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Re: Liens Securing ViaSat Peru Intercompany Indebtedness — Sixth Amendment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17" w:lineRule="exact"/>
        <w:rPr>
          <w:sz w:val="20"/>
          <w:szCs w:val="20"/>
          <w:color w:val="auto"/>
        </w:rPr>
      </w:pPr>
    </w:p>
    <w:p>
      <w:pPr>
        <w:ind w:right="160" w:firstLine="222"/>
        <w:spacing w:after="0" w:line="255" w:lineRule="auto"/>
        <w:rPr>
          <w:sz w:val="20"/>
          <w:szCs w:val="20"/>
          <w:color w:val="auto"/>
        </w:rPr>
      </w:pPr>
      <w:r>
        <w:rPr>
          <w:rFonts w:ascii="Arial" w:cs="Arial" w:eastAsia="Arial" w:hAnsi="Arial"/>
          <w:sz w:val="18"/>
          <w:szCs w:val="18"/>
          <w:color w:val="auto"/>
        </w:rPr>
        <w:t>We refer to that certain Fourth Amended and Restated Revolving Loan Agreement dated as of July 1, 2009 among ViaSat, Inc., a Delaware corporation (the “Borrower”), each lender from time to time party thereto, Union Bank, N.A., as Administrative Agent (in such capacity, “Administrative Agent”), Bank of America, N.A., as Syndication Agent, JPMorgan Chase Bank, N.A., Compass Bank and Wells Fargo Bank, National Association, as Co-Documentation Agents, Banc of America Securities LLC and Union Bank, N.A., as Joint Lead Arrangers and Joint Book Runners, and Union Bank, N.A., as Collateral Agent, (as amended, modified or supplemented from time to time, the “Credit Agreement.”) Capitalized terms used herein and not defined shall have the meanings assigned to them in the Credit Agreement.</w:t>
      </w:r>
    </w:p>
    <w:p>
      <w:pPr>
        <w:spacing w:after="0" w:line="85" w:lineRule="exact"/>
        <w:rPr>
          <w:sz w:val="20"/>
          <w:szCs w:val="20"/>
          <w:color w:val="auto"/>
        </w:rPr>
      </w:pPr>
    </w:p>
    <w:p>
      <w:pPr>
        <w:ind w:right="100" w:firstLine="222"/>
        <w:spacing w:after="0" w:line="342" w:lineRule="auto"/>
        <w:rPr>
          <w:sz w:val="20"/>
          <w:szCs w:val="20"/>
          <w:color w:val="auto"/>
        </w:rPr>
      </w:pPr>
      <w:r>
        <w:rPr>
          <w:rFonts w:ascii="Arial" w:cs="Arial" w:eastAsia="Arial" w:hAnsi="Arial"/>
          <w:sz w:val="16"/>
          <w:szCs w:val="16"/>
          <w:color w:val="auto"/>
        </w:rPr>
        <w:t>The Borrower has informed the Lenders and the Administrative Agent that it from time to time makes loans to its Subsidiary, ViaSat Peru S.R.L. (“ViaSat Peru”), as permitted by Section 6.10(c) of the Credit Agreement, for purposes of purchasing equipment and now desires for those loans to be secured.</w:t>
      </w:r>
    </w:p>
    <w:p>
      <w:pPr>
        <w:spacing w:after="0" w:line="16" w:lineRule="exact"/>
        <w:rPr>
          <w:sz w:val="20"/>
          <w:szCs w:val="20"/>
          <w:color w:val="auto"/>
        </w:rPr>
      </w:pPr>
    </w:p>
    <w:p>
      <w:pPr>
        <w:ind w:right="320" w:firstLine="222"/>
        <w:spacing w:after="0" w:line="259" w:lineRule="auto"/>
        <w:rPr>
          <w:sz w:val="20"/>
          <w:szCs w:val="20"/>
          <w:color w:val="auto"/>
        </w:rPr>
      </w:pPr>
      <w:r>
        <w:rPr>
          <w:rFonts w:ascii="Arial" w:cs="Arial" w:eastAsia="Arial" w:hAnsi="Arial"/>
          <w:sz w:val="18"/>
          <w:szCs w:val="18"/>
          <w:color w:val="auto"/>
        </w:rPr>
        <w:t>The Borrower has requested, and the Requisite Lenders have agreed, effective as of the date first set forth above, to amend Section 6.9 of the Credit Agreement to allow the intercompany Indebtedness and Guaranty Obligations permitted by Section 6.10(c) of the Credit Agreement to be secured. Accordingly, Section 6.9 is amended as follows: (1) the word “and” is moved from the end of clause (g) to the end of clause (h) and (2) a new clause (i) is added to read as follows: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Liens securing Indebtedness and Guaranty Obligations permitted by Section 6.10(c).”</w:t>
      </w:r>
    </w:p>
    <w:p>
      <w:pPr>
        <w:spacing w:after="0" w:line="117" w:lineRule="exact"/>
        <w:rPr>
          <w:sz w:val="20"/>
          <w:szCs w:val="20"/>
          <w:color w:val="auto"/>
        </w:rPr>
      </w:pPr>
    </w:p>
    <w:p>
      <w:pPr>
        <w:ind w:right="180" w:firstLine="222"/>
        <w:spacing w:after="0" w:line="259" w:lineRule="auto"/>
        <w:rPr>
          <w:sz w:val="20"/>
          <w:szCs w:val="20"/>
          <w:color w:val="auto"/>
        </w:rPr>
      </w:pPr>
      <w:r>
        <w:rPr>
          <w:rFonts w:ascii="Arial" w:cs="Arial" w:eastAsia="Arial" w:hAnsi="Arial"/>
          <w:sz w:val="18"/>
          <w:szCs w:val="18"/>
          <w:color w:val="auto"/>
        </w:rPr>
        <w:t xml:space="preserve">The governing law and venue provisions of Section 11.17 of the Credit Agreement are incorporated herein by this reference </w:t>
      </w:r>
      <w:r>
        <w:rPr>
          <w:rFonts w:ascii="Arial" w:cs="Arial" w:eastAsia="Arial" w:hAnsi="Arial"/>
          <w:sz w:val="18"/>
          <w:szCs w:val="18"/>
          <w:i w:val="1"/>
          <w:iCs w:val="1"/>
          <w:color w:val="auto"/>
        </w:rPr>
        <w:t>mutatis mutandis</w:t>
      </w:r>
      <w:r>
        <w:rPr>
          <w:rFonts w:ascii="Arial" w:cs="Arial" w:eastAsia="Arial" w:hAnsi="Arial"/>
          <w:sz w:val="18"/>
          <w:szCs w:val="18"/>
          <w:color w:val="auto"/>
        </w:rPr>
        <w:t>. This letter amendment may be executed in two or more counterparts, each of which shall be deemed an original, but all of which together shall constitute one instrument. Delivery of an executed counterpart hereof by facsimile or electronic transmission shall be effective as delivery of a manually executed counterpart.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8" w:name="page59"/>
    <w:bookmarkEnd w:id="58"/>
    <w:p>
      <w:pPr>
        <w:jc w:val="both"/>
        <w:spacing w:after="0" w:line="264" w:lineRule="auto"/>
        <w:rPr>
          <w:sz w:val="20"/>
          <w:szCs w:val="20"/>
          <w:color w:val="auto"/>
        </w:rPr>
      </w:pPr>
      <w:r>
        <w:rPr>
          <w:rFonts w:ascii="Arial" w:cs="Arial" w:eastAsia="Arial" w:hAnsi="Arial"/>
          <w:sz w:val="18"/>
          <w:szCs w:val="18"/>
          <w:color w:val="auto"/>
        </w:rPr>
        <w:t>as amended hereby, all of the provisions of the Credit Agreement and the other Loan Documents shall remain unmodified and in full force and effect except that each reference to the “Agreement”, or words of like import in any Loan Document, shall mean and be a reference to the Credit Agreement as amended hereby. This letter amendment shall be deemed a “Loan Document” as defined in the Credit Agreement.</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[Remainder of page intentionally left blank; Signature pages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936" w:right="41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If you are in agreement with the foregoing, please execute this letter is the space provided below.</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VIASAT, INC.</w:t>
      </w:r>
    </w:p>
    <w:p>
      <w:pPr>
        <w:spacing w:after="0" w:line="225" w:lineRule="exact"/>
        <w:rPr>
          <w:sz w:val="20"/>
          <w:szCs w:val="20"/>
          <w:color w:val="auto"/>
        </w:rPr>
      </w:pPr>
    </w:p>
    <w:tbl>
      <w:tblPr>
        <w:tblLayout w:type="fixed"/>
        <w:tblInd w:w="52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G. Wangerin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Ronald G. Wangerin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Vice President and Chief Financial Officer</w:t>
            </w:r>
          </w:p>
        </w:tc>
      </w:tr>
    </w:tbl>
    <w:p>
      <w:pPr>
        <w:spacing w:after="0" w:line="31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[VIASAT — SIXTH AMENDMENT TO FOURTH A&amp;R REVOLVING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407035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79"/>
          </w:cols>
          <w:pgMar w:left="480" w:top="935" w:right="1440" w:bottom="1440" w:gutter="0" w:footer="0" w:header="0"/>
        </w:sectPr>
      </w:pPr>
    </w:p>
    <w:bookmarkStart w:id="60" w:name="page61"/>
    <w:bookmarkEnd w:id="60"/>
    <w:p>
      <w:pPr>
        <w:ind w:left="4260"/>
        <w:spacing w:after="0"/>
        <w:rPr>
          <w:sz w:val="20"/>
          <w:szCs w:val="20"/>
          <w:color w:val="auto"/>
        </w:rPr>
      </w:pPr>
      <w:r>
        <w:rPr>
          <w:rFonts w:ascii="Arial" w:cs="Arial" w:eastAsia="Arial" w:hAnsi="Arial"/>
          <w:sz w:val="18"/>
          <w:szCs w:val="18"/>
          <w:color w:val="auto"/>
        </w:rPr>
        <w:t>UNION BANK, N.A., as Administrative Agent</w:t>
      </w:r>
    </w:p>
    <w:p>
      <w:pPr>
        <w:spacing w:after="0" w:line="225" w:lineRule="exact"/>
        <w:rPr>
          <w:sz w:val="20"/>
          <w:szCs w:val="20"/>
          <w:color w:val="auto"/>
        </w:rPr>
      </w:pPr>
    </w:p>
    <w:tbl>
      <w:tblPr>
        <w:tblLayout w:type="fixed"/>
        <w:tblInd w:w="42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Adelman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Mark Adelman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UNION BANK, N.A.,</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as Collateral Agent</w:t>
      </w:r>
    </w:p>
    <w:p>
      <w:pPr>
        <w:spacing w:after="0" w:line="211" w:lineRule="exact"/>
        <w:rPr>
          <w:sz w:val="20"/>
          <w:szCs w:val="20"/>
          <w:color w:val="auto"/>
        </w:rPr>
      </w:pPr>
    </w:p>
    <w:tbl>
      <w:tblPr>
        <w:tblLayout w:type="fixed"/>
        <w:tblInd w:w="42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Adelman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Mark Adelman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UNION BANK, N.A.,</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as a Lender and Swing Line Lender</w:t>
      </w:r>
    </w:p>
    <w:p>
      <w:pPr>
        <w:spacing w:after="0" w:line="211" w:lineRule="exact"/>
        <w:rPr>
          <w:sz w:val="20"/>
          <w:szCs w:val="20"/>
          <w:color w:val="auto"/>
        </w:rPr>
      </w:pPr>
    </w:p>
    <w:tbl>
      <w:tblPr>
        <w:tblLayout w:type="fixed"/>
        <w:tblInd w:w="42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Adelman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Mark Adelman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[VIASAT — SIXTH AMENDMENT TO FOURTH A&amp;R REVOLVING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414655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61" w:name="page62"/>
    <w:bookmarkEnd w:id="61"/>
    <w:p>
      <w:pPr>
        <w:ind w:left="426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42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D. Pannacciulli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Christopher D. Pannacciulli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[VIASAT — SIXTH AMENDMENT TO FOURTH A&amp;R REVOLVING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414655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62" w:name="page63"/>
    <w:bookmarkEnd w:id="62"/>
    <w:p>
      <w:pPr>
        <w:ind w:left="4260"/>
        <w:spacing w:after="0"/>
        <w:rPr>
          <w:sz w:val="20"/>
          <w:szCs w:val="20"/>
          <w:color w:val="auto"/>
        </w:rPr>
      </w:pPr>
      <w:r>
        <w:rPr>
          <w:rFonts w:ascii="Arial" w:cs="Arial" w:eastAsia="Arial" w:hAnsi="Arial"/>
          <w:sz w:val="18"/>
          <w:szCs w:val="18"/>
          <w:color w:val="auto"/>
        </w:rPr>
        <w:t>BANK OF THE WEST,</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42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Alyssa Pearson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Alyssa Pearson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[VIASAT — SIXTH AMENDMENT TO FOURTH A&amp;R REVOLVING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414655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63" w:name="page64"/>
    <w:bookmarkEnd w:id="63"/>
    <w:p>
      <w:pPr>
        <w:ind w:left="4260"/>
        <w:spacing w:after="0"/>
        <w:rPr>
          <w:sz w:val="20"/>
          <w:szCs w:val="20"/>
          <w:color w:val="auto"/>
        </w:rPr>
      </w:pPr>
      <w:r>
        <w:rPr>
          <w:rFonts w:ascii="Arial" w:cs="Arial" w:eastAsia="Arial" w:hAnsi="Arial"/>
          <w:sz w:val="18"/>
          <w:szCs w:val="18"/>
          <w:color w:val="auto"/>
        </w:rPr>
        <w:t>CALIFORNIA BANK &amp; TRUST,</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42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 De Long</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Steve De Long</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[VIASAT — SIXTH AMENDMENT TO FOURTH A&amp;R REVOLVING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414655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64" w:name="page65"/>
    <w:bookmarkEnd w:id="64"/>
    <w:p>
      <w:pPr>
        <w:ind w:left="4260"/>
        <w:spacing w:after="0"/>
        <w:rPr>
          <w:sz w:val="20"/>
          <w:szCs w:val="20"/>
          <w:color w:val="auto"/>
        </w:rPr>
      </w:pPr>
      <w:r>
        <w:rPr>
          <w:rFonts w:ascii="Arial" w:cs="Arial" w:eastAsia="Arial" w:hAnsi="Arial"/>
          <w:sz w:val="18"/>
          <w:szCs w:val="18"/>
          <w:color w:val="auto"/>
        </w:rPr>
        <w:t>COMPASS BANK,</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42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M. Widmer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Andrew M. Widmer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[VIASAT — SIXTH AMENDMENT TO FOURTH A&amp;R REVOLVING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414655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65" w:name="page66"/>
    <w:bookmarkEnd w:id="65"/>
    <w:p>
      <w:pPr>
        <w:ind w:left="4200"/>
        <w:spacing w:after="0"/>
        <w:rPr>
          <w:sz w:val="20"/>
          <w:szCs w:val="20"/>
          <w:color w:val="auto"/>
        </w:rPr>
      </w:pPr>
      <w:r>
        <w:rPr>
          <w:rFonts w:ascii="Arial" w:cs="Arial" w:eastAsia="Arial" w:hAnsi="Arial"/>
          <w:sz w:val="18"/>
          <w:szCs w:val="18"/>
          <w:color w:val="auto"/>
        </w:rPr>
        <w:t>CREDIT SUISSE AG, CAYMAN ISLANDS BRANCH,</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420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Bill O’Da</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Bill O’Da</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Vipul Dhadda</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Vipul Dhadda</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Associate</w:t>
            </w: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[VIASAT — SIXTH AMENDMENT TO FOURTH A&amp;R REVOLVING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414655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66" w:name="page67"/>
    <w:bookmarkEnd w:id="66"/>
    <w:p>
      <w:pPr>
        <w:ind w:left="426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42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S. Green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Donald S. Green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[VIASAT — SIXTH AMENDMENT TO FOURTH A&amp;R REVOLVING LOAN AGREEMENT]</w:t>
      </w:r>
    </w:p>
    <w:p>
      <w:pPr>
        <w:sectPr>
          <w:pgSz w:w="11900" w:h="16838" w:orient="portrait"/>
          <w:cols w:equalWidth="0" w:num="1">
            <w:col w:w="9019"/>
          </w:cols>
          <w:pgMar w:left="1440" w:top="1152" w:right="1440"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Mark D. Dankberg, Chief Executive Officer of ViaSat, Inc., certify that:</w:t>
      </w:r>
    </w:p>
    <w:p>
      <w:pPr>
        <w:spacing w:after="0" w:line="117"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80" w:hanging="437"/>
        <w:spacing w:after="0" w:line="264" w:lineRule="auto"/>
        <w:tabs>
          <w:tab w:leader="none" w:pos="11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right="800" w:hanging="437"/>
        <w:spacing w:after="0" w:line="342" w:lineRule="auto"/>
        <w:tabs>
          <w:tab w:leader="none" w:pos="11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500" w:hanging="437"/>
        <w:spacing w:after="0" w:line="277" w:lineRule="auto"/>
        <w:tabs>
          <w:tab w:leader="none" w:pos="11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2011</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D. D</w:t>
      </w:r>
      <w:r>
        <w:rPr>
          <w:rFonts w:ascii="Arial" w:cs="Arial" w:eastAsia="Arial" w:hAnsi="Arial"/>
          <w:sz w:val="12"/>
          <w:szCs w:val="12"/>
          <w:color w:val="auto"/>
        </w:rPr>
        <w:t>ANKBERG</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Mark D.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Ronald G. Wangerin, Chief Financial Officer of ViaSat, Inc., certify that:</w:t>
      </w:r>
    </w:p>
    <w:p>
      <w:pPr>
        <w:spacing w:after="0" w:line="117"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80" w:hanging="437"/>
        <w:spacing w:after="0" w:line="264" w:lineRule="auto"/>
        <w:tabs>
          <w:tab w:leader="none" w:pos="11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right="800" w:hanging="437"/>
        <w:spacing w:after="0" w:line="342" w:lineRule="auto"/>
        <w:tabs>
          <w:tab w:leader="none" w:pos="11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500" w:hanging="437"/>
        <w:spacing w:after="0" w:line="277" w:lineRule="auto"/>
        <w:tabs>
          <w:tab w:leader="none" w:pos="11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2011</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ONALD</w:t>
      </w:r>
      <w:r>
        <w:rPr>
          <w:rFonts w:ascii="Arial" w:cs="Arial" w:eastAsia="Arial" w:hAnsi="Arial"/>
          <w:sz w:val="18"/>
          <w:szCs w:val="18"/>
          <w:color w:val="auto"/>
        </w:rPr>
        <w:t xml:space="preserve"> G. W</w:t>
      </w:r>
      <w:r>
        <w:rPr>
          <w:rFonts w:ascii="Arial" w:cs="Arial" w:eastAsia="Arial" w:hAnsi="Arial"/>
          <w:sz w:val="12"/>
          <w:szCs w:val="12"/>
          <w:color w:val="auto"/>
        </w:rPr>
        <w:t>ANGERIN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Ronald G. Wangerin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57"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62" w:lineRule="exact"/>
        <w:rPr>
          <w:sz w:val="20"/>
          <w:szCs w:val="20"/>
          <w:color w:val="auto"/>
        </w:rPr>
      </w:pPr>
    </w:p>
    <w:p>
      <w:pPr>
        <w:ind w:left="240" w:right="140" w:firstLine="221"/>
        <w:spacing w:after="0" w:line="308" w:lineRule="auto"/>
        <w:tabs>
          <w:tab w:leader="none" w:pos="71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accompanying quarterly report on Form 10-Q of the Company for the quarterly period ended December 31, 2010 (the “Report”) fully complies with the requirements of Section 13(a) or Section 15(d), as applicable, of the Securities Exchange Act of 1934, as amended; and</w:t>
      </w:r>
    </w:p>
    <w:p>
      <w:pPr>
        <w:spacing w:after="0" w:line="38" w:lineRule="exact"/>
        <w:rPr>
          <w:rFonts w:ascii="Arial" w:cs="Arial" w:eastAsia="Arial" w:hAnsi="Arial"/>
          <w:sz w:val="17"/>
          <w:szCs w:val="17"/>
          <w:color w:val="auto"/>
        </w:rPr>
      </w:pPr>
    </w:p>
    <w:p>
      <w:pPr>
        <w:ind w:right="320" w:firstLine="461"/>
        <w:spacing w:after="0" w:line="402" w:lineRule="auto"/>
        <w:tabs>
          <w:tab w:leader="none" w:pos="7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8, 2011</w:t>
      </w:r>
    </w:p>
    <w:p>
      <w:pPr>
        <w:spacing w:after="0" w:line="27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D. D</w:t>
      </w:r>
      <w:r>
        <w:rPr>
          <w:rFonts w:ascii="Arial" w:cs="Arial" w:eastAsia="Arial" w:hAnsi="Arial"/>
          <w:sz w:val="12"/>
          <w:szCs w:val="12"/>
          <w:color w:val="auto"/>
        </w:rPr>
        <w:t>ANKBERG</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Mark D.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17"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62" w:lineRule="exact"/>
        <w:rPr>
          <w:sz w:val="20"/>
          <w:szCs w:val="20"/>
          <w:color w:val="auto"/>
        </w:rPr>
      </w:pPr>
    </w:p>
    <w:p>
      <w:pPr>
        <w:ind w:left="240" w:right="140" w:firstLine="221"/>
        <w:spacing w:after="0" w:line="308" w:lineRule="auto"/>
        <w:tabs>
          <w:tab w:leader="none" w:pos="71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accompanying quarterly report on Form 10-Q of the Company for the quarterly period ended December 31, 2010 (the “Report”) fully complies with the requirements of Section 13(a) or Section 15(d), as applicable, of the Securities Exchange Act of 1934, as amended; and</w:t>
      </w:r>
    </w:p>
    <w:p>
      <w:pPr>
        <w:spacing w:after="0" w:line="38" w:lineRule="exact"/>
        <w:rPr>
          <w:rFonts w:ascii="Arial" w:cs="Arial" w:eastAsia="Arial" w:hAnsi="Arial"/>
          <w:sz w:val="17"/>
          <w:szCs w:val="17"/>
          <w:color w:val="auto"/>
        </w:rPr>
      </w:pPr>
    </w:p>
    <w:p>
      <w:pPr>
        <w:ind w:right="320" w:firstLine="461"/>
        <w:spacing w:after="0" w:line="402" w:lineRule="auto"/>
        <w:tabs>
          <w:tab w:leader="none" w:pos="7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8, 2011</w:t>
      </w:r>
    </w:p>
    <w:p>
      <w:pPr>
        <w:spacing w:after="0" w:line="27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ONALD</w:t>
      </w:r>
      <w:r>
        <w:rPr>
          <w:rFonts w:ascii="Arial" w:cs="Arial" w:eastAsia="Arial" w:hAnsi="Arial"/>
          <w:sz w:val="18"/>
          <w:szCs w:val="18"/>
          <w:color w:val="auto"/>
        </w:rPr>
        <w:t xml:space="preserve"> G. W</w:t>
      </w:r>
      <w:r>
        <w:rPr>
          <w:rFonts w:ascii="Arial" w:cs="Arial" w:eastAsia="Arial" w:hAnsi="Arial"/>
          <w:sz w:val="12"/>
          <w:szCs w:val="12"/>
          <w:color w:val="auto"/>
        </w:rPr>
        <w:t>ANGERIN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Ronald G. Wangerin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2"/>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3"/>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2"/>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2019-12-10T06:30:30Z</dcterms:created>
  <dcterms:modified xsi:type="dcterms:W3CDTF">2019-12-10T06:30:30Z</dcterms:modified>
</cp:coreProperties>
</file>