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460" w:right="460" w:hanging="452"/>
        <w:spacing w:after="0" w:line="24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00"/>
        <w:spacing w:after="0"/>
        <w:tabs>
          <w:tab w:leader="none" w:pos="6760" w:val="left"/>
          <w:tab w:leader="none" w:pos="7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33-0174996</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5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registrant’s common stock, $0.0001 par value, as of July 29, 2016 was 49,286,977.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40" w:type="dxa"/>
            <w:vAlign w:val="bottom"/>
            <w:gridSpan w:val="8"/>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10"/>
            <w:vMerge w:val="continue"/>
          </w:tcPr>
          <w:p>
            <w:pPr>
              <w:spacing w:after="0"/>
              <w:rPr>
                <w:sz w:val="13"/>
                <w:szCs w:val="13"/>
                <w:color w:val="auto"/>
              </w:rPr>
            </w:pPr>
          </w:p>
        </w:tc>
        <w:tc>
          <w:tcPr>
            <w:tcW w:w="804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0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632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43">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8"/>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1.</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Legal Proceedings</w:t>
              </w:r>
            </w:hyperlink>
          </w:p>
        </w:tc>
        <w:tc>
          <w:tcPr>
            <w:tcW w:w="840" w:type="dxa"/>
            <w:vAlign w:val="bottom"/>
            <w:tcBorders>
              <w:top w:val="single" w:sz="8" w:color="0000EE"/>
            </w:tcBorders>
            <w:gridSpan w:val="2"/>
          </w:tcPr>
          <w:p>
            <w:pPr>
              <w:spacing w:after="0"/>
              <w:rPr>
                <w:sz w:val="17"/>
                <w:szCs w:val="17"/>
                <w:color w:val="auto"/>
              </w:rPr>
            </w:pPr>
          </w:p>
        </w:tc>
        <w:tc>
          <w:tcPr>
            <w:tcW w:w="83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June 30, 2016</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jc w:val="right"/>
              <w:ind w:right="55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262,670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155,511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60" w:type="dxa"/>
            <w:vAlign w:val="bottom"/>
            <w:gridSpan w:val="2"/>
          </w:tcPr>
          <w:p>
            <w:pPr>
              <w:spacing w:after="0"/>
              <w:rPr>
                <w:sz w:val="20"/>
                <w:szCs w:val="20"/>
                <w:color w:val="auto"/>
              </w:rPr>
            </w:pPr>
            <w:r>
              <w:rPr>
                <w:rFonts w:ascii="Arial" w:cs="Arial" w:eastAsia="Arial" w:hAnsi="Arial"/>
                <w:sz w:val="18"/>
                <w:szCs w:val="18"/>
                <w:color w:val="auto"/>
              </w:rPr>
              <w:t>Satellites, net</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961,252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898,197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501,645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31,039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116,560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assets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361,867</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2,491,249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2,397,312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3280"/>
              <w:spacing w:after="0"/>
              <w:rPr>
                <w:sz w:val="20"/>
                <w:szCs w:val="20"/>
                <w:color w:val="auto"/>
              </w:rPr>
            </w:pPr>
            <w:r>
              <w:rPr>
                <w:rFonts w:ascii="Arial" w:cs="Arial" w:eastAsia="Arial" w:hAnsi="Arial"/>
                <w:sz w:val="18"/>
                <w:szCs w:val="18"/>
                <w:b w:val="1"/>
                <w:bCs w:val="1"/>
                <w:color w:val="auto"/>
              </w:rPr>
              <w:t>LIABILITIES AND EQUITY</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94,413</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156,894</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251,307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575,330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long-term debt, net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458,730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37,928</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1,323,295</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1,262,888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Equity:</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275,559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Total ViaSat, Inc. stockholders’ equity</w:t>
            </w:r>
          </w:p>
        </w:tc>
        <w:tc>
          <w:tcPr>
            <w:tcW w:w="1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1,162,344</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1,129,103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1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1,167,954</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1,134,424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1900" w:type="dxa"/>
            <w:vAlign w:val="bottom"/>
            <w:gridSpan w:val="2"/>
            <w:shd w:val="clear" w:color="auto" w:fill="CCEEFF"/>
          </w:tcPr>
          <w:p>
            <w:pPr>
              <w:ind w:left="182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2,491,249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2,397,312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w w:val="83"/>
              </w:rPr>
              <w:t>June 30, 2016</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June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gridSpan w:val="4"/>
          </w:tcPr>
          <w:p>
            <w:pPr>
              <w:jc w:val="right"/>
              <w:ind w:right="213"/>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160,676</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202,454</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363,130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344,378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120,680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127,582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79,400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Less: Net income (loss) attributable to the noncontrolling interest, net of tax</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620" w:type="dxa"/>
            <w:vAlign w:val="bottom"/>
            <w:gridSpan w:val="2"/>
          </w:tcPr>
          <w:p>
            <w:pPr>
              <w:spacing w:after="0"/>
              <w:rPr>
                <w:sz w:val="20"/>
                <w:szCs w:val="20"/>
                <w:color w:val="auto"/>
              </w:rPr>
            </w:pPr>
            <w:r>
              <w:rPr>
                <w:rFonts w:ascii="Arial" w:cs="Arial" w:eastAsia="Arial" w:hAnsi="Arial"/>
                <w:sz w:val="18"/>
                <w:szCs w:val="18"/>
                <w:color w:val="auto"/>
              </w:rPr>
              <w:t>Basic net income per share attributable to ViaSat, Inc.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7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ViaSat, Inc.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Shares used in computing basic net income per share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49,133</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48,840</w:t>
            </w:r>
          </w:p>
        </w:tc>
        <w:tc>
          <w:tcPr>
            <w:tcW w:w="0" w:type="dxa"/>
            <w:vAlign w:val="bottom"/>
          </w:tcPr>
          <w:p>
            <w:pPr>
              <w:spacing w:after="0"/>
              <w:rPr>
                <w:sz w:val="1"/>
                <w:szCs w:val="1"/>
                <w:color w:val="auto"/>
              </w:rPr>
            </w:pPr>
          </w:p>
        </w:tc>
      </w:tr>
      <w:tr>
        <w:trPr>
          <w:trHeight w:val="322"/>
        </w:trPr>
        <w:tc>
          <w:tcPr>
            <w:tcW w:w="8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gain on hedging, net of tax</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1"/>
        </w:trPr>
        <w:tc>
          <w:tcPr>
            <w:tcW w:w="8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(loss) attributable to the noncontrolling interest, net of tax</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ViaSat,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32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2016</w:t>
            </w: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39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2,157</w:t>
            </w:r>
          </w:p>
        </w:tc>
        <w:tc>
          <w:tcPr>
            <w:tcW w:w="5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49,772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Loss on disposition of fixed assets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8,088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adjustments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w w:val="96"/>
              </w:rPr>
              <w:t>Increase (decrease) in cash resulting from changes in operating assets and liabilities, net of effects of acquisition: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(11,737)</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(8,835)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(18,340)</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(7,636)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1,146</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62,118</w:t>
            </w:r>
          </w:p>
        </w:tc>
        <w:tc>
          <w:tcPr>
            <w:tcW w:w="5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equipment and satellites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(120,577)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(21,003)</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related to acquisition of business, net of cash acquired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Other investing activities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0"/>
              </w:rPr>
              <w:t>(142,084)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revolving credit facility borrowings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Payments of revolving credit facility borrowings</w:t>
            </w:r>
          </w:p>
        </w:tc>
        <w:tc>
          <w:tcPr>
            <w:tcW w:w="1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Ex-Im credit facility borrowings, net of discount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67,236</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(6,322)</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under equity plans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w w:val="93"/>
              </w:rPr>
              <w:t>Purchase of common stock in treasury (immediately retired) related to tax withholdings for stock-based compensation</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(1,937)</w:t>
            </w:r>
          </w:p>
        </w:tc>
        <w:tc>
          <w:tcPr>
            <w:tcW w:w="2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8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85,310</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5,164</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(9,769)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42,088</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47,252</w:t>
            </w: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13,080</w:t>
            </w:r>
          </w:p>
        </w:tc>
        <w:tc>
          <w:tcPr>
            <w:tcW w:w="5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not paid for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Exposure fees on Ex-Im credit facility expected to be financed through Ex-Im credit facility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7,382</w:t>
            </w: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ViaSat, Inc. Stockholders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3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Other</w:t>
            </w: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Retained</w:t>
            </w: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 in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3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120" w:type="dxa"/>
            <w:vAlign w:val="bottom"/>
            <w:tcBorders>
              <w:top w:val="single" w:sz="8" w:color="auto"/>
            </w:tcBorders>
            <w:gridSpan w:val="7"/>
          </w:tcPr>
          <w:p>
            <w:pPr>
              <w:jc w:val="right"/>
              <w:ind w:right="58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48,926,417</w:t>
            </w: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$855,387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$273,704</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$1,134,424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35,975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1,817</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6"/>
              </w:rPr>
              <w:t>Issuance of stock under Employee Stock Purchase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4,892</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14,398</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14,398</w:t>
            </w:r>
          </w:p>
        </w:tc>
        <w:tc>
          <w:tcPr>
            <w:tcW w:w="0" w:type="dxa"/>
            <w:vAlign w:val="bottom"/>
          </w:tcPr>
          <w:p>
            <w:pPr>
              <w:spacing w:after="0"/>
              <w:rPr>
                <w:sz w:val="1"/>
                <w:szCs w:val="1"/>
                <w:color w:val="auto"/>
              </w:rPr>
            </w:pPr>
          </w:p>
        </w:tc>
      </w:tr>
      <w:tr>
        <w:trPr>
          <w:trHeight w:val="20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Shares issued in settlement of certain accrued employee</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176,731</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13,080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13,080</w:t>
            </w:r>
          </w:p>
        </w:tc>
        <w:tc>
          <w:tcPr>
            <w:tcW w:w="0" w:type="dxa"/>
            <w:vAlign w:val="bottom"/>
          </w:tcPr>
          <w:p>
            <w:pPr>
              <w:spacing w:after="0"/>
              <w:rPr>
                <w:sz w:val="1"/>
                <w:szCs w:val="1"/>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8"/>
                <w:szCs w:val="18"/>
                <w:color w:val="auto"/>
              </w:rPr>
              <w:t>RSU awards vesting, net of shares withheld for taxes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20"/>
              <w:spacing w:after="0"/>
              <w:rPr>
                <w:sz w:val="20"/>
                <w:szCs w:val="20"/>
                <w:color w:val="auto"/>
              </w:rPr>
            </w:pPr>
            <w:r>
              <w:rPr>
                <w:rFonts w:ascii="Arial" w:cs="Arial" w:eastAsia="Arial" w:hAnsi="Arial"/>
                <w:sz w:val="18"/>
                <w:szCs w:val="18"/>
                <w:color w:val="auto"/>
              </w:rPr>
              <w:t>which have been retired</w:t>
            </w:r>
          </w:p>
        </w:tc>
        <w:tc>
          <w:tcPr>
            <w:tcW w:w="840" w:type="dxa"/>
            <w:vAlign w:val="bottom"/>
          </w:tcPr>
          <w:p>
            <w:pPr>
              <w:jc w:val="right"/>
              <w:spacing w:after="0"/>
              <w:rPr>
                <w:sz w:val="20"/>
                <w:szCs w:val="20"/>
                <w:color w:val="auto"/>
              </w:rPr>
            </w:pPr>
            <w:r>
              <w:rPr>
                <w:rFonts w:ascii="Arial" w:cs="Arial" w:eastAsia="Arial" w:hAnsi="Arial"/>
                <w:sz w:val="18"/>
                <w:szCs w:val="18"/>
                <w:color w:val="auto"/>
              </w:rPr>
              <w:t>45,985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(1,937)</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8"/>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noncontrolling interest activity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1,855</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302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Balance at June 30, 2016</w:t>
            </w: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49,279,447</w:t>
            </w: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887,637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275,559</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5,610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1,167,954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The accompanying condensed consolidated balance sheet at June 30, 2016, the condensed consolidated statements of operations and comprehensive income for the three months ended June 30, 2016 and 2015, the condensed consolidated statements of cash flows for the three months ended June 30, 2016 and 2015 and the condensed consolidated statement of equity for the three months ended June 30, 2016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2016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2016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0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During the first quarter of fiscal year 2016, the Company completed the acquisition of Engreen Inc. (Engreen), a privately held company focused on network function virtualization. The Engreen purchase price of approximately $5.3 million (of which $0.5 million has been withheld as security for any indemnifiable damages) was primarily allocated to acquired technology intangible assets and the assumption of certain liabilities. This acquisition was accounted for as a purchase and, accordingly, the condensed consolidated financial statements include the operating results of Engreen from the date of acquisition.</w:t>
      </w:r>
    </w:p>
    <w:p>
      <w:pPr>
        <w:spacing w:after="0" w:line="98"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June 30, 2016 and 2015, the Company recorded losses of approximately $0.4 million and $1.4 million, respectively, related to loss contracts.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Company’s,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2016. As of June 30, 2016,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2016 and March 31, 2016, the Company had $2.4 million and $2.5 million, respectively, in contract-related reserves for its estimate of potential refunds to customers for potential cost adjustments on several multi-year U.S. government cost reimbursable contracts (see Note 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(SG&amp;A) expenses. Advertising expenses for the three months ended June 30, 2016 and 2015 were $0.8 million and $3.7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w:t>
      </w:r>
    </w:p>
    <w:p>
      <w:pPr>
        <w:spacing w:after="0" w:line="12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(ASC 835-20). With respect to assets under construction, including the ViaSat-2 satellite (which commenced construction during the first quarter of fiscal year 2014), and the ViaSat-3 class satellites (which commenced construction during the fourth quarter of fiscal year 2016), the Company capitalized $10.2 million and $6.1 million of interest expense for the three months ended June 30, 2016 and 2015, respectively.</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owns two satellites: ViaSat-1 (its first-generation high-capacity Ka-band spot-beam satellite, which was placed into service in January 2012) and WildBlue-1 (which was placed into service in March 2007). In addition, three additional satellites are under construction: the ViaSat-2 satellite (the Company’s second-generation high-capacity Ka-band satellite design) and two ViaSat-3 class satellites (the Company’s third-generation high-capacity Ka-band satellite design). The Company expects that the ViaSat-2 satellite will be launched during fiscal year 2017 and that the two ViaSat-3 class satellites will be launched in fiscal year 2020 or early fiscal year 2021.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June 30, 2016 were $264.0 million and $143.2 million, respectively. The total cost and accumulated depreciation of CPE units included in property and equipment, net, as of March 31, 2016 were $260.4 million and $136.4 million, respectively.</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 provided for by the straight-line method over the shorter of the legal or estimated economic life. Total capitalized costs of $3.2 million related to patents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in other assets as of June 30, 2016 and March 31, 2016. The Company capitalized costs of $15.4 million related to acquiring and obtaining orbital slots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licenses included in other assets as of June 30, 2016 and March 31, 2016. Accumulated amortization related to these assets was $1.8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 million as of June 30, 2016 and March 31, 2016, respectively. Amortization expense related to these assets was an insignificant amount for the three months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2016 and 2015. If a patent, orbital slot or orbital license is rejected, abandoned or otherwise invalidated, the unamortized cost is expensed in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During the three months ended June 30, 2016 and 2015, the Company did not write off any significant costs due to abandonment or impairment.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June 30, 2016 and 2015, $6.1 million and an insignificant amount, respectively, of debt issuance costs were capitalized. Unamortized debt issuance costs related to extinguished debt are expensed at the time the debt is extinguished and recorded in loss on extinguishment of debt in the condensed consolidated statements of operations and comprehensive income. Debt issuance costs related to the Company’s revolving credit facility (the Revolving Credit Facility) are recorded in prepaid expenses and other current assets and in other long-term assets in the condensed consolidated balance sheets in accordance with ASU 2015-15, Interest — Imputation of Interest (Subtopic 835-30): Presentation and Subsequent Measurement of Debt Issuance Costs Associated with Line-of-Credit Arrangements, which the Company adopted during the first quarter of fiscal year 2017. Debt issuance costs related to the Company’s 6.875% Senior Notes due 2020 (2020 Notes) and the Company’s direct loan facility with the Export-Import Bank of the United States for ViaSat-2 (the Ex-Im Credit Facility) are recorded as a direct deduction from the carrying amount of the related debt, consistent with debt discounts, in accordance with ASU 2015-03, Interest — Imputation of Interest (ASC 835-30): Simplifying the Presentation of Debt Issuance Costs, which the Company adopted during the first quarter of fiscal year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$176.4 million and $163.1 million related to software developed for resale were included in other assets as of June 30, 2016 and March 31, 2016, respectively. The Company capitalized $21.0 million and $16.5 million of costs related to software developed for resale for the three months ended June 30, 2016 and 2015, respectively. Amortization expense for software development costs was $7.7 million and $6.2 million for the three months ended June 30, 2016 and 2015,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$3.9 million and $3.8 million in accrued liabilities in the condensed consolidated balance sheets as of June 30, 2016 and March 31, 2016,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June 30, 2016 and March 31, 2016, no such amounts were accrued related to the aforementioned provisions.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2016 and March 31, 2016, the Company had no shares of common stock held in treasury.</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first three months of fiscal years 2017 and 2016, the Company issued 72,581 and 23,392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withheld 26,596 and 8,492 shares of common stock at cost with a total value of $1.9 million and $0.5 million during the first three months of fiscal year 2017 and 2016,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however they are considered to be unissued. The retirement of treasury stock had no impact on the Company’s total consolidated stockholders’ equity.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three months ended June 30, 2016 and 2015, the Company settled certain foreign exchange contracts and in connection therewith recognized an insignificant gain recorded in cost of revenues based on the nature of the underlying transactions. The fair value of the Company’s foreign currency forward contracts was an insignificant amount recorded as an other current asset as of June 30, 2016 and March 31, 2016. The notional value of foreign currency forward contracts outstanding as of June 30, 2016 and March 31, 2016 was $4.4 million and $5.0 million,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June 30, 2016, the estimated net amount of unrealized gains or losses related to foreign currency forward contracts that was expected to be reclassified to earnings within the next twelve months was insignificant. The Company’s foreign currency forward contracts outstanding as of June 30, 2016 will mature within approximately fifteen to thirty-six months from their inception. There were no gains or losses from ineffectiveness of these derivative instruments recorded for the three months ended June 30, 2016 and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for the three months ended June 30, 2016 and 2015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$12.8 million and $10.7 million of stock-based compensation expense for the three months ended June 30, 2016 and 2015, respectively.</w:t>
      </w:r>
    </w:p>
    <w:p>
      <w:pPr>
        <w:spacing w:after="0" w:line="10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the three months ended June 30, 2016 and 2015,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(discrete method) for the year-to-date period. For the three months ended June 30, 2016, we used the actual effective year-to-date tax rate in calculating the income tax provision for that period as a reliable estimate of the annual effective tax rate could not be made.</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These standards permit the use of either the retrospective or cumulative effect transition method. The Company has not selected a transition method and is currently evaluating the impact these standards will have on its consolidated financial statements and disclosures.</w:t>
      </w:r>
    </w:p>
    <w:p>
      <w:pPr>
        <w:spacing w:after="0" w:line="12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February 2015, the FASB issued ASU 2015-02, Consolidation (ASC 810): Amendments to the Consolidation Analysis. ASU 2015-02 amended the process that a reporting entity must perform to determine whether it should consolidate certain types of legal entities. This guidance became effective for the Company beginning in the first quarter of fiscal year 2017 and the guidance did not have a material impact on the Company’s consolidated financial statements and disclosures.</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April 2015, the FASB issued ASU 2015-03, which requires that debt issuance costs related to a recognized debt liability be presented in the balance sheet as a direct deduction from the carrying amount of that debt liability, consistent with debt discounts. In August 2015, the FASB issued ASU 2015-15 which provides additional guidance to ASU 2015-03, which did not address presentation or subsequent measurement of debt issuance costs related to line-of-credit arrangements. ASU 2015-15 noted that staff of the Securities and Exchange Commission (the SEC)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This guidance became effective for the Company beginning in the first quarter of fiscal year 2017 and was applied on a retrospective basis, wherein the condensed consolidated balance sheet of each individual period presented was adjusted to reflect the period-specific effects of applying the new guidance. As a result, the Company reclassed unamortized debt issuance costs related to the Company’s 2020 Notes and the Ex-Im Credit Facility from prepaid expenses and other current assets and from other assets (long-term) to senior notes, net, and other long-term debt, net, respectively, within its condensed consolidated balance sheets as of March 31, 2016. In accordance with ASU 2015-15, the Company has elected to continue to present debt issuance costs related to the Revolving Credit Facility as an asset and subsequently amortize the deferred debt issuance costs over the term of the Revolving Credit Facility arrangement.</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April 2015, the FASB issued ASU 2015-05, Intangibles—Goodwill and Other—Internal-Use Software (Subtopic 350-40): Customer’s Accounting for Fees Paid in a Cloud Computing Arrangement.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guidance does not change the accounting for a customer’s accounting for service contracts. This guidance became effective for the Company beginning in the first quarter of fiscal year 2017. The Company elected to adopt this guidance on a prospective basis and the adoption of this guidance did not have a material impact on the Company’s consolidated financial statements and disclosures.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in-scope inventory should be measured at the lower of cost and net realizable value. The new standard should be applied prospectively and will become effective for the Company in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ASU 2015-16 requires that an acquirer recognize adjustments to provisional amounts that are identified during the measurement period in the reporting period in which the adjustment amounts are determined. Under current GAAP, the acquirer is required to retrospectively apply adjustments made to provisional amounts recognized in a business combination. This guidance became effective for the Company beginning in the first quarter of fiscal year 2017. The Company adopted this guidance on a prospective basis and the guidance did not have a material impact on the Company’s consolidated financial statements and disclosures.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November 2015, the FASB issued ASU 2015-17, Balance Sheet Classification of Deferred Income Taxes (ASU 2015-17), which requires entities to classify deferred tax liabilities and assets as non-current in a classified balance sheet. The new guidance can be applied either prospectively to all deferred tax liabilities and assets or retrospectively to all periods presented. ASU 2015-17 will become effective for the Company in fiscal year 2018, with early adoption permitted. During the fourth quarter of fiscal year 2016, the Company early adopted this standard retrospectively and reclassified all of its current deferred tax assets to non-current deferred tax assets on its consolidated balance sheets for all periods presented.</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(Subtopic 825-10). ASU 2016-01 requires that most equity investments (except those accounted for under the equity method for accounting or those that result in consolidation of the investee) be measured at fair value, with subsequent changes in fair value recognized in net income.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guidance will become effective for the Company beginning in the first quarter of fiscal year 2020, with early adoption permitted. 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16"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In March 2016, the FASB issued ASU 2016-05, Derivatives and Hedging (Topic 815). ASU 2016-05 clarifies that a change in the counterparty to a derivative instrument, in and of itself, does not require dedesignation of a hedging relationship. The new guidance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March 2016, the FASB issued ASU 2016-06, Derivatives and Hedging (Topic 815). ASU 2016-06 clarifies the requirements for assessing whether contingent put or call option in a debt instrument qualifies as a separate derivative. The new guidance is required to be applied on a modified retrospective basis to all existing and future debt instruments of the fiscal year for which the amendments are effective. ASU 2016-06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2016, the FASB issued ASU 2016-07, Investment — Equity Method and Joint Ventures (Topic 323). ASU 2016-07 eliminates the requirement to apply the equity method of accounting retrospectively when a reporting entity obtains significant influence over a previously held investment. ASU 2016-07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March 2016, the FASB issued ASU 2016-09, Compensation — Stock Compensation (Topic 718). ASU 2016-09 simplifies various aspects related to how share-based payments are accounted for and presented in the financial statements. The new guidance will become effective for the Company beginning in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(Topic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7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2016</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tcPr>
          <w:p>
            <w:pPr>
              <w:jc w:val="right"/>
              <w:ind w:right="59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Billed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144,386</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146,309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120,181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141,568</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(1,897)</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262,670</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46,757</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31,920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73,420</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155,511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145,161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47,987</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41,784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53,453</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47,583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Satellites (estimated useful life of 10-17 years)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559,094</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559,094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Satellites under construction</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591,432</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1,249,616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1,173,880</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(288,364)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(275,683)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961,252</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 and software (estimated useful life of 2-7 years)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594,447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568,663</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CPE leased equipment (estimated useful life of 4-5 years)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264,024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260,409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25,501</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Leasehold improvements (estimated useful life of 2-17 years)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73,157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71,895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Land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41,960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41,960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Construction in progress</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81,881</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1,092,986</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1,050,886</w:t>
            </w: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(591,341)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(563,976)</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501,645</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74,233</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74,848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Contracts and customer relationships (weighted average useful life of 8 years)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99,499</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Other (weighted average useful life of 7 years)</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197,604</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Less: accumulated amortization</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(165,801)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(164,000)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31,039</w:t>
            </w: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134,721</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Capitalized software costs,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176,386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163,061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orbital slots and other licenses, net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33,672</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361,867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340,005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Accrued liabilities:</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64,624</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Accrued employee compensation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17,681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35,056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vacation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28,646</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Warranty reserve, current portion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other long-term debt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7100" w:type="dxa"/>
            <w:vAlign w:val="bottom"/>
          </w:tcPr>
          <w:p>
            <w:pPr>
              <w:ind w:left="44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36,032</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156,894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184,344</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 long-term portion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Deferred rent, long-term portion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9,479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long-term portion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Satellite performance incentives obligation, long-term portion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19,334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19,514</w:t>
            </w:r>
          </w:p>
        </w:tc>
        <w:tc>
          <w:tcPr>
            <w:tcW w:w="0" w:type="dxa"/>
            <w:vAlign w:val="bottom"/>
          </w:tcPr>
          <w:p>
            <w:pPr>
              <w:spacing w:after="0"/>
              <w:rPr>
                <w:sz w:val="1"/>
                <w:szCs w:val="1"/>
                <w:color w:val="auto"/>
              </w:rPr>
            </w:pPr>
          </w:p>
        </w:tc>
      </w:tr>
      <w:tr>
        <w:trPr>
          <w:trHeight w:val="192"/>
        </w:trPr>
        <w:tc>
          <w:tcPr>
            <w:tcW w:w="7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0960"/>
          </w:cols>
          <w:pgMar w:left="240" w:top="459" w:right="69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jc w:val="right"/>
              <w:ind w:right="7272"/>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37,928</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   37,371</w:t>
            </w:r>
          </w:p>
        </w:tc>
        <w:tc>
          <w:tcPr>
            <w:tcW w:w="0" w:type="dxa"/>
            <w:vAlign w:val="bottom"/>
          </w:tcPr>
          <w:p>
            <w:pPr>
              <w:spacing w:after="0"/>
              <w:rPr>
                <w:sz w:val="1"/>
                <w:szCs w:val="1"/>
                <w:color w:val="auto"/>
              </w:rPr>
            </w:pPr>
          </w:p>
        </w:tc>
      </w:tr>
      <w:tr>
        <w:trPr>
          <w:trHeight w:val="20"/>
        </w:trPr>
        <w:tc>
          <w:tcPr>
            <w:tcW w:w="8200" w:type="dxa"/>
            <w:vAlign w:val="bottom"/>
            <w:vMerge w:val="restart"/>
          </w:tcPr>
          <w:p>
            <w:pPr>
              <w:jc w:val="right"/>
              <w:ind w:right="2772"/>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140" w:right="6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measured at fair value on a recurring basis as of June 30, 2016 and March 31, 2016:</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Fair Value as of</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0"/>
              </w:rPr>
              <w:t>June 30, 2016</w:t>
            </w: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Level 1</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Cash equivalents</w:t>
            </w:r>
          </w:p>
        </w:tc>
        <w:tc>
          <w:tcPr>
            <w:tcW w:w="23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2,003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$2,003</w:t>
            </w:r>
          </w:p>
        </w:tc>
        <w:tc>
          <w:tcPr>
            <w:tcW w:w="56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2,038</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2,003</w:t>
            </w:r>
          </w:p>
        </w:tc>
        <w:tc>
          <w:tcPr>
            <w:tcW w:w="5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  35</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Fair Value as of</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Level 1</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Cash equivalents</w:t>
            </w:r>
          </w:p>
        </w:tc>
        <w:tc>
          <w:tcPr>
            <w:tcW w:w="23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2,003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$2,003</w:t>
            </w:r>
          </w:p>
        </w:tc>
        <w:tc>
          <w:tcPr>
            <w:tcW w:w="56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contracts</w:t>
            </w: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vMerge w:val="continue"/>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2,199</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2,003</w:t>
            </w:r>
          </w:p>
        </w:tc>
        <w:tc>
          <w:tcPr>
            <w:tcW w:w="56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$ 196</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40" w:type="dxa"/>
            <w:vAlign w:val="bottom"/>
            <w:vMerge w:val="restart"/>
          </w:tcPr>
          <w:p>
            <w:pPr>
              <w:jc w:val="right"/>
              <w:ind w:right="1112"/>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Company’s long-term debt consists of borrowings under the Revolving Credit Facility and the Ex-Im Credit Facility (together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Revolving Credit Facility, the Credit Facilities), as well as $575.0 million in aggregate principal amount of 2020 Notes. Long-term debt related to the Revolving Credit Facility is reported at the outstanding principal amount of borrowings, while long-term debt related to the Ex-Im Credit Facility and 2020 Notes is reported at amortized cost. However, for disclosure purposes, the Company is required to measure the fair value of outstanding debt on a recurring basis. As of June 30, 2016 and March 31, 2016, the fair value of the Company’s outstanding long-term debt related to the 2020 Notes was determined using quoted prices in active markets (Level 1) and was $593.7 million and $597.3 million, respectively. The fair value of the Company’s long-term debt related to the Revolving Credit Facility approximates its carrying amount due to its variable interest rate, which approximates a market interest rate. As of June 30, 2016 and March 31, 2016, the fair value of the Company’s long-term debt related to the Ex-Im Credit Facility was determined based on a discounted cash flow analysis using observable market interest rates for instruments with similar terms (Level 2) and was approximately $293.4 million and $219.9 million, respectively.</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June 30, 2016 and March 31, 2016, the Company’s estimated satellite performance incentives obligation and accrued interest was $21.9 million and $22.0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June 30, 2016</w:t>
            </w:r>
          </w:p>
        </w:tc>
        <w:tc>
          <w:tcPr>
            <w:tcW w:w="15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w w:val="98"/>
              </w:rPr>
              <w:t>Common shares outstanding used in calculating basic net income per share</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220"/>
              <w:spacing w:after="0"/>
              <w:rPr>
                <w:sz w:val="20"/>
                <w:szCs w:val="20"/>
                <w:color w:val="auto"/>
              </w:rPr>
            </w:pPr>
            <w:r>
              <w:rPr>
                <w:rFonts w:ascii="Arial" w:cs="Arial" w:eastAsia="Arial" w:hAnsi="Arial"/>
                <w:sz w:val="18"/>
                <w:szCs w:val="18"/>
                <w:color w:val="auto"/>
              </w:rPr>
              <w:t>attributable to ViaSat, Inc. common stockholders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49,133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3"/>
              </w:rPr>
              <w:t>Options to purchase common stock as determined by application of the treasury</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method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w w:val="94"/>
              </w:rPr>
              <w:t>Restricted stock units to acquire common stock as determined by application of</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220"/>
              <w:spacing w:after="0"/>
              <w:rPr>
                <w:sz w:val="20"/>
                <w:szCs w:val="20"/>
                <w:color w:val="auto"/>
              </w:rPr>
            </w:pPr>
            <w:r>
              <w:rPr>
                <w:rFonts w:ascii="Arial" w:cs="Arial" w:eastAsia="Arial" w:hAnsi="Arial"/>
                <w:sz w:val="18"/>
                <w:szCs w:val="18"/>
                <w:color w:val="auto"/>
              </w:rPr>
              <w:t>the treasury stock method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3"/>
              </w:rPr>
              <w:t>Potentially issuable shares in connection with certain terms of the ViaSat 401(k)</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Profit Sharing Plan and Employee Stock Purchase Plan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w w:val="96"/>
              </w:rPr>
              <w:t>Shares used in computing diluted net income per share attributable to ViaSat,</w:t>
            </w: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960" w:type="dxa"/>
            <w:vAlign w:val="bottom"/>
          </w:tcPr>
          <w:p>
            <w:pPr>
              <w:ind w:left="220"/>
              <w:spacing w:after="0"/>
              <w:rPr>
                <w:sz w:val="20"/>
                <w:szCs w:val="20"/>
                <w:color w:val="auto"/>
              </w:rPr>
            </w:pPr>
            <w:r>
              <w:rPr>
                <w:rFonts w:ascii="Arial" w:cs="Arial" w:eastAsia="Arial" w:hAnsi="Arial"/>
                <w:sz w:val="18"/>
                <w:szCs w:val="18"/>
                <w:color w:val="auto"/>
              </w:rPr>
              <w:t>Inc. common stockholders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50,170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424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Antidilutive shares relating to stock options excluded from the calculation comprised 713,863 and 642,841 shares for the three months ended June 30, 2016 and 2015, respectively.</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Antidilutive shares relating to restricted stock units excluded from the calculation comprised 12,332 and 15 shares for the three months ended June 30, 2016 and 2015,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During the first three months of fiscal year 2017, the Company’s goodwill decreased by $0.5 million, which related to the effects of foreign currency translation recorded within the Company’s government systems and commercial networks segments.</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Other acquired intangible assets are amortized using the straight-line method over their estimated useful lives of two to ten years. Amortization expense related to other acquired intangible assets was $2.5 million and $4.8 million for the three months ended June 30, 2016 and 2015, respectively.</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June 30, 2016</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2017</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6,834</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June 30, 2016 and March 31, 2016:</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500" w:type="dxa"/>
            <w:vAlign w:val="bottom"/>
            <w:gridSpan w:val="4"/>
          </w:tcPr>
          <w:p>
            <w:pPr>
              <w:ind w:left="340"/>
              <w:spacing w:after="0"/>
              <w:rPr>
                <w:sz w:val="20"/>
                <w:szCs w:val="20"/>
                <w:color w:val="auto"/>
              </w:rPr>
            </w:pPr>
            <w:r>
              <w:rPr>
                <w:rFonts w:ascii="Arial" w:cs="Arial" w:eastAsia="Arial" w:hAnsi="Arial"/>
                <w:sz w:val="14"/>
                <w:szCs w:val="14"/>
                <w:b w:val="1"/>
                <w:bCs w:val="1"/>
                <w:color w:val="auto"/>
              </w:rPr>
              <w:t>June 30, 2016</w:t>
            </w:r>
          </w:p>
        </w:tc>
        <w:tc>
          <w:tcPr>
            <w:tcW w:w="1320" w:type="dxa"/>
            <w:vAlign w:val="bottom"/>
            <w:gridSpan w:val="4"/>
          </w:tcPr>
          <w:p>
            <w:pPr>
              <w:ind w:left="30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ind w:left="6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2020 Notes</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575,000</w:t>
            </w:r>
          </w:p>
        </w:tc>
        <w:tc>
          <w:tcPr>
            <w:tcW w:w="360" w:type="dxa"/>
            <w:vAlign w:val="bottom"/>
          </w:tcPr>
          <w:p>
            <w:pPr>
              <w:spacing w:after="0"/>
              <w:rPr>
                <w:sz w:val="18"/>
                <w:szCs w:val="18"/>
                <w:color w:val="auto"/>
              </w:rPr>
            </w:pPr>
          </w:p>
        </w:tc>
        <w:tc>
          <w:tcPr>
            <w:tcW w:w="5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w w:val="98"/>
              </w:rPr>
              <w:t>Unamortized premium and debt issuance costs on the 2020 Notes, net (2)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Total senior notes, net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575,330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Ex-Im Credit Facility (1)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w w:val="93"/>
              </w:rPr>
              <w:t>Unamortized discount and debt issuance costs on the Ex-Im Credit Facility (1)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ind w:left="2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(34,338)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(28,221)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Total other long-term debt, net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459,007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 net</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6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458,730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debt,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1,034,337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1,034,060</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2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40" w:hanging="452"/>
        <w:spacing w:after="0" w:line="28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June 30, 2016, included in Ex-Im Credit Facility and in unamortized discount and debt issuance costs on the Ex-Im Credit Facility was $28.4 million and $25.4 million, respectively, relating to the exposure fees accrued as of such date expected to be financed under the Ex-Im Credit Facility. As of March 31, 2016, included in Ex-Im Credit Facility and in unamortized discount and debt issuance costs on the Ex-Im Credit Facility was $21.0 million and $18.7 million, respectively, relating to the exposure fees accrued as of such date expected to be financed under the Ex-Im Credit Facility.</w:t>
      </w:r>
    </w:p>
    <w:p>
      <w:pPr>
        <w:spacing w:after="0" w:line="2" w:lineRule="exact"/>
        <w:rPr>
          <w:rFonts w:ascii="Arial" w:cs="Arial" w:eastAsia="Arial" w:hAnsi="Arial"/>
          <w:sz w:val="16"/>
          <w:szCs w:val="16"/>
          <w:color w:val="auto"/>
        </w:rPr>
      </w:pPr>
    </w:p>
    <w:p>
      <w:pPr>
        <w:ind w:left="460" w:right="38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first quarter of fiscal year 2017, the Company adopted ASU 2015-03. The retrospective basis adoption of this guidance resulted in reclassification of unamortized debt issuance costs as a direct deduction from the carrying amount of the Company’s 2020 Notes and the Ex-Im Credit Facility, respectively, consistent with unamortized discount, as of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As of June 30, 2016, the Revolving Credit Facility provided an $800.0 million revolving line of credit (including up to $150.0 million of letters of credit), with a maturity date of May 24, 2021 (or March 16, 2020, if more than $200.0 million of the Company’s 2020 Notes are then outstanding and certain conditions are met).</w:t>
      </w:r>
    </w:p>
    <w:p>
      <w:pPr>
        <w:spacing w:after="0" w:line="140"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w:t>
      </w:r>
    </w:p>
    <w:p>
      <w:pPr>
        <w:ind w:right="60"/>
        <w:spacing w:after="0" w:line="292" w:lineRule="auto"/>
        <w:rPr>
          <w:sz w:val="20"/>
          <w:szCs w:val="20"/>
          <w:color w:val="auto"/>
        </w:rPr>
      </w:pPr>
      <w:r>
        <w:rPr>
          <w:rFonts w:ascii="Arial" w:cs="Arial" w:eastAsia="Arial" w:hAnsi="Arial"/>
          <w:sz w:val="16"/>
          <w:szCs w:val="16"/>
          <w:color w:val="auto"/>
        </w:rPr>
        <w:t>(2), an applicable margin that is based on the Company’s total leverage ratio. At June 30, 2016, the weighted average effective interest rate on the Company’s outstanding borrowings under the Revolving Credit Facility was 2.47%.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June 30, 2016, none of the Company’s subsidiaries guaranteed the Revolving Credit Facility.</w:t>
      </w:r>
    </w:p>
    <w:p>
      <w:pPr>
        <w:spacing w:after="0" w:line="11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was in compliance with its financial covenants under the Revolving Credit Facility as of June 30, 2016. At June 30, 2016, the Company had $200.0 million in principal amount of outstanding borrowings under the Revolving Credit Facility and $43.0 million outstanding under standby letters of credit, leaving borrowing availability under the Revolving Credit Facility as of June 30, 2016 of $557.0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2016,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the initial borrowing under the Ex-Im Credit Facility, with the remaining exposure fees payable by the in-orbit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 estimated to be between 4.5% and 4.6% as of June 30, 2016. The Ex-Im Credit Facility is guaranteed by ViaSat and is secured by first-priority liens on the ViaSat-2 satellite and related assets, as well as a pledge of the capital stock of the borrower under the facility.</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was in compliance with its financial covenants under the Ex-Im Credit Facility as of June 30, 2016. At June 30, 2016, the Company had $264.4 million in principal amount of outstanding borrowings under the Ex-Im Credit Facility and had accrued $28.4 million in completion exposure fees expected to be financed under the Ex-Im Credit Facility. As of June 30, 2016, the undrawn commitment under the Ex-Im Credit Facility was $93.9 million (excluding $28.4 million of accrued completion exposure fees), of which $84.6 million was available to finance ViaSat-2 related costs once incurred. The borrowings under the Ex-Im Credit Facility were issued with a discount of $35.5 million (comprising the initial $6.0 million exposure fee, the completion exposure fees accrued as of June 30, 2016, and other customary fees). The borrowings under the Ex-Im Credit Facility are recorded as long-term debt, net of unamortized discount and debt issuance costs, in the Company’s condensed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the Company’s condensed consolidated financial statements. In October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condensed consolidated financial statements and is being amortized as a reduction to interest expense on an effective interest rate basis over the term of those 2020 Notes. The 2020 Notes are recorded as long-term debt, net of unamortized premium and debt issuance costs, in the Company’s condensed consolidated financial statements.</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Revolving Credit Facility. As of June 30, 2016,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2020 Notes may be redeemed, in whole or in part, at any time during the twelve months beginning on June 15, 2016 at a redemption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103.438%, during the twelve months beginning on June 15, 2017 at a redemption price of 101.719%, and at any time on or after June 15, 2018 at a redemption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100%, in each case plus accrued and unpaid interest, if any, thereon to the redemption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three months ended June 30, 2016 and 2015:</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left="239"/>
              <w:spacing w:after="0"/>
              <w:rPr>
                <w:sz w:val="20"/>
                <w:szCs w:val="20"/>
                <w:color w:val="auto"/>
              </w:rPr>
            </w:pPr>
            <w:r>
              <w:rPr>
                <w:rFonts w:ascii="Arial" w:cs="Arial" w:eastAsia="Arial" w:hAnsi="Arial"/>
                <w:sz w:val="14"/>
                <w:szCs w:val="14"/>
                <w:b w:val="1"/>
                <w:bCs w:val="1"/>
                <w:color w:val="auto"/>
                <w:w w:val="89"/>
              </w:rPr>
              <w:t>Three Months Ended</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2016</w:t>
            </w:r>
          </w:p>
        </w:tc>
        <w:tc>
          <w:tcPr>
            <w:tcW w:w="114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83"/>
              </w:rPr>
              <w:t>June 30, 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4"/>
          </w:tcPr>
          <w:p>
            <w:pPr>
              <w:jc w:val="center"/>
              <w:ind w:left="23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(1,915)</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vMerge w:val="continue"/>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12,157</w:t>
            </w:r>
          </w:p>
        </w:tc>
        <w:tc>
          <w:tcPr>
            <w:tcW w:w="380" w:type="dxa"/>
            <w:vAlign w:val="bottom"/>
          </w:tcPr>
          <w:p>
            <w:pPr>
              <w:spacing w:after="0"/>
              <w:rPr>
                <w:sz w:val="19"/>
                <w:szCs w:val="19"/>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July 2016, the Company entered into two separate agreements with Boeing for the construction and purchase of two ViaSat-3 class satellites (the Company’s third-generation high-capacity Ka-band satellite design)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These agreements supersede the prior limited authorization to proceed, under which the Company’s payment obligations were limited to $89.0 million in the aggregate. The first ViaSat-3 class satellite is expected to provide broadband services over the Americas, and the second is expected to provide broadband services over Europe, Middle East and Africa.</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Company’s majority-owned subsidiary TrellisWare was informed by the Civil Division of the U.S. Attorney’s Office for the Southern District of California that it is investigating TrellisWare’s eligibility for certain prior government contracts and whether TrellisWare’s conduct in connection therewith violated the False Claims Act. At this time, the Company cannot determine whether the government will initiate a case and, if so, whether TrellisWare would be liable for any damages or penalties, or in what amount. Although the outcome of this investigation is difficult to predict, an unfavorable resolution could have a material impact on the Company’s financial results.</w:t>
      </w:r>
    </w:p>
    <w:p>
      <w:pPr>
        <w:spacing w:after="0" w:line="143"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2016. As of June 30, 2016,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June 30, 2016 and March 31, 2016, the Company had $2.4 million and $2.5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(discrete method) for the year-to-date period. The Company’s effective tax rate is highly influenced by the amount of its research and development tax credits. A small change in estimated annual pretax income (loss) can produce a significant variance in the annual effective tax rate given the Company’s expected amount of research and development tax credits. This variability provides an unreliable estimate of the annual effective tax rate. As a result, and in accordance with the authoritative guidance for accounting for income taxes in interim periods, the Company has computed its provision for income taxes for the three months ended June 30, 2016, by applying the actual effective tax rate to the year-to-date income for the three-month period.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the three months ended June 30, 2016, the Company’s gross unrecognized tax benefits increased by $1.0 million. In the next twelve months it is reasonably possible that the amount of unrecognized tax benefits will not change significantly.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—Strategic Partnering Arrangements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2016, the Company entered into a framework and subscription agreement (the Framework Agreement) with Eutelsat, pursuant to which the Company has agreed to enter into a strategic partnering arrangement with Eutelsat to own and operate satellite broadband infrastructure and equipment and provide satellite-based broadband internet services in the European region. The arrangement will consist of two entities coordinating efforts to expand the European broadband market: an entity to be owned 51% by Eutelsat and 49% by the Company following the closing will own and operate Eutelsat’s KA-SAT satellite and related assets and offer wholesale satellite capacity services in the European region; and an entity to be owned 51% by the Company and 49% by Eutelsat following the closing will purchase wholesale satellite capacity services and offer retail satellite-based broadband internet services in the European region. At the closing under the Framework Agreement, Eutelsat will contribute and transfer assets relating to Eutelsat’s existing wholesale satellite broadband business (including its KA-SAT satellite) to a newly formed subsidiary of Eutelsat in exchange for the issuance of new shares in such subsidiary, and following such contribution and issuance, the Company will purchase 49% of the issued shares of Eutelsat’s subsidiary from Eutelsat for €132.5 million and, similarly, Eutelsat will purchase 49% of the issued shares of a second newly formed subsidiary of the Company for an immaterial amount. Also at the closing, the Company and Eutelsat will enter into shareholders’ agreements and other ancillary agreements with respect to the ownership, management and operation of the two entities. The closing of the transactions under the Framework Agreement is subject to customary conditions, including the receipt of required regulatory approvals and third-party consents. The Company currently anticipates that the closing will occur in fiscal year 2017.</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services to consumers, enterprises, commercial airlines and mobile broadband customers primarily in the United States. The Company’s commercial networks segment develops and offers advanced end-to-end satellite and wireless communication systems, ground networking equipment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revenues and operating profits (losses) for the three months ended June 30, 2016 and 2015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2016</w:t>
            </w:r>
          </w:p>
        </w:tc>
        <w:tc>
          <w:tcPr>
            <w:tcW w:w="1100" w:type="dxa"/>
            <w:vAlign w:val="bottom"/>
            <w:tcBorders>
              <w:top w:val="single" w:sz="8" w:color="auto"/>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83"/>
              </w:rPr>
              <w:t>June 30, 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center"/>
              <w:ind w:left="394"/>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Product (1)</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84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145,708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126,140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152,393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Product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84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Product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95,395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840"/>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145,184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Elimination of intersegment revenues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363,130</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344,378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Satellite services (1)</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30,867</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(38,531)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systems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Elimination of intersegment operating profits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before corporate and amortization of acquired</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gridSpan w:val="2"/>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7,778</w:t>
            </w:r>
          </w:p>
        </w:tc>
        <w:tc>
          <w:tcPr>
            <w:tcW w:w="36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revenues and operating profits in the satellite services segment for the three months ended June 30, 2016 and 2015 included $6.6 million and $6.2 million, respectively, relating to amounts realized under the Company’s settlement agreement entered into in fiscal year 2015 with Space System Loral, Inc. and its former parent company Loral Space &amp; Communications, Inc.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June 30, 2016 and March 31, 2016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2016</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right"/>
              <w:ind w:right="51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60,687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57,529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184,190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320,645</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565,522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2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1,925,727</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1,814,913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2,491,249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2,397,312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acquired intangible assets, net and goodwill included in segment assets as of June 30, 2016 and March 31, 2016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89"/>
              </w:rPr>
              <w:t>Other Acquired Intangible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81"/>
              </w:rPr>
              <w:t>Assets, Net</w:t>
            </w:r>
          </w:p>
        </w:tc>
        <w:tc>
          <w:tcPr>
            <w:tcW w:w="7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Goodwill</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79"/>
              <w:spacing w:after="0" w:line="129" w:lineRule="exact"/>
              <w:rPr>
                <w:sz w:val="20"/>
                <w:szCs w:val="20"/>
                <w:color w:val="auto"/>
              </w:rPr>
            </w:pPr>
            <w:r>
              <w:rPr>
                <w:rFonts w:ascii="Arial" w:cs="Arial" w:eastAsia="Arial" w:hAnsi="Arial"/>
                <w:sz w:val="14"/>
                <w:szCs w:val="14"/>
                <w:b w:val="1"/>
                <w:bCs w:val="1"/>
                <w:color w:val="auto"/>
              </w:rPr>
              <w:t>As of</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76"/>
              <w:spacing w:after="0" w:line="129" w:lineRule="exact"/>
              <w:rPr>
                <w:sz w:val="20"/>
                <w:szCs w:val="20"/>
                <w:color w:val="auto"/>
              </w:rPr>
            </w:pPr>
            <w:r>
              <w:rPr>
                <w:rFonts w:ascii="Arial" w:cs="Arial" w:eastAsia="Arial" w:hAnsi="Arial"/>
                <w:sz w:val="14"/>
                <w:szCs w:val="14"/>
                <w:b w:val="1"/>
                <w:bCs w:val="1"/>
                <w:color w:val="auto"/>
              </w:rPr>
              <w:t>As of</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r>
      <w:tr>
        <w:trPr>
          <w:trHeight w:val="161"/>
        </w:trPr>
        <w:tc>
          <w:tcPr>
            <w:tcW w:w="49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 2016</w:t>
            </w:r>
          </w:p>
        </w:tc>
        <w:tc>
          <w:tcPr>
            <w:tcW w:w="6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March 31, 2016</w:t>
            </w:r>
          </w:p>
        </w:tc>
        <w:tc>
          <w:tcPr>
            <w:tcW w:w="7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 2016</w:t>
            </w:r>
          </w:p>
        </w:tc>
        <w:tc>
          <w:tcPr>
            <w:tcW w:w="6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2016</w:t>
            </w:r>
          </w:p>
        </w:tc>
      </w:tr>
      <w:tr>
        <w:trPr>
          <w:trHeight w:val="142"/>
        </w:trPr>
        <w:tc>
          <w:tcPr>
            <w:tcW w:w="49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Commercial networks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6,137</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6,581</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43,956</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43,990</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17,256</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62,795</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63,241</w:t>
            </w:r>
          </w:p>
        </w:tc>
        <w:tc>
          <w:tcPr>
            <w:tcW w:w="100" w:type="dxa"/>
            <w:vAlign w:val="bottom"/>
            <w:shd w:val="clear" w:color="auto" w:fill="CCEEFF"/>
          </w:tcPr>
          <w:p>
            <w:pPr>
              <w:spacing w:after="0"/>
              <w:rPr>
                <w:sz w:val="18"/>
                <w:szCs w:val="18"/>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31,039</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33,604</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116,560</w:t>
            </w:r>
          </w:p>
        </w:tc>
        <w:tc>
          <w:tcPr>
            <w:tcW w:w="8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117,040</w:t>
            </w:r>
          </w:p>
        </w:tc>
        <w:tc>
          <w:tcPr>
            <w:tcW w:w="10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acquired intangible assets by segment for the three months ended June 30, 2016 and 2015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June 30, 2016</w:t>
            </w:r>
          </w:p>
        </w:tc>
        <w:tc>
          <w:tcPr>
            <w:tcW w:w="1560" w:type="dxa"/>
            <w:vAlign w:val="bottom"/>
            <w:gridSpan w:val="3"/>
          </w:tcPr>
          <w:p>
            <w:pPr>
              <w:ind w:left="760"/>
              <w:spacing w:after="0" w:line="142" w:lineRule="exact"/>
              <w:rPr>
                <w:sz w:val="20"/>
                <w:szCs w:val="20"/>
                <w:color w:val="auto"/>
              </w:rPr>
            </w:pPr>
            <w:r>
              <w:rPr>
                <w:rFonts w:ascii="Arial" w:cs="Arial" w:eastAsia="Arial" w:hAnsi="Arial"/>
                <w:sz w:val="14"/>
                <w:szCs w:val="14"/>
                <w:b w:val="1"/>
                <w:bCs w:val="1"/>
                <w:color w:val="auto"/>
                <w:w w:val="85"/>
              </w:rPr>
              <w:t>June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Satellite services</w:t>
            </w:r>
          </w:p>
        </w:tc>
        <w:tc>
          <w:tcPr>
            <w:tcW w:w="2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Commercial networks</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445</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7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80" w:type="dxa"/>
            <w:vAlign w:val="bottom"/>
          </w:tcPr>
          <w:p>
            <w:pPr>
              <w:spacing w:after="0"/>
              <w:rPr>
                <w:sz w:val="20"/>
                <w:szCs w:val="20"/>
                <w:color w:val="auto"/>
              </w:rPr>
            </w:pPr>
            <w:r>
              <w:rPr>
                <w:rFonts w:ascii="Arial" w:cs="Arial" w:eastAsia="Arial" w:hAnsi="Arial"/>
                <w:sz w:val="18"/>
                <w:szCs w:val="18"/>
                <w:color w:val="auto"/>
                <w:w w:val="99"/>
              </w:rPr>
              <w:t>Total amortization of acquired intangible assets</w:t>
            </w:r>
          </w:p>
        </w:tc>
        <w:tc>
          <w:tcPr>
            <w:tcW w:w="26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2,513</w:t>
            </w:r>
          </w:p>
        </w:tc>
        <w:tc>
          <w:tcPr>
            <w:tcW w:w="10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40" w:type="dxa"/>
            <w:vAlign w:val="bottom"/>
            <w:vMerge w:val="restart"/>
          </w:tcPr>
          <w:p>
            <w:pPr>
              <w:jc w:val="right"/>
              <w:ind w:right="1712"/>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expected capacity, service, coverage, service speeds and other features of our satellites, and the timing, cost, economics and other benefits associated therewith; anticipated subscriber growth; our proposed strategic partnering arrangement with Eutelsat S.A. (together with its affiliates, Eutelsat) and the timing, costs, economics and other benefits associated therewith;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consummate our proposed strategic partnering arrangement with Eutelsat and to realize the anticipated benefits of the strategic partnering arrangement;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w:t>
      </w:r>
    </w:p>
    <w:p>
      <w:pPr>
        <w:spacing w:after="0" w:line="4"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Item 1A of our Annual Report on Form 10-K for the fiscal year ended March 31, 2016,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first quarter of fiscal year 2016, we completed the acquisition of Engreen Inc. (Engreen), a privately held company focused on network function virtualization, for approximately $5.3 million (of which $0.5 million has been withheld as security for any indemnifiable damages), recorded within our commercial networks segment.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satellite services segment provides satellite-based high-speed broadband services to consumers, enterprises, commercial airlines and mobile broadband customers primarily in the United States. Our Exede</w:t>
      </w:r>
      <w:r>
        <w:rPr>
          <w:rFonts w:ascii="Arial" w:cs="Arial" w:eastAsia="Arial" w:hAnsi="Arial"/>
          <w:sz w:val="10"/>
          <w:szCs w:val="10"/>
          <w:color w:val="auto"/>
        </w:rPr>
        <w:t>®</w:t>
      </w:r>
      <w:r>
        <w:rPr>
          <w:rFonts w:ascii="Arial" w:cs="Arial" w:eastAsia="Arial" w:hAnsi="Arial"/>
          <w:sz w:val="16"/>
          <w:szCs w:val="16"/>
          <w:color w:val="auto"/>
        </w:rPr>
        <w:t xml:space="preserve"> broadband services offer high-speed, high-quality broadband internet access across the contiguous United States. We also offer similar services for a growing number of commercial and business aircraft both in the United States and abroad. Our satellite services business also provides a platform for the provision of network management services to domestic and international satellite service providers. Our satellite services business uses our proprietary technology platform to provide broadband services with multiple applications. Our proprietary Ka-band satellites are at the core of our technology platform. We own two satellites: ViaSat-1 (our first-generation high-capacity Ka-band spot-beam satellite, which was placed into service in January 2012) and WildBlue-1 (which was placed into service in March 2007). In addition, three additional satellites are under construction: the ViaSat-2 satellite (our second-generation high-capacity Ka-band satellite design) and two ViaSat-3 class satellites (our third-generation high-capacity Ka-band satellite design). We expect that the ViaSat-2 satellite will be launched during fiscal year 2017 and that the two ViaSat-3 class satellites will be launched in fiscal year 2020 or early fiscal year 2021.</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1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broadband services under the Exede and Wildblue</w:t>
      </w:r>
      <w:r>
        <w:rPr>
          <w:rFonts w:ascii="Arial" w:cs="Arial" w:eastAsia="Arial" w:hAnsi="Arial"/>
          <w:sz w:val="11"/>
          <w:szCs w:val="11"/>
          <w:color w:val="auto"/>
        </w:rPr>
        <w:t>®</w:t>
      </w:r>
      <w:r>
        <w:rPr>
          <w:rFonts w:ascii="Arial" w:cs="Arial" w:eastAsia="Arial" w:hAnsi="Arial"/>
          <w:sz w:val="18"/>
          <w:szCs w:val="18"/>
          <w:color w:val="auto"/>
        </w:rPr>
        <w:t xml:space="preserve"> brands offered to consumers and businesses primarily in the United States, which provide users with high-speed broadband internet access and Voice over Internet Protocol (VoIP) services. As of June 30, 2016, we provided broadband internet services to approximately 696,000 consumer and small business subscribers.</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In-flight broadband services including our flagship Exede In The Air service. As of June 30, 2016, 509 commercial aircraft were in service utilizing our Exede in-flight broadband services.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services under the Yonder</w:t>
      </w:r>
      <w:r>
        <w:rPr>
          <w:rFonts w:ascii="Arial" w:cs="Arial" w:eastAsia="Arial" w:hAnsi="Arial"/>
          <w:sz w:val="11"/>
          <w:szCs w:val="11"/>
          <w:color w:val="auto"/>
        </w:rPr>
        <w:t>®</w:t>
      </w:r>
      <w:r>
        <w:rPr>
          <w:rFonts w:ascii="Arial" w:cs="Arial" w:eastAsia="Arial" w:hAnsi="Arial"/>
          <w:sz w:val="18"/>
          <w:szCs w:val="18"/>
          <w:color w:val="auto"/>
        </w:rPr>
        <w:t xml:space="preserve"> brand, which provide global network management and high-speed internet connectivity 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Enterprise broadband services, which include business connectivity, live on-line event streaming, oil and natural gas data gathering services and high-definition satellite news gathering.</w:t>
      </w:r>
    </w:p>
    <w:p>
      <w:pPr>
        <w:spacing w:after="0" w:line="13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In February 2016, we entered into a framework and subscription agreement (the Framework Agreement) with Eutelsat, pursuant to which we have agreed to enter into a strategic partnering arrangement with Eutelsat to own and operate satellite broadband infrastructure and equipment and provide satellite-based broadband internet services in the European region. The arrangement will consist of two entities coordinating efforts to expand the European broadband market: an entity to be owned 51% by Eutelsat and 49% by ViaSat following the closing will own and operate Eutelsat’s KA-SAT satellite and related assets and offer wholesale satellite capacity services in the European region; and an entity to be owned 51% by ViaSat and 49% by Eutelsat following the closing will purchase wholesale satellite capacity services and offer retail satellite-based broadband internet services in the European region. At the closing under the Framework Agreement, Eutelsat will contribute and transfer assets relating to Eutelsat’s existing wholesale satellite broadband business (including its KA-SAT satellite) to a newly formed subsidiary of Eutelsat in exchange for the issuance of new shares in such subsidiary, and following such contribution and issuance, we will purchase 49% of the issued shares of Eutelsat’s subsidiary from Eutelsat for €132.5 million and, similarly, Eutelsat will purchase 49% of the issued shares of a second newly formed subsidiary of ViaSat for an immaterial amount. Also at the closing, we and Eutelsat will enter into shareholders’ agreements and other ancillary agreements with respect to the ownership, management and operation of the two entities. The closing of the transactions under the Framework Agreement is subject to customary conditions, including the receipt of required regulatory approvals and third-party consents. We currently anticipate that the closing will occur in fiscal year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commercial networks segment develops and produces a variety of advanced end-to-end satellite and wireless communication systems, ground networking equipment and space-to-earth connectivity systems. We design and build customized fixed and mobile satellite communication systems capable of serving a variety of markets and applications. In addition, we offer an array of ground networking equipment and products, including customer premise equipment (CPE), satellite modems, antenna technologies, earth stations and satellite networking hubs. Our communication systems, networking equipment and products are generally developed through a combination of customer and discretionary internal research and development funding, are utilized to provide services through our satellite services segment and are also sold to commercial networks customers.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communication systems, ground networking equipment and products include:</w:t>
      </w:r>
    </w:p>
    <w:p>
      <w:pPr>
        <w:spacing w:after="0" w:line="90" w:lineRule="exact"/>
        <w:rPr>
          <w:sz w:val="20"/>
          <w:szCs w:val="20"/>
          <w:color w:val="auto"/>
        </w:rPr>
      </w:pPr>
    </w:p>
    <w:p>
      <w:pPr>
        <w:ind w:left="900" w:right="2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allied foreign governments, domestic and allied armed forces, public safety first-responders and remote government employees.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4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w:t>
      </w:r>
    </w:p>
    <w:p>
      <w:pPr>
        <w:spacing w:after="0" w:line="50"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for Wi-Fi and other internet access networks, and global mobile broadband capability, and include products designed for manpacks, aircraft, unmanned aerial vehicles (UAVs), seagoing vessels, ground mobile vehicles and fixed applications.</w:t>
      </w:r>
    </w:p>
    <w:p>
      <w:pPr>
        <w:spacing w:after="0" w:line="34"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1"/>
          <w:szCs w:val="11"/>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w:t>
      </w:r>
    </w:p>
    <w:p>
      <w:pPr>
        <w:spacing w:after="0" w:line="59"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radios, Multifunctional Information Distribution System (MIDS) terminals for military fighter jets and their successor, MIDS Joint Tactical Radio System (MIDS-JTRS) terminals, “disposable” weapon data links and other portable small tactical terminals.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satellite services segment revenues are primarily derived from our domestic broadband services business and from our worldwide managed network services.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87% and 89% of our total revenues for these segments for the three months ended June 30, 2016 and 2015,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a significant portion of our revenues in our commercial networks and government systems segments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23% and 19% of our total revenues in the three months ended June 30, 2016 and 2015,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7% and 5% of total revenues during the three months ended June 30, 2016 and 2015, respectively. As a government contractor, we are able to recover a portion of our IR&amp;D expenses pursuant to our government contracts.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June 30, 2016 and 2015, we recorded losses of approximately $0.4 million and $1.4 million, respectively, related to loss contracts.</w:t>
      </w:r>
    </w:p>
    <w:p>
      <w:pPr>
        <w:spacing w:after="0" w:line="12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June 30, 2016 would change our income before income taxes by approximately $0.4 million.</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review for transfers of ownership of the equipment to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own two satellites: ViaSat-1 (our first-generation high-capacity Ka-band spot-beam satellite, which was placed into service in January 2012) and WildBlue-1 (which was placed into service in March 2007). In addition, three additional satellites are under construction: the ViaSat-2 satellite (our second-generation high-capacity Ka-band satellite design) and two ViaSat-3 class satellites (our third-generation high-capacity Ka-band satellite design). We expect that the ViaSat-2 satellite will be launched during fiscal year 2017 and that the two ViaSat-3 class satellites will be launched in fiscal year 2020 or early fiscal year 2021. We also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months ended June 30, 2016 and 2015.</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our qualitative assessment performed during the fourth quarter of fiscal year 2016, we concluded that it was more likely than not that the estimated fair value of our reporting units exceeded their carrying value as of March 31, 2016 and, therefore, determined it was not necessary to perform the two-step goodwill impairment test.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$17.1 million at March 31, 2016 to $18.5 million at June 30, 2016. The valuation allowance primarily relates to state net operating loss carryforwards and research and development tax credit carryforwards available to reduce state income taxes.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Three Months Ended</w:t>
            </w:r>
          </w:p>
        </w:tc>
      </w:tr>
      <w:tr>
        <w:trPr>
          <w:trHeight w:val="129"/>
        </w:trPr>
        <w:tc>
          <w:tcPr>
            <w:tcW w:w="5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78"/>
              </w:rPr>
              <w:t>June 30,</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200" w:type="dxa"/>
            <w:vAlign w:val="bottom"/>
          </w:tcPr>
          <w:p>
            <w:pPr>
              <w:spacing w:after="0"/>
              <w:rPr>
                <w:sz w:val="11"/>
                <w:szCs w:val="11"/>
                <w:color w:val="auto"/>
              </w:rPr>
            </w:pPr>
          </w:p>
        </w:tc>
      </w:tr>
      <w:tr>
        <w:trPr>
          <w:trHeight w:val="161"/>
        </w:trPr>
        <w:tc>
          <w:tcPr>
            <w:tcW w:w="51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7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17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17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21"/>
        </w:trPr>
        <w:tc>
          <w:tcPr>
            <w:tcW w:w="5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6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r>
      <w:tr>
        <w:trPr>
          <w:trHeight w:val="221"/>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2016 vs. Three Months Ended June 30, 2015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60" w:type="dxa"/>
            <w:vAlign w:val="bottom"/>
          </w:tcPr>
          <w:p>
            <w:pPr>
              <w:spacing w:after="0"/>
              <w:rPr>
                <w:sz w:val="11"/>
                <w:szCs w:val="11"/>
                <w:color w:val="auto"/>
              </w:rPr>
            </w:pPr>
          </w:p>
        </w:tc>
        <w:tc>
          <w:tcPr>
            <w:tcW w:w="104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1"/>
                <w:szCs w:val="11"/>
                <w:color w:val="auto"/>
              </w:rPr>
            </w:pPr>
          </w:p>
        </w:tc>
        <w:tc>
          <w:tcPr>
            <w:tcW w:w="114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880" w:type="dxa"/>
            <w:vAlign w:val="bottom"/>
            <w:gridSpan w:val="2"/>
          </w:tcPr>
          <w:p>
            <w:pPr>
              <w:jc w:val="right"/>
              <w:ind w:right="40"/>
              <w:spacing w:after="0" w:line="148"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540" w:type="dxa"/>
            <w:vAlign w:val="bottom"/>
          </w:tcPr>
          <w:p>
            <w:pPr>
              <w:jc w:val="right"/>
              <w:ind w:right="60"/>
              <w:spacing w:after="0" w:line="148"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43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3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$ 160.7</w:t>
            </w:r>
          </w:p>
        </w:tc>
        <w:tc>
          <w:tcPr>
            <w:tcW w:w="5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$ 168.3</w:t>
            </w: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w:t>
            </w:r>
          </w:p>
        </w:tc>
        <w:tc>
          <w:tcPr>
            <w:tcW w:w="5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436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202.5</w:t>
            </w:r>
          </w:p>
        </w:tc>
        <w:tc>
          <w:tcPr>
            <w:tcW w:w="540" w:type="dxa"/>
            <w:vAlign w:val="bottom"/>
          </w:tcPr>
          <w:p>
            <w:pPr>
              <w:jc w:val="right"/>
              <w:spacing w:after="0"/>
              <w:rPr>
                <w:sz w:val="20"/>
                <w:szCs w:val="20"/>
                <w:color w:val="auto"/>
              </w:rPr>
            </w:pPr>
            <w:r>
              <w:rPr>
                <w:rFonts w:ascii="Arial" w:cs="Arial" w:eastAsia="Arial" w:hAnsi="Arial"/>
                <w:sz w:val="18"/>
                <w:szCs w:val="18"/>
                <w:color w:val="auto"/>
              </w:rPr>
              <w:t>176.0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5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$ 363.1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$ 344.4</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total revenues grew by $18.8 million as a result of a $26.4 million increase in service revenues, partially offset by a $7.7 million decrease in product revenues. The service revenues increase was primarily driven by increases of $19.6 million in our satellite services segment and $5.1 million in our government systems segment. The product revenues decrease was primarily driven by decreases of $5.2 million in our government systems segment and $2.9 million in our commercial networks segment.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6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880" w:type="dxa"/>
            <w:vAlign w:val="bottom"/>
            <w:gridSpan w:val="2"/>
          </w:tcPr>
          <w:p>
            <w:pPr>
              <w:jc w:val="right"/>
              <w:ind w:right="40"/>
              <w:spacing w:after="0" w:line="148"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2"/>
                <w:szCs w:val="12"/>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43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3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$ 120.7</w:t>
            </w:r>
          </w:p>
        </w:tc>
        <w:tc>
          <w:tcPr>
            <w:tcW w:w="5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$ 125.8</w:t>
            </w:r>
          </w:p>
        </w:tc>
        <w:tc>
          <w:tcPr>
            <w:tcW w:w="2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w:t>
            </w:r>
          </w:p>
        </w:tc>
        <w:tc>
          <w:tcPr>
            <w:tcW w:w="5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436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127.6</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117.6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4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$ 248.3</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$ 243.4</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Cost of revenues increased by $4.8 million due to a $10.0 million increase in cost of service revenues, partially offset by a decrease in cost of product revenues of $5.2 million. The cost of service revenues increase was primarily due to increased service revenues, which generated a $17.7 million increase in cost of service revenues on a constant margin basis. This increase mainly related to our Exede broadband internet services and in-flight broadband services in our satellite services segment, partially offset by improved margins from our Exede broadband services resulting from the higher number of Exede subscribers compared to the prior year period and resultant scale in revenues, as well as higher value service plan offerings. The cost of product revenues decrease was primarily due to decreased revenues, causing a $5.7 million decrease in cost of product revenues on a constant margin basis. This cost of product revenues decrease mainly related to our tactical data link products in our government systems segment.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10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320" w:type="dxa"/>
            <w:vAlign w:val="bottom"/>
            <w:vMerge w:val="restart"/>
          </w:tcPr>
          <w:p>
            <w:pPr>
              <w:spacing w:after="0"/>
              <w:rPr>
                <w:sz w:val="12"/>
                <w:szCs w:val="12"/>
                <w:color w:val="auto"/>
              </w:rPr>
            </w:pPr>
          </w:p>
        </w:tc>
        <w:tc>
          <w:tcPr>
            <w:tcW w:w="1880" w:type="dxa"/>
            <w:vAlign w:val="bottom"/>
          </w:tcPr>
          <w:p>
            <w:pPr>
              <w:spacing w:after="0"/>
              <w:rPr>
                <w:sz w:val="12"/>
                <w:szCs w:val="12"/>
                <w:color w:val="auto"/>
              </w:rPr>
            </w:pPr>
          </w:p>
        </w:tc>
        <w:tc>
          <w:tcPr>
            <w:tcW w:w="500" w:type="dxa"/>
            <w:vAlign w:val="bottom"/>
          </w:tcPr>
          <w:p>
            <w:pPr>
              <w:spacing w:after="0" w:line="149" w:lineRule="exact"/>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June 30,</w:t>
            </w: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238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2016</w:t>
            </w:r>
          </w:p>
        </w:tc>
        <w:tc>
          <w:tcPr>
            <w:tcW w:w="1160" w:type="dxa"/>
            <w:vAlign w:val="bottom"/>
            <w:gridSpan w:val="2"/>
          </w:tcPr>
          <w:p>
            <w:pPr>
              <w:jc w:val="right"/>
              <w:ind w:right="62"/>
              <w:spacing w:after="0" w:line="148"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1200" w:type="dxa"/>
            <w:vAlign w:val="bottom"/>
            <w:gridSpan w:val="3"/>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shd w:val="clear" w:color="auto" w:fill="CCEEFF"/>
          </w:tcPr>
          <w:p>
            <w:pPr>
              <w:spacing w:after="0"/>
              <w:rPr>
                <w:sz w:val="17"/>
                <w:szCs w:val="17"/>
                <w:color w:val="auto"/>
              </w:rPr>
            </w:pPr>
          </w:p>
        </w:tc>
        <w:tc>
          <w:tcPr>
            <w:tcW w:w="18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79.4</w:t>
            </w:r>
          </w:p>
        </w:tc>
        <w:tc>
          <w:tcPr>
            <w:tcW w:w="6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71.1</w:t>
            </w: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$8.3 million increase in selling, general and administrative (SG&amp;A) expenses was primarily attributable to higher support costs of $9.0 million spread across all three segments. This increase was partially offset by lower new business proposal costs mainly in our government systems segment. SG&amp;A expenses consisted primarily of personnel costs and expenses for business development, marketing and sales, bid and proposal, facilities, finance, contract administration and general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480" w:type="dxa"/>
            <w:vAlign w:val="bottom"/>
            <w:vMerge w:val="restart"/>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June 30,</w:t>
            </w:r>
          </w:p>
        </w:tc>
        <w:tc>
          <w:tcPr>
            <w:tcW w:w="6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1"/>
                <w:szCs w:val="11"/>
                <w:color w:val="auto"/>
              </w:rPr>
            </w:pPr>
          </w:p>
        </w:tc>
        <w:tc>
          <w:tcPr>
            <w:tcW w:w="120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222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2016</w:t>
            </w:r>
          </w:p>
        </w:tc>
        <w:tc>
          <w:tcPr>
            <w:tcW w:w="1160" w:type="dxa"/>
            <w:vAlign w:val="bottom"/>
            <w:gridSpan w:val="2"/>
          </w:tcPr>
          <w:p>
            <w:pPr>
              <w:jc w:val="right"/>
              <w:ind w:right="62"/>
              <w:spacing w:after="0" w:line="148"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1200" w:type="dxa"/>
            <w:vAlign w:val="bottom"/>
            <w:gridSpan w:val="3"/>
          </w:tcPr>
          <w:p>
            <w:pPr>
              <w:jc w:val="center"/>
              <w:ind w:right="58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7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25.2</w:t>
            </w:r>
          </w:p>
        </w:tc>
        <w:tc>
          <w:tcPr>
            <w:tcW w:w="60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15.6</w:t>
            </w: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$9.6 million increase in IR&amp;D expenses was primarily the result of increased IR&amp;D efforts in our commercial networks segment of $11.5 million (primarily related to research increases in next-generation satellite payload technologies for our ViaSat-3 class satellites, mobile broadband satellite communication systems and next-generation consumer broadband), partially offset by a decrease in our government systems segment of $2.0 million (primarily due to lower spending in IR&amp;D efforts relating to advancement of integrated government satellite communications platforms).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which range from two to ten years. The $2.3 million decrease in amortization of acquired intangible assets in the first quarter of fiscal year 2017 compared to the prior year period was primarily the result of certain acquired customer relationship intangibles in our satellite services segment becoming fully amortized over the preceding twelve months. Current and expected amortization expense for acquired intangible assets for each of the following periods is as follows: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June 30, 2016</w:t>
            </w:r>
          </w:p>
        </w:tc>
        <w:tc>
          <w:tcPr>
            <w:tcW w:w="35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tcPr>
          <w:p>
            <w:pPr>
              <w:spacing w:after="0"/>
              <w:rPr>
                <w:sz w:val="20"/>
                <w:szCs w:val="20"/>
                <w:color w:val="auto"/>
              </w:rPr>
            </w:pPr>
            <w:r>
              <w:rPr>
                <w:rFonts w:ascii="Arial" w:cs="Arial" w:eastAsia="Arial" w:hAnsi="Arial"/>
                <w:sz w:val="18"/>
                <w:szCs w:val="18"/>
                <w:color w:val="auto"/>
                <w:w w:val="95"/>
              </w:rPr>
              <w:t>Expected for the remainder of fiscal year 2017</w:t>
            </w:r>
          </w:p>
        </w:tc>
        <w:tc>
          <w:tcPr>
            <w:tcW w:w="35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2020</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20" w:type="dxa"/>
            <w:vAlign w:val="bottom"/>
          </w:tcPr>
          <w:p>
            <w:pPr>
              <w:spacing w:after="0"/>
              <w:rPr>
                <w:sz w:val="19"/>
                <w:szCs w:val="19"/>
                <w:color w:val="auto"/>
              </w:rPr>
            </w:pPr>
          </w:p>
        </w:tc>
        <w:tc>
          <w:tcPr>
            <w:tcW w:w="35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300" w:type="dxa"/>
            <w:vAlign w:val="bottom"/>
            <w:vMerge w:val="restart"/>
          </w:tcPr>
          <w:p>
            <w:pPr>
              <w:jc w:val="right"/>
              <w:ind w:right="2772"/>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$0.4 million decrease in interest income in the three months ended June 30, 2016 compared to the prior year period was primarily due to the decrease in the amount of payments under our settlement agreement with Space System Loral, Inc. and its former parent company Loral Space &amp; Communications, Inc., recognized as interest income in the current year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$1.5 million decrease in interest expense in the three months ended June 30, 2016 compared to the prior year period was primarily due to an increase of $4.1 million in the amount of interest capitalized during the first quarter of fiscal year 2017 compared to the same period last fiscal year. This decrease was partially offset by increased interest expense due to the overall higher amount of outstanding borrowings during the three months ended June 30, 2016 compared to the prior year period. Capitalized interest expense during the three months ended June 30, 2016 and 2015 related to the construction of ViaSat-2 and other assets and in the current year period also included interest expense related to the construction of our ViaSat-3 class satellites.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three months ended June 30, 2016 and 2015, we recorded an income tax provision of $0.8 million and $1.0 million, respectively. 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For the three months ended June 30, 2016, we used the actual effective year-to-date tax rate in calculating the income tax provision for that period as a reliable estimate of the annual effective tax rate could not be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June 30, 2016 vs. Three Months Ended June 30, 2015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97"/>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5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40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89"/>
              </w:rPr>
              <w:t>2015</w:t>
            </w:r>
          </w:p>
        </w:tc>
        <w:tc>
          <w:tcPr>
            <w:tcW w:w="54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5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4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w:t>
            </w:r>
          </w:p>
        </w:tc>
        <w:tc>
          <w:tcPr>
            <w:tcW w:w="2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w:t>
            </w: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5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50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132.4</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satellite services segment revenues grew by $20.0 million primarily as a result of a $19.6 million increase in service revenues. The increase in service revenues was primarily driven by an increase in the number of Exede broadband internet subscribers compared to the prior year period, as well as higher average revenue per subscriber. Total subscribers of our broadband internet services grew from approximately 685,000 at June 30, 2015 to approximately 696,000 at June 30, 2016. The service revenues increase also reflected the expansion of our in-flight broadband services compared to the prior year period, with 509 commercial aircraft in service as of June 30, 2016 compared to 380 commercial aircraft in service as of June 30, 2015.</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11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20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2"/>
              </w:rPr>
              <w:t>June 30,</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242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50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9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gridSpan w:val="2"/>
            <w:vMerge w:val="continue"/>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$ 30.9</w:t>
            </w:r>
          </w:p>
        </w:tc>
        <w:tc>
          <w:tcPr>
            <w:tcW w:w="6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$ 17.0</w:t>
            </w:r>
          </w:p>
        </w:tc>
        <w:tc>
          <w:tcPr>
            <w:tcW w:w="4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13.8</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080" w:type="dxa"/>
            <w:vAlign w:val="bottom"/>
            <w:gridSpan w:val="3"/>
          </w:tcPr>
          <w:p>
            <w:pPr>
              <w:jc w:val="right"/>
              <w:ind w:right="520"/>
              <w:spacing w:after="0"/>
              <w:rPr>
                <w:sz w:val="20"/>
                <w:szCs w:val="20"/>
                <w:color w:val="auto"/>
              </w:rPr>
            </w:pPr>
            <w:r>
              <w:rPr>
                <w:rFonts w:ascii="Arial" w:cs="Arial" w:eastAsia="Arial" w:hAnsi="Arial"/>
                <w:sz w:val="18"/>
                <w:szCs w:val="18"/>
                <w:color w:val="auto"/>
              </w:rPr>
              <w:t>20.3%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increase in our satellite services segment operating profit was driven primarily by higher earnings contributions of $15.9 million primarily due to the increase in service revenues. Continued growth in the size of the subscriber base for our Exede broadband internet services in the current year period compared to the prior year period resulted in increased service revenues and improved margins. We have also experienced positive contributions from our in-flight broadband services. This operating profit increase was partially offset by higher support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12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2"/>
                <w:szCs w:val="12"/>
                <w:color w:val="auto"/>
              </w:rPr>
            </w:pP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7"/>
              <w:spacing w:after="0" w:line="148" w:lineRule="exact"/>
              <w:rPr>
                <w:sz w:val="20"/>
                <w:szCs w:val="20"/>
                <w:color w:val="auto"/>
              </w:rPr>
            </w:pPr>
            <w:r>
              <w:rPr>
                <w:rFonts w:ascii="Arial" w:cs="Arial" w:eastAsia="Arial" w:hAnsi="Arial"/>
                <w:sz w:val="14"/>
                <w:szCs w:val="14"/>
                <w:b w:val="1"/>
                <w:bCs w:val="1"/>
                <w:color w:val="auto"/>
                <w:w w:val="89"/>
              </w:rPr>
              <w:t>2015</w:t>
            </w:r>
          </w:p>
        </w:tc>
        <w:tc>
          <w:tcPr>
            <w:tcW w:w="600" w:type="dxa"/>
            <w:vAlign w:val="bottom"/>
          </w:tcPr>
          <w:p>
            <w:pPr>
              <w:spacing w:after="0"/>
              <w:rPr>
                <w:sz w:val="12"/>
                <w:szCs w:val="12"/>
                <w:color w:val="auto"/>
              </w:rPr>
            </w:pP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58.6</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61.5</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w:t>
            </w:r>
          </w:p>
        </w:tc>
        <w:tc>
          <w:tcPr>
            <w:tcW w:w="6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commercial networks segment revenues decreased by $1.2 million, due to the $2.9 million decrease in product revenues, offset by a $1.7 million increase in service revenues. The product revenues decrease was mainly comprised of decreases of $5.8 million in mobile broadband satellite communication systems and $5.2 million in antenna systems products, offset partially by an increase of $6.8 million related to fixed satellite networks (reflecting broadband terminal orders under our large-scale Australian Ka-band infrastructure project, partially offset by decreased revenues reflecting the nearing of completion of the Australian Ka-band infrastructure project and a decrease from our next-generation Ka-band system contract in Canada).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240" w:type="dxa"/>
            <w:vAlign w:val="bottom"/>
            <w:vMerge w:val="restart"/>
          </w:tcPr>
          <w:p>
            <w:pPr>
              <w:spacing w:after="0"/>
              <w:rPr>
                <w:sz w:val="11"/>
                <w:szCs w:val="11"/>
                <w:color w:val="auto"/>
              </w:rPr>
            </w:pPr>
          </w:p>
        </w:tc>
        <w:tc>
          <w:tcPr>
            <w:tcW w:w="11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2"/>
              </w:rPr>
              <w:t>June 30,</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4240" w:type="dxa"/>
            <w:vAlign w:val="bottom"/>
            <w:vMerge w:val="continue"/>
          </w:tcPr>
          <w:p>
            <w:pPr>
              <w:spacing w:after="0"/>
              <w:rPr>
                <w:sz w:val="12"/>
                <w:szCs w:val="12"/>
                <w:color w:val="auto"/>
              </w:rPr>
            </w:pPr>
          </w:p>
        </w:tc>
        <w:tc>
          <w:tcPr>
            <w:tcW w:w="48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2"/>
                <w:szCs w:val="12"/>
                <w:color w:val="auto"/>
              </w:rPr>
            </w:pPr>
          </w:p>
        </w:tc>
        <w:tc>
          <w:tcPr>
            <w:tcW w:w="500" w:type="dxa"/>
            <w:vAlign w:val="bottom"/>
          </w:tcPr>
          <w:p>
            <w:pPr>
              <w:jc w:val="right"/>
              <w:ind w:right="42"/>
              <w:spacing w:after="0" w:line="148"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0"/>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6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 (38.5)</w:t>
            </w:r>
          </w:p>
        </w:tc>
        <w:tc>
          <w:tcPr>
            <w:tcW w:w="6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(18.7)</w:t>
            </w:r>
          </w:p>
        </w:tc>
        <w:tc>
          <w:tcPr>
            <w:tcW w:w="4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(19.8)</w:t>
            </w:r>
          </w:p>
        </w:tc>
        <w:tc>
          <w:tcPr>
            <w:tcW w:w="52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(58.8)%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$19.8 million increase in our commercial networks segment operating loss was driven primarily by a $11.5 million increase in IR&amp;D expenses (mainly due to an increase in IR&amp;D efforts relating to next-generation satellite payload technologies, mobile broadband satellite communication systems and next-generation consumer broadband) and lower earnings contributions of $4.6 million primarily due to lower revenues and lower margins in our mobile broadband satellite communication systems. Additionally, there was an increase of $3.7 million in support, new business proposal and selling costs.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436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40"/>
              <w:spacing w:after="0" w:line="148" w:lineRule="exact"/>
              <w:rPr>
                <w:sz w:val="20"/>
                <w:szCs w:val="20"/>
                <w:color w:val="auto"/>
              </w:rPr>
            </w:pPr>
            <w:r>
              <w:rPr>
                <w:rFonts w:ascii="Arial" w:cs="Arial" w:eastAsia="Arial" w:hAnsi="Arial"/>
                <w:sz w:val="14"/>
                <w:szCs w:val="14"/>
                <w:b w:val="1"/>
                <w:bCs w:val="1"/>
                <w:color w:val="auto"/>
                <w:w w:val="83"/>
              </w:rPr>
              <w:t>2016</w:t>
            </w:r>
          </w:p>
        </w:tc>
        <w:tc>
          <w:tcPr>
            <w:tcW w:w="520" w:type="dxa"/>
            <w:vAlign w:val="bottom"/>
          </w:tcPr>
          <w:p>
            <w:pPr>
              <w:spacing w:after="0"/>
              <w:rPr>
                <w:sz w:val="12"/>
                <w:szCs w:val="12"/>
                <w:color w:val="auto"/>
              </w:rPr>
            </w:pPr>
          </w:p>
        </w:tc>
        <w:tc>
          <w:tcPr>
            <w:tcW w:w="540" w:type="dxa"/>
            <w:vAlign w:val="bottom"/>
          </w:tcPr>
          <w:p>
            <w:pPr>
              <w:jc w:val="right"/>
              <w:ind w:right="60"/>
              <w:spacing w:after="0" w:line="148"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11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4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43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95.4</w:t>
            </w:r>
          </w:p>
        </w:tc>
        <w:tc>
          <w:tcPr>
            <w:tcW w:w="52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$ 100.6</w:t>
            </w: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w:t>
            </w:r>
          </w:p>
        </w:tc>
        <w:tc>
          <w:tcPr>
            <w:tcW w:w="54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49.8</w:t>
            </w:r>
          </w:p>
        </w:tc>
        <w:tc>
          <w:tcPr>
            <w:tcW w:w="540" w:type="dxa"/>
            <w:vAlign w:val="bottom"/>
          </w:tcPr>
          <w:p>
            <w:pPr>
              <w:jc w:val="right"/>
              <w:spacing w:after="0"/>
              <w:rPr>
                <w:sz w:val="20"/>
                <w:szCs w:val="20"/>
                <w:color w:val="auto"/>
              </w:rPr>
            </w:pPr>
            <w:r>
              <w:rPr>
                <w:rFonts w:ascii="Arial" w:cs="Arial" w:eastAsia="Arial" w:hAnsi="Arial"/>
                <w:sz w:val="18"/>
                <w:szCs w:val="18"/>
                <w:color w:val="auto"/>
              </w:rPr>
              <w:t>44.6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145.2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$ 145.2</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government systems segment revenues remained relatively flat, as the $5.2 million decrease in product revenues was offset by a $5.1 million increase in service revenues. The product revenues decrease was primarily due to a $6.0 million decrease in tactical data link products. Of the service revenues increase, $4.1 million related to our network management services for Wi-Fi and other internet access networks.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0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2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1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2"/>
              </w:rPr>
              <w:t>June 30,</w:t>
            </w:r>
          </w:p>
        </w:tc>
        <w:tc>
          <w:tcPr>
            <w:tcW w:w="11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2"/>
              </w:rPr>
              <w:t>June 30,</w:t>
            </w: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44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500" w:type="dxa"/>
            <w:vAlign w:val="bottom"/>
          </w:tcPr>
          <w:p>
            <w:pPr>
              <w:jc w:val="right"/>
              <w:ind w:right="42"/>
              <w:spacing w:after="0" w:line="148" w:lineRule="exact"/>
              <w:rPr>
                <w:sz w:val="20"/>
                <w:szCs w:val="20"/>
                <w:color w:val="auto"/>
              </w:rPr>
            </w:pPr>
            <w:r>
              <w:rPr>
                <w:rFonts w:ascii="Arial" w:cs="Arial" w:eastAsia="Arial" w:hAnsi="Arial"/>
                <w:sz w:val="14"/>
                <w:szCs w:val="14"/>
                <w:b w:val="1"/>
                <w:bCs w:val="1"/>
                <w:color w:val="auto"/>
              </w:rPr>
              <w:t>2015</w:t>
            </w:r>
          </w:p>
        </w:tc>
        <w:tc>
          <w:tcPr>
            <w:tcW w:w="660" w:type="dxa"/>
            <w:vAlign w:val="bottom"/>
          </w:tcPr>
          <w:p>
            <w:pPr>
              <w:spacing w:after="0"/>
              <w:rPr>
                <w:sz w:val="12"/>
                <w:szCs w:val="12"/>
                <w:color w:val="auto"/>
              </w:rPr>
            </w:pPr>
          </w:p>
        </w:tc>
        <w:tc>
          <w:tcPr>
            <w:tcW w:w="1160" w:type="dxa"/>
            <w:vAlign w:val="bottom"/>
            <w:gridSpan w:val="3"/>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4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9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gridSpan w:val="2"/>
            <w:vMerge w:val="continue"/>
            <w:shd w:val="clear" w:color="auto" w:fill="CCEEFF"/>
          </w:tcPr>
          <w:p>
            <w:pPr>
              <w:spacing w:after="0"/>
              <w:rPr>
                <w:sz w:val="17"/>
                <w:szCs w:val="17"/>
                <w:color w:val="auto"/>
              </w:rPr>
            </w:pPr>
          </w:p>
        </w:tc>
        <w:tc>
          <w:tcPr>
            <w:tcW w:w="194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$ 18.0</w:t>
            </w:r>
          </w:p>
        </w:tc>
        <w:tc>
          <w:tcPr>
            <w:tcW w:w="66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$ 15.9</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3100" w:type="dxa"/>
            <w:vAlign w:val="bottom"/>
            <w:gridSpan w:val="3"/>
          </w:tcPr>
          <w:p>
            <w:pPr>
              <w:jc w:val="right"/>
              <w:ind w:right="520"/>
              <w:spacing w:after="0"/>
              <w:rPr>
                <w:sz w:val="20"/>
                <w:szCs w:val="20"/>
                <w:color w:val="auto"/>
              </w:rPr>
            </w:pPr>
            <w:r>
              <w:rPr>
                <w:rFonts w:ascii="Arial" w:cs="Arial" w:eastAsia="Arial" w:hAnsi="Arial"/>
                <w:sz w:val="18"/>
                <w:szCs w:val="18"/>
                <w:color w:val="auto"/>
              </w:rPr>
              <w:t>12.4%</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$2.0 million increase in our government systems segment operating profit reflected higher earnings contributions of $2.7 million primarily due to higher revenues and improved margins in our government mobile broadband, tactical satcom radio, and cybersecurity and information assurance products, as well as our network management services for Wi-Fi, and a decrease of $2.0 million in IR&amp;D expenses (primarily due to lower spending in IR&amp;D efforts relating to advancement of integrated government satellite communications platforms). This operating profit increase was partially offset by higher support costs of $2.6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reflected in the table below, our overall firm and funded backlog decreased during the first three months of fiscal year 2017. The decrease in firm and funded backlog was attributable to decreases in both our satellite services and government systems segments.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w w:val="97"/>
              </w:rPr>
              <w:t>As of</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 2016</w:t>
            </w:r>
          </w:p>
        </w:tc>
        <w:tc>
          <w:tcPr>
            <w:tcW w:w="1780" w:type="dxa"/>
            <w:vAlign w:val="bottom"/>
            <w:gridSpan w:val="4"/>
          </w:tcPr>
          <w:p>
            <w:pPr>
              <w:ind w:left="780"/>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144.0</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r>
              <w:rPr>
                <w:rFonts w:ascii="Arial" w:cs="Arial" w:eastAsia="Arial" w:hAnsi="Arial"/>
                <w:sz w:val="18"/>
                <w:szCs w:val="18"/>
                <w:u w:val="single" w:color="auto"/>
                <w:color w:val="auto"/>
              </w:rPr>
              <w:t>9</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1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298.2</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864.</w:t>
            </w:r>
            <w:r>
              <w:rPr>
                <w:rFonts w:ascii="Arial" w:cs="Arial" w:eastAsia="Arial" w:hAnsi="Arial"/>
                <w:sz w:val="18"/>
                <w:szCs w:val="18"/>
                <w:u w:val="single" w:color="auto"/>
                <w:color w:val="auto"/>
              </w:rPr>
              <w:t>1</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firm backlog does not include contract options. Of the $912.9 million in firm backlog, $427.3 million is expected to be delivered during the remaining nine months of fiscal year 2017, and the balance is expected to be delivered in fiscal year 2018 and thereafter. We include in our backlog only those orders for which we have accepted purchase orders. Backlog does not include contracts with our Exede broadband internet subscribers in our satellite services segment.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total new awards were approximately $336.3 million and $305.5 million for the three months ended June 30, 2016 and 2015, respectively.</w:t>
      </w:r>
    </w:p>
    <w:p>
      <w:pPr>
        <w:spacing w:after="0" w:line="19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export credit agency financing and equity financing. At June 30, 2016, we had $47.3 million in cash and cash equivalents, $267.6 million in working capital, $200.0 million in principal amount of outstanding borrowings under our revolving credit facility (the Revolving Credit Facility) and $264.4 million in principal amount of outstanding borrowings under our direct loan facility with the Export-Import Bank of the United States for ViaSat-2 (the Ex-Im Credit Facility and, together with the Revolving Credit Facility, the Credit Facilities), and we had accrued a further $28.4 million in completion exposure fees expected to be financed under the Ex-Im Credit Facility. At March 31, 2016, we had $42.1 million in cash and cash equivalents, $241.6 million in working capital, $180.0 million in principal amount of outstanding borrowings under our Revolving Credit Facility and $197.2 million in principal amount of outstanding borrowings under our Ex-Im Credit Facility, and we had accrued a further $21.0 million in completion exposure fees expected to be financed under the Ex-Im Credit Facility. We invest our cash in excess of current operating requirements in short-term, interest-bearing, investment-grade securities.</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future capital requirements will depend upon many factors, including the timing and amount of cash required for our satellite projects and any future broadband satellite projects we may engage in, our proposed Eutelsat strategic partnering arrangements,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investments in joint ventures and strategic partnering arrangements (such as our Eutelsat strategic partnering arrangements) and network expansion activities, as well as the quality of customer, type of contract and payment terms. For example, at the closing of the transactions under the Framework Agreement (which is expected to occur in fiscal year 2017), we are required to purchase 49% of the issued shares of Eutelsat’s subsidiary for €132.5 million.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 further enhance our liquidity position or to finance the construction and launch of any future satellites, acquisitions, strategic partnering arrangements (such as the arrangements contemplated by the Framework Agreement with Eutelsat),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twelve months.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Cash provided by operating activities for the first three months of fiscal year 2017 was $62.1 million compared to $18.0 million in the prior year period. This $44.1 million increase was primarily driven by a $42.2 million year-over-year decrease in cash used to fund net operating assets needs, coupled with our operating results (net income adjusted for depreciation, amortization and other non-cash charges) which generated $1.9 million of higher cash inflows year-over-year. The decrease in cash used to fund net operating assets during the first three months of fiscal year 2017 when compared to the same period last fiscal year was primarily due to lower combined billed and unbilled accounts receivable, net, attributable to the timing of contractual milestones for certain larger development programs in our commercial networks segment.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used in investing activities for the first three months of fiscal year 2017 was $142.1 million compared to $86.7 million in the prior year period. The increase in cash used in investing activities reflects an increase of $33.8 million in cash used for satellite construction due to the timing of milestone payments, an increase of $17.4 million in capital expenditures used for property and other general purpose equipment, an increase of $3.9 million in cash used for capital software development and an increase of $3.4 million for the construction of earth stations and network operation systems related to ViaSat-2, offset by a decrease of $3.6 million in cash used for acquisitions.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provided by financing activities for the first three months of fiscal year 2017 was $85.3 million compared to $58.8 million for the prior year period. This $26.6 million increase in cash provided by financing activities was primarily related to a $26.9 million increase in net proceeds from borrowings under our Ex-Im Credit Facility during the first three months of fiscal year 2017 compared to the prior year period.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earth station infrastructure, through satellite launch is estimated to be between $600.0 million and $650.0 million, and will depend on the timing of the earth station infrastructure roll-out. Our total required cash funding may be reduced through various third-party agreements, including potential joint service offerings and other strategic partnering arrangements. We believe we have adequate sources of funding for the ViaSat-2 project, which include our cash on hand, available borrowing capacity under our Credit Facilities and the cash we expect to generate from operations over the next few years. At the end of the first quarter of fiscal year 2017, we had approximately 696,000 broadband internet subscribers, however there can be no assurance that the number of subscribers of our Exede broadband internet services and service revenues in our satellite services segment will increase in any future period.</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July 2016, we entered into two separate agreements with Boeing for the construction and purchase of two ViaSat-3 class satellites (our third-generation high-capacity Ka-band satellite design)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we have the option to order up to two additional ViaSat-3 class satellites. These agreements supersede the prior limited authorization to proceed, under which our payment obligations were limited to $89.0 million in the aggregate. The first ViaSat-3 class satellite is expected to provide broadband services over the Americas, and the second is expected to provide broadband services over Europe, Middle East and Africa. The projected total cost of the ViaSat-3 project, including the two third-generation satellites, launches, insurance and related earth station infrastructure, through satellite launch is estimated to be similar to ViaSat-2 costs per satellite for a total of approximately $1.3 billion, and will depend on the timing of the earth station infrastructure roll-out of each satellite. Our total cash funding may be reduced through various third-party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the launch and roll-out of our ViaSat-2 and ViaSat-3 class satellites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 During the period from late fiscal year 2012 until early fiscal year 2015, we incurred higher operating costs in connection with the launch and roll-out of our ViaSat-1 satellite, related ground infrastructure and Exede broadband services, as well as higher interest expense as we capitalized a lower amount of the interest expense on our outstanding debt. These higher operating costs included costs associated with depreciation, earth station connectivity, subscriber acquisition costs, logistics, customer care and various support systems. These operating costs negatively impacted income from operations during that period.</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our IR&amp;D investments in our ViaSat-3 class satellites and related ground infrastructure are expected to continue to negatively impact our financial results in our commercial networks segment. We also expect to continue to invest in subscriber acquisition costs during the remainder of fiscal year 2017 as we further expand our subscriber base for our Exede broadband internet services as well as make additional investments relating to our ViaSat-2 and ViaSat-3 class satellites.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June 30, 2016, the Revolving Credit Facility provided an $800.0 million revolving line of credit (including up to $150.0 million of letters of credit) with a maturity date of May 24, 2021 (or March 16, 2020, if more than $200.0 million of our 2020 Notes are then outstanding and certain conditions are met).</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June 30, 2016, the weighted average effective interest rate on our outstanding borrowings under the Revolving Credit Facility was 2.47%. The Revolving Credit Facility is required to be guaranteed by certain significant domestic subsidiaries of ViaSat (as defined in the Revolving Credit Facility) and secured by substantially all of our assets. As of June 30, 2016, none of our subsidiaries guaranteed the Revolving Credit Facility.</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At June 30, 2016, we had $200.0 million in principal amount of outstanding borrowings under the Revolving Credit Facility and $43.0 million outstanding under standby letters of credit, leaving borrowing availability under the Revolving Credit Facility as of June 30, 2016 of $557.0 million.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June 30, 2016,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w:t>
      </w:r>
    </w:p>
    <w:p>
      <w:pPr>
        <w:spacing w:after="0" w:line="143"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 account estimated timing and amount of borrowings, exposure fees, debt issuance costs and other fees, was estimated to be between 4.5% and 4.6% as of June 30, 2016. The Ex-Im Credit Facility is guaranteed by ViaSat and is secured by first-priority liens on the ViaSat-2 satellite and related assets as well as a pledge of the capital stock of the borrower under the facility.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June 30, 2016, we had $264.4 million in principal amount of outstanding borrowings under the Ex-Im Credit Facility and had accrued $28.4 million in completion exposure fees expected to be financed under the Ex-Im Credit Facility. As of June 30, 2016, the undrawn commitment under the Ex-Im Credit Facility was $93.9 million (excluding $28.4 million of accrued completion exposure fees), of which $84.6 million was available to finance ViaSat-2 related costs once incurred. Borrowings under the Ex-Im Credit Facility were issued with a discount of $35.5 million (comprising the initial $6.0 million exposure fee, the completion exposure fees accrued as of June 30, 2016 and other customary fees). The borrowings under the Ex-Im Credit Facility are recorded as long-term debt, net of unamortized discount and debt issuance costs, in our condensed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In October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2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2020 Notes are required to be guaranteed on an unsecured senior basis by each of our existing and future subsidiaries that guarantees the Revolving Credit Facility. As of June 30, 2016,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2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2020 Notes may be redeemed, in whole or in part, at any time during the twelve months beginning on June 15, 2016 at a redemption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103.438%, during the twelve months beginning on June 15, 2017 at a redemption price of 101.719%, and at any time on or after June 15, 2018 at a redemption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100%, in each case plus accrued and unpaid interest, if any, thereon to the redemption date.</w:t>
      </w:r>
    </w:p>
    <w:p>
      <w:pPr>
        <w:spacing w:after="0" w:line="16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June 30,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For the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Fiscal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9"/>
          </w:tcPr>
          <w:p>
            <w:pPr>
              <w:ind w:left="48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29"/>
        </w:trPr>
        <w:tc>
          <w:tcPr>
            <w:tcW w:w="5460" w:type="dxa"/>
            <w:vAlign w:val="bottom"/>
            <w:gridSpan w:val="4"/>
            <w:vMerge w:val="continue"/>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2018-2019</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6"/>
              </w:rPr>
              <w:t>2020-2021</w:t>
            </w: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281,284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54,063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83,286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54,516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89,419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733,125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79,063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634,296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204,803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Ex-Im Credit Facility(2)</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331,827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49,753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84,095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Purchase commitments including satellite-related agreements(3)</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681,764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400,419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162,202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80,795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2,278,416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482,983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389,017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1,063,889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June 30, 2016 until the maturity date in May 2021 (or March 2020, if more than $200.0 million of our 2020 Notes are then outstanding and certain conditions are met), which for the purpose of the contractual obligation table is assumed to be the earlier date, March 2020.</w:t>
      </w:r>
    </w:p>
    <w:p>
      <w:pPr>
        <w:spacing w:after="0" w:line="2"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 As of June 30, 2016, we had accrued $28.4 million in completion exposure fees expected to be financed under the Ex-Im Credit Facility.</w:t>
      </w:r>
    </w:p>
    <w:p>
      <w:pPr>
        <w:spacing w:after="0" w:line="3" w:lineRule="exact"/>
        <w:rPr>
          <w:rFonts w:ascii="Arial" w:cs="Arial" w:eastAsia="Arial" w:hAnsi="Arial"/>
          <w:sz w:val="16"/>
          <w:szCs w:val="16"/>
          <w:color w:val="auto"/>
        </w:rPr>
      </w:pPr>
    </w:p>
    <w:p>
      <w:pPr>
        <w:ind w:left="460" w:right="120" w:hanging="452"/>
        <w:spacing w:after="0" w:line="290"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our ViaSat-3 class satellites, the amounts listed reflect the limited authorization to proceed with Boeing, under which our payment obligations were limited to $89.0 million in the aggregate. Subsequent to the first quarter of fiscal year 2017, in July 2016 we entered into two separate agreements with Boeing for the construction and purchase of the two ViaSat-3 class satellites and the integration of our payload technologies into the ViaSat-3 satellites at a price of approximately $368.3 million in the aggregate (subject to purchase price adjustments based on factors such as launch delay and early delivery), plus an additional amount for launch support services to be performed by Boeing, which agreements replaced and superseded this limited authorization to proceed. See “Liquidity and Capital Resources – Satellite-related activities.”</w:t>
      </w:r>
    </w:p>
    <w:p>
      <w:pPr>
        <w:spacing w:after="0" w:line="11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condensed consolidated balance sheets included $37.9 million and $37.4 million of “other liabilities” as of June 30, 2016 and March 31, 2016, respectively, which primarily consisted of the long-term portion of our satellite performance incentives obligation, our long-term warranty obligations, the long-term portion of deferred rent and long-term portion of deferred revenue.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had no material off-balance sheet arrangements at June 30, 2016 as defined in Regulation S-K Item 303(a)(4) other than as discussed under Contractual Obligations above or disclosed in the notes to our consolidated financial statements included in this report or in our Annual Report on Form 10-K for the year ended March 31,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June 30, 2016, we had $200.0 million in principal amount of outstanding borrowings under our Revolving Credit Facility, $264.4 million in principal amount of outstanding borrowings under our Ex-Im Credit Facility, as well as $28.4 million in accrued completion exposure fees expected to be financed under the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for the three months ended June 30, 2016 and 2015.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of June 30, 2016, we had $200.0 million in principal amount of outstanding borrowings under our Revolving Credit Facility. Our primary interest rate under the Revolving Credit Facility is the Eurodollar rate plus an applicable margin that is based on our total leverage ratio. At June 30, 2016, the weighted average effective interest rate on our outstanding borrowings under the Revolving Credit Facility was 2.47%. Assuming the outstanding balance remained constant over a year, a 50 basis point increase in the interest rate would increase interest incurred, prior to effects of capitalized interest, by $1.0 million over a twelve-month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June 30, 2016, we had a number of foreign currency forward contracts outstanding which are intended to reduce the foreign currency risk for amounts payable to vendors in Euros. The foreign currency forward contracts with a notional amount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$4.4 million had an insignificant amount of fair value recorded in other current assets as of June 30, 2016. If the foreign currency forward rate for the Euro to the U.S. dollar on these foreign currency forward contracts had changed by 10%, the fair value of these foreign currency forward contracts as of June 30, 2016 would have changed by approximately $0.4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June 30, 2016, the end of the period covered by this report. Based upon the foregoing, our Chief Executive Officer and Chief Financial Officer concluded that our disclosure controls and procedures were effective at a reasonable assurance level as of June 30, 2016.</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March 31, 2016,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44 is incorporated herein by reference as the list of exhibits required as part of this report.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August 9, 2016</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Shawn Duffy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00"/>
          </w:cols>
          <w:pgMar w:left="240" w:top="459" w:right="11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505"/>
              <w:spacing w:after="0"/>
              <w:rPr>
                <w:sz w:val="20"/>
                <w:szCs w:val="20"/>
                <w:color w:val="auto"/>
              </w:rPr>
            </w:pPr>
            <w:r>
              <w:rPr>
                <w:rFonts w:ascii="Arial" w:cs="Arial" w:eastAsia="Arial" w:hAnsi="Arial"/>
                <w:sz w:val="14"/>
                <w:szCs w:val="14"/>
                <w:b w:val="1"/>
                <w:bCs w:val="1"/>
                <w:color w:val="auto"/>
              </w:rPr>
              <w:t>Incorporated by Reference</w:t>
            </w:r>
          </w:p>
        </w:tc>
      </w:tr>
      <w:tr>
        <w:trPr>
          <w:trHeight w:val="129"/>
        </w:trPr>
        <w:tc>
          <w:tcPr>
            <w:tcW w:w="96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Number</w:t>
            </w:r>
          </w:p>
        </w:tc>
        <w:tc>
          <w:tcPr>
            <w:tcW w:w="6180" w:type="dxa"/>
            <w:vAlign w:val="bottom"/>
            <w:gridSpan w:val="2"/>
          </w:tcPr>
          <w:p>
            <w:pPr>
              <w:ind w:left="2420"/>
              <w:spacing w:after="0" w:line="109" w:lineRule="exact"/>
              <w:rPr>
                <w:sz w:val="20"/>
                <w:szCs w:val="20"/>
                <w:color w:val="auto"/>
              </w:rPr>
            </w:pPr>
            <w:r>
              <w:rPr>
                <w:rFonts w:ascii="Arial" w:cs="Arial" w:eastAsia="Arial" w:hAnsi="Arial"/>
                <w:sz w:val="12"/>
                <w:szCs w:val="12"/>
                <w:b w:val="1"/>
                <w:bCs w:val="1"/>
                <w:color w:val="auto"/>
              </w:rPr>
              <w:t>Exhibit Description</w:t>
            </w:r>
          </w:p>
        </w:tc>
        <w:tc>
          <w:tcPr>
            <w:tcW w:w="64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Form</w:t>
            </w:r>
          </w:p>
        </w:tc>
        <w:tc>
          <w:tcPr>
            <w:tcW w:w="1120" w:type="dxa"/>
            <w:vAlign w:val="bottom"/>
            <w:gridSpan w:val="2"/>
          </w:tcPr>
          <w:p>
            <w:pPr>
              <w:ind w:left="180"/>
              <w:spacing w:after="0" w:line="115" w:lineRule="exact"/>
              <w:rPr>
                <w:sz w:val="20"/>
                <w:szCs w:val="20"/>
                <w:color w:val="auto"/>
              </w:rPr>
            </w:pPr>
            <w:r>
              <w:rPr>
                <w:rFonts w:ascii="Arial" w:cs="Arial" w:eastAsia="Arial" w:hAnsi="Arial"/>
                <w:sz w:val="12"/>
                <w:szCs w:val="12"/>
                <w:b w:val="1"/>
                <w:bCs w:val="1"/>
                <w:color w:val="auto"/>
              </w:rPr>
              <w:t>File No.</w:t>
            </w:r>
          </w:p>
        </w:tc>
        <w:tc>
          <w:tcPr>
            <w:tcW w:w="720" w:type="dxa"/>
            <w:vAlign w:val="bottom"/>
            <w:gridSpan w:val="2"/>
          </w:tcPr>
          <w:p>
            <w:pPr>
              <w:jc w:val="right"/>
              <w:ind w:right="300"/>
              <w:spacing w:after="0" w:line="115" w:lineRule="exact"/>
              <w:rPr>
                <w:sz w:val="20"/>
                <w:szCs w:val="20"/>
                <w:color w:val="auto"/>
              </w:rPr>
            </w:pPr>
            <w:r>
              <w:rPr>
                <w:rFonts w:ascii="Arial" w:cs="Arial" w:eastAsia="Arial" w:hAnsi="Arial"/>
                <w:sz w:val="12"/>
                <w:szCs w:val="12"/>
                <w:b w:val="1"/>
                <w:bCs w:val="1"/>
                <w:color w:val="auto"/>
                <w:w w:val="99"/>
              </w:rPr>
              <w:t>Exhibit</w:t>
            </w:r>
          </w:p>
        </w:tc>
        <w:tc>
          <w:tcPr>
            <w:tcW w:w="860" w:type="dxa"/>
            <w:vAlign w:val="bottom"/>
          </w:tcPr>
          <w:p>
            <w:pPr>
              <w:jc w:val="right"/>
              <w:ind w:right="25"/>
              <w:spacing w:after="0" w:line="115" w:lineRule="exact"/>
              <w:rPr>
                <w:sz w:val="20"/>
                <w:szCs w:val="20"/>
                <w:color w:val="auto"/>
              </w:rPr>
            </w:pPr>
            <w:r>
              <w:rPr>
                <w:rFonts w:ascii="Arial" w:cs="Arial" w:eastAsia="Arial" w:hAnsi="Arial"/>
                <w:sz w:val="12"/>
                <w:szCs w:val="12"/>
                <w:b w:val="1"/>
                <w:bCs w:val="1"/>
                <w:color w:val="auto"/>
              </w:rPr>
              <w:t>Filing Date</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4"/>
              </w:rPr>
              <w:t>Second Amendment to Credit Agreement and Other Loan Documents dated as of</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000-21767</w:t>
            </w: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05/24/2016</w:t>
            </w:r>
          </w:p>
        </w:tc>
      </w:tr>
      <w:tr>
        <w:trPr>
          <w:trHeight w:val="216"/>
        </w:trPr>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3"/>
              </w:rPr>
              <w:t>May 24, 2016, by and among ViaSat, Inc., MUFG Union Bank, N.A. (as agent) and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the other lenders party thereto</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6"/>
              </w:rPr>
              <w:t>Certification of Chief Executive Officer Pursuant to Section 302 of the Sarbanes-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7"/>
              </w:rPr>
              <w:t>Certification of Chief Financial Officer Pursuant to Section 302 of the Sarbanes-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3"/>
              </w:rPr>
              <w:t>Certifications Pursuant to 18 U.S.C. Section 1350, as Adopted Pursuant to Section</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906 of the Sarbanes-Oxley Act of 2002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1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18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1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1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18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1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80" w:type="dxa"/>
            <w:vAlign w:val="bottom"/>
          </w:tcPr>
          <w:p>
            <w:pPr>
              <w:ind w:left="46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480" w:space="300"/>
            <w:col w:w="540"/>
          </w:cols>
          <w:pgMar w:left="240" w:top="45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80" w:firstLine="464"/>
        <w:spacing w:after="0" w:line="277"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2016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80" w:firstLine="464"/>
        <w:spacing w:after="0" w:line="277"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2016 (the “Report”) fully complies with the requirements of Section 13(a) or Section 15(d), as applicable, of the Securities Exchange Act of 1934, as amended;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2019-12-29T11:39:15Z</dcterms:created>
  <dcterms:modified xsi:type="dcterms:W3CDTF">2019-12-29T11:39:15Z</dcterms:modified>
</cp:coreProperties>
</file>