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1" w:lineRule="exact"/>
        <w:rPr>
          <w:sz w:val="24"/>
          <w:szCs w:val="24"/>
          <w:color w:val="auto"/>
        </w:rPr>
      </w:pPr>
    </w:p>
    <w:p>
      <w:pPr>
        <w:ind w:left="460" w:right="460" w:hanging="452"/>
        <w:spacing w:after="0" w:line="25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180" w:space="620"/>
            <w:col w:w="160" w:space="580"/>
            <w:col w:w="3880"/>
          </w:cols>
          <w:pgMar w:left="240" w:top="230" w:right="23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177800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(760) 476-2200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540" w:space="380"/>
            <w:col w:w="622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60"/>
            <w:col w:w="260" w:space="10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outstanding of the registrant’s common stock, $0.0001 par value, as of January 29, 2016 was 48,871,215.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1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7940" w:type="dxa"/>
            <w:vAlign w:val="bottom"/>
            <w:gridSpan w:val="8"/>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0000EE"/>
            </w:tcBorders>
            <w:gridSpan w:val="10"/>
            <w:vMerge w:val="continue"/>
          </w:tcPr>
          <w:p>
            <w:pPr>
              <w:spacing w:after="0"/>
              <w:rPr>
                <w:sz w:val="13"/>
                <w:szCs w:val="13"/>
                <w:color w:val="auto"/>
              </w:rPr>
            </w:pPr>
          </w:p>
        </w:tc>
        <w:tc>
          <w:tcPr>
            <w:tcW w:w="7940" w:type="dxa"/>
            <w:vAlign w:val="bottom"/>
            <w:gridSpan w:val="8"/>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57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Income</w:t>
              </w:r>
            </w:hyperlink>
          </w:p>
        </w:tc>
        <w:tc>
          <w:tcPr>
            <w:tcW w:w="492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37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Equity</w:t>
              </w:r>
            </w:hyperlink>
          </w:p>
        </w:tc>
        <w:tc>
          <w:tcPr>
            <w:tcW w:w="69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64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tcBorders>
            <w:gridSpan w:val="2"/>
          </w:tcPr>
          <w:p>
            <w:pPr>
              <w:spacing w:after="0" w:line="196" w:lineRule="exact"/>
              <w:rPr>
                <w:rFonts w:ascii="Arial" w:cs="Arial" w:eastAsia="Arial" w:hAnsi="Arial"/>
                <w:sz w:val="18"/>
                <w:szCs w:val="18"/>
                <w:color w:val="0000EE"/>
                <w:w w:val="94"/>
              </w:rPr>
            </w:pPr>
            <w:hyperlink w:anchor="page48">
              <w:r>
                <w:rPr>
                  <w:rFonts w:ascii="Arial" w:cs="Arial" w:eastAsia="Arial" w:hAnsi="Arial"/>
                  <w:sz w:val="18"/>
                  <w:szCs w:val="18"/>
                  <w:color w:val="0000EE"/>
                  <w:w w:val="94"/>
                </w:rPr>
                <w:t>Item 3.</w:t>
              </w:r>
            </w:hyperlink>
          </w:p>
        </w:tc>
        <w:tc>
          <w:tcPr>
            <w:tcW w:w="648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40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8"/>
          </w:tcPr>
          <w:p>
            <w:pPr>
              <w:spacing w:after="0"/>
              <w:rPr>
                <w:sz w:val="17"/>
                <w:szCs w:val="17"/>
                <w:color w:val="auto"/>
              </w:rPr>
            </w:pPr>
          </w:p>
        </w:tc>
        <w:tc>
          <w:tcPr>
            <w:tcW w:w="6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8240" w:type="dxa"/>
            <w:vAlign w:val="bottom"/>
            <w:gridSpan w:val="10"/>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Item 1.</w:t>
              </w:r>
            </w:hyperlink>
          </w:p>
        </w:tc>
        <w:tc>
          <w:tcPr>
            <w:tcW w:w="1360" w:type="dxa"/>
            <w:vAlign w:val="bottom"/>
            <w:tcBorders>
              <w:bottom w:val="single" w:sz="8" w:color="0000EE"/>
            </w:tcBorders>
            <w:gridSpan w:val="4"/>
          </w:tcPr>
          <w:p>
            <w:pPr>
              <w:ind w:left="20"/>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Legal Proceedings</w:t>
              </w:r>
            </w:hyperlink>
          </w:p>
        </w:tc>
        <w:tc>
          <w:tcPr>
            <w:tcW w:w="912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1A. Risk Factors</w:t>
              </w:r>
            </w:hyperlink>
          </w:p>
        </w:tc>
        <w:tc>
          <w:tcPr>
            <w:tcW w:w="942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Item 6.</w:t>
              </w:r>
            </w:hyperlink>
          </w:p>
        </w:tc>
        <w:tc>
          <w:tcPr>
            <w:tcW w:w="10480" w:type="dxa"/>
            <w:vAlign w:val="bottom"/>
            <w:gridSpan w:val="16"/>
          </w:tcPr>
          <w:p>
            <w:pPr>
              <w:ind w:lef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Signatures</w:t>
              </w:r>
            </w:hyperlink>
          </w:p>
        </w:tc>
        <w:tc>
          <w:tcPr>
            <w:tcW w:w="986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2015</w:t>
            </w:r>
          </w:p>
        </w:tc>
        <w:tc>
          <w:tcPr>
            <w:tcW w:w="50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ind w:left="5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63,864</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259,754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266,339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67,473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44,702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580,708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864,999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472,488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418,022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36,410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117,186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264,267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2,336,058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2,158,378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82,113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166,831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248,944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820" w:type="dxa"/>
            <w:vAlign w:val="bottom"/>
            <w:gridSpan w:val="2"/>
          </w:tcPr>
          <w:p>
            <w:pPr>
              <w:spacing w:after="0"/>
              <w:rPr>
                <w:sz w:val="20"/>
                <w:szCs w:val="20"/>
                <w:color w:val="auto"/>
              </w:rPr>
            </w:pPr>
            <w:r>
              <w:rPr>
                <w:rFonts w:ascii="Arial" w:cs="Arial" w:eastAsia="Arial" w:hAnsi="Arial"/>
                <w:sz w:val="18"/>
                <w:szCs w:val="18"/>
                <w:color w:val="auto"/>
              </w:rPr>
              <w:t>Senior notes,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581,702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582,657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36,008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1,221,911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1,114,645</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839,541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786,467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269,254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ViaSat, Inc. stockholders’ equity</w:t>
            </w:r>
          </w:p>
        </w:tc>
        <w:tc>
          <w:tcPr>
            <w:tcW w:w="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1,108,904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1,038,582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1,114,147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1,043,733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2,336,058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2,158,378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w w:val="94"/>
              </w:rPr>
              <w:t>Nine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auto"/>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January 2,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Product revenues</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156,290</w:t>
            </w:r>
          </w:p>
        </w:tc>
        <w:tc>
          <w:tcPr>
            <w:tcW w:w="30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174,299</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488,298</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 revenues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191,469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165,254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557,169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481,430</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347,759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339,553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1,045,467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1,017,782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Cost of product revenues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113,823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123,675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355,832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382,757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service revenues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123,770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110,237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365,974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76,351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70,962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220,809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194,462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Independent research and development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19,169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11,850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55,569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4,651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13,658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33,625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(6,063)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(7,640)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(19,343)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11,395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16,093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(5,105)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(3,389)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(1,290)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14,784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17,383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Less: Net income (loss) attributable to the noncontrolling</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interest, net of tax</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9,747</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14,811</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17,291</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ViaSat, Inc. common</w:t>
            </w: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300" w:type="dxa"/>
            <w:vAlign w:val="bottom"/>
          </w:tcPr>
          <w:p>
            <w:pPr>
              <w:spacing w:after="0"/>
              <w:rPr>
                <w:sz w:val="20"/>
                <w:szCs w:val="20"/>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0.31</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0.36</w:t>
            </w: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 share attributable to ViaSat, Inc.</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stockholders</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0.20</w:t>
            </w:r>
          </w:p>
        </w:tc>
        <w:tc>
          <w:tcPr>
            <w:tcW w:w="3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0.31</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48,712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47,375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48,275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49,630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48,439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49,230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w:t>
            </w:r>
          </w:p>
        </w:tc>
        <w:tc>
          <w:tcPr>
            <w:tcW w:w="0" w:type="dxa"/>
            <w:vAlign w:val="bottom"/>
          </w:tcPr>
          <w:p>
            <w:pPr>
              <w:spacing w:after="0"/>
              <w:rPr>
                <w:sz w:val="1"/>
                <w:szCs w:val="1"/>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14,784</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17,383</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gain on hedging, net of tax</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 net of tax</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9,621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14,051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17,340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31,062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 the</w:t>
            </w:r>
          </w:p>
        </w:tc>
        <w:tc>
          <w:tcPr>
            <w:tcW w:w="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 net of tax</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52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ViaSat, Inc.</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Nine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9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3"/>
              </w:rPr>
              <w:t>January 2,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17,383</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144,441</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37,721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(1,263)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34,316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Loss on disposition of fixed assets</w:t>
            </w:r>
          </w:p>
        </w:tc>
        <w:tc>
          <w:tcPr>
            <w:tcW w:w="32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25,980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non-cash adjustments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tcPr>
          <w:p>
            <w:pPr>
              <w:ind w:left="340"/>
              <w:spacing w:after="0" w:line="201" w:lineRule="exact"/>
              <w:rPr>
                <w:sz w:val="20"/>
                <w:szCs w:val="20"/>
                <w:color w:val="auto"/>
              </w:rPr>
            </w:pPr>
            <w:r>
              <w:rPr>
                <w:rFonts w:ascii="Arial" w:cs="Arial" w:eastAsia="Arial" w:hAnsi="Arial"/>
                <w:sz w:val="18"/>
                <w:szCs w:val="18"/>
                <w:color w:val="auto"/>
                <w:w w:val="98"/>
              </w:rPr>
              <w:t>Increase (decrease) in cash resulting from changes in operating assets and liabilities, net of effects of</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tcPr>
          <w:p>
            <w:pPr>
              <w:ind w:left="520"/>
              <w:spacing w:after="0"/>
              <w:rPr>
                <w:sz w:val="20"/>
                <w:szCs w:val="20"/>
                <w:color w:val="auto"/>
              </w:rPr>
            </w:pPr>
            <w:r>
              <w:rPr>
                <w:rFonts w:ascii="Arial" w:cs="Arial" w:eastAsia="Arial" w:hAnsi="Arial"/>
                <w:sz w:val="18"/>
                <w:szCs w:val="18"/>
                <w:color w:val="auto"/>
              </w:rPr>
              <w:t>acquisitions:</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(20,149)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(8,659)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(10,994)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(2,429)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219,490</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equipment and satellites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(283,202)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Cash paid for patents, licenses and other assets</w:t>
            </w:r>
          </w:p>
        </w:tc>
        <w:tc>
          <w:tcPr>
            <w:tcW w:w="32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(52,495)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acquisition of businesses, net of cash acquired</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(3,908)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(339,605)</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(366,555)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Proceeds from revolving credit facility borrowings</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175,000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revolving credit facility borrowings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(185,000)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Proceeds from Ex-Im credit facility borrowings, net of discount</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139,396</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debt issuance costs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Proceeds from issuance of common stock under equity plans</w:t>
            </w:r>
          </w:p>
        </w:tc>
        <w:tc>
          <w:tcPr>
            <w:tcW w:w="32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20,318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related to tax withholdings on restricted stock unit releases</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(16,056)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131,713</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19"/>
                <w:szCs w:val="19"/>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52,263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58,347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63,864</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97,644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11,609</w:t>
            </w: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340"/>
              <w:spacing w:after="0"/>
              <w:rPr>
                <w:sz w:val="20"/>
                <w:szCs w:val="20"/>
                <w:color w:val="auto"/>
              </w:rPr>
            </w:pPr>
            <w:r>
              <w:rPr>
                <w:rFonts w:ascii="Arial" w:cs="Arial" w:eastAsia="Arial" w:hAnsi="Arial"/>
                <w:sz w:val="18"/>
                <w:szCs w:val="18"/>
                <w:color w:val="auto"/>
              </w:rPr>
              <w:t>Capital expenditures not paid for</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51,093</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Exposure fees on Ex-Im credit facility expected to be financed through Ex-Im credit facility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13,658</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ViaSat, Inc. Stockholders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40" w:type="dxa"/>
            <w:vAlign w:val="bottom"/>
            <w:tcBorders>
              <w:bottom w:val="single" w:sz="8" w:color="auto"/>
            </w:tcBorders>
            <w:gridSpan w:val="3"/>
          </w:tcPr>
          <w:p>
            <w:pPr>
              <w:ind w:left="360"/>
              <w:spacing w:after="0" w:line="142" w:lineRule="exact"/>
              <w:rPr>
                <w:sz w:val="20"/>
                <w:szCs w:val="20"/>
                <w:color w:val="auto"/>
              </w:rPr>
            </w:pPr>
            <w:r>
              <w:rPr>
                <w:rFonts w:ascii="Arial" w:cs="Arial" w:eastAsia="Arial" w:hAnsi="Arial"/>
                <w:sz w:val="14"/>
                <w:szCs w:val="14"/>
                <w:b w:val="1"/>
                <w:bCs w:val="1"/>
                <w:color w:val="auto"/>
                <w:w w:val="93"/>
              </w:rPr>
              <w:t>Common Stock</w:t>
            </w:r>
          </w:p>
        </w:tc>
        <w:tc>
          <w:tcPr>
            <w:tcW w:w="3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1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0"/>
                <w:szCs w:val="10"/>
                <w:color w:val="auto"/>
              </w:rPr>
            </w:pPr>
          </w:p>
        </w:tc>
        <w:tc>
          <w:tcPr>
            <w:tcW w:w="9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Noncontrolling</w:t>
            </w: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Interest in</w:t>
            </w:r>
          </w:p>
        </w:tc>
        <w:tc>
          <w:tcPr>
            <w:tcW w:w="14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Issued</w:t>
            </w:r>
          </w:p>
        </w:tc>
        <w:tc>
          <w:tcPr>
            <w:tcW w:w="800" w:type="dxa"/>
            <w:vAlign w:val="bottom"/>
            <w:gridSpan w:val="3"/>
            <w:vMerge w:val="continue"/>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7"/>
          </w:tcPr>
          <w:p>
            <w:pPr>
              <w:ind w:left="64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 2015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47,697,413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$786,467</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$251,963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147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5,151</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385,506</w:t>
            </w:r>
          </w:p>
        </w:tc>
        <w:tc>
          <w:tcPr>
            <w:tcW w:w="20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11,529</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stock under Employee Stock Purchase</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170,968</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37,203</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37,203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in settlement of certain accrued</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compensation liabilities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185,424</w:t>
            </w:r>
          </w:p>
        </w:tc>
        <w:tc>
          <w:tcPr>
            <w:tcW w:w="2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11,609</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line="201" w:lineRule="exact"/>
              <w:rPr>
                <w:sz w:val="20"/>
                <w:szCs w:val="20"/>
                <w:color w:val="auto"/>
              </w:rPr>
            </w:pPr>
            <w:r>
              <w:rPr>
                <w:rFonts w:ascii="Arial" w:cs="Arial" w:eastAsia="Arial" w:hAnsi="Arial"/>
                <w:sz w:val="18"/>
                <w:szCs w:val="18"/>
                <w:color w:val="auto"/>
                <w:w w:val="97"/>
              </w:rPr>
              <w:t>RSU awards vesting, net of shares withheld for taxes</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which have been retired</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431,904</w:t>
            </w:r>
          </w:p>
        </w:tc>
        <w:tc>
          <w:tcPr>
            <w:tcW w:w="20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(16,056)</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48,871,215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839,541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269,254</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104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1,114,147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accompanying condensed consolidated balance sheet at December 31, 2015, the condensed consolidated statements of operations and comprehensive income for the three and nine months ended December 31, 2015 and January 2, 2015, the condensed consolidated statements of cash flows for the nine months ended December 31, 2015 and January 2, 2015 and the condensed consolidated statement of equity for the nine months ended December 31, 2015 have been prepared by the management of ViaSat, Inc. (also referred to hereafter as the Company or ViaSat), and have not been audited. These financial statements have been prepared on the same basis as the audited consolidated financial statements for the fiscal year ended April 3, 2015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April 3, 2015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78"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May 4, 2015, the Company’s Board of Directors approved a change in the Company’s fiscal year from a 52 or 53 week fiscal year ending on the Friday closest to March 31 to a fiscal year ending on March 31 of each year, effective with the fiscal year commencing April 4, 2015. Beginning April 4, 2015, the Company’s fiscal quarters end on June 30, September 30, December 31, and March 31 of each year. The Company’s fiscal quarters for fiscal year 2015 ended on July 4, 2014, October 3, 2014, January 2, 2015 and April 3, 2015.</w:t>
      </w:r>
    </w:p>
    <w:p>
      <w:pPr>
        <w:spacing w:after="0" w:line="187"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color w:val="auto"/>
        </w:rPr>
        <w:t>During the first quarter of fiscal year 2016, the Company completed the acquisition of Engreen Inc. (Engreen), a privately held company focused on network function virtualization. The Engreen purchase price of approximately $5.3 million (of which $1.0 million has been withheld as security for any indemnifiable damages) was primarily allocated to acquired technology intangible assets and the assumption of certain liabilities. During the first quarter of fiscal year 2015, the Company completed the acquisition of NetNearU Corp. (NetNearU), a privately held company that has developed a comprehensive network management system for Wi-Fi and other internet access networks (see Note 10). These acquisitions were accounted for as purchases and, accordingly, the condensed consolidated financial statements include the operating results of Engreen and NetNearU from the dates of acquisition.</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December 31, 2015 and January 2, 2015, the Company recorded losses of approximately $0.4 million and $0.3 million, respectively, related to loss contracts. During the nine months ended December 31, 2015 and January 2, 2015, the Company recorded losses of approximately $2.1 million and $0.4 million, respectively, related to loss contracts.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14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w:t>
      </w:r>
    </w:p>
    <w:p>
      <w:pPr>
        <w:spacing w:after="0" w:line="5" w:lineRule="exact"/>
        <w:rPr>
          <w:sz w:val="20"/>
          <w:szCs w:val="20"/>
          <w:color w:val="auto"/>
        </w:rPr>
      </w:pPr>
    </w:p>
    <w:p>
      <w:pPr>
        <w:ind w:right="60" w:firstLine="8"/>
        <w:spacing w:after="0" w:line="25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91"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8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the Company establishes VSOE of the selling price using the price charged for a deliverable when sold separately. The Company also considers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volume commitments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8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concluded for fiscal year 2015. As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December 31, 2015, the DCAA had completed its incurred cost audit for fiscal year 2004 and approved the Company’s incurred cost claims for fiscal years 2005 through 2014 without further audit. Although the Company has recorded contract revenues subsequent to fiscal year 2014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2015 and April 3, 2015, the Company had $2.9 million and $4.3 million, respectively, in contract-related reserves for its estimate of potential refunds to customers for potential cost adjustments on several multi-year U.S. government cost reimbursable contracts (see Note 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In accordance with the authoritative guidance for advertising costs (ASC 720-35), advertising costs are expensed as incurred and included in selling, general and administrative (SG&amp;A) expenses. Advertising expenses for the three months ended December 31, 2015 and January 2, 2015 were $3.1 million and $5.7 million, respectively, and for the nine months ended December 31, 2015 and January 2, 2015 were $9.7 million and $13.0 million,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w:t>
      </w:r>
    </w:p>
    <w:p>
      <w:pPr>
        <w:spacing w:after="0" w:line="17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assets under construction, including the ViaSat-2 satellite which commenced construction during the first quarter of fiscal year 2014, the Company capitalized $7.7 million and $4.1 million of interest expense for the three months ended December 31, 2015 and January 2, 2015, respectively, and capitalized $20.9 million and $10.8 million of interest expense for the nine months ended December 31, 2015 and January 2, 2015, respectively.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owns two satellites: ViaSat-1 (its first-generation high-capacity Ka-band spot-beam satellite, which was placed into service in January</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2012) and WildBlue-1 (which was placed into service in March 2007). In May 2013, the Company entered into a satellite construction contract for ViaSat-2, its second-generation high-capacity Ka-band satellite. In addition, the Company has an exclusive prepaid lifetime capital lease of Ka-band capacity over the contiguous United States on Telesat Canada’s Anik F2 satellite (which was placed into service in April 2005) and owns related earth stations and networking equipment for all of its satellites. The Company periodically reviews the remaining estimated useful life of its satellites to determine if revisions to estimated lives are necessary. The Company procures indoor and outdoor CPE units leased to subscribers under a retail leasing program as part of the Company’s satellite services segment, which are reflected in investing activities and property and equipment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and equipment, net, as of December 31, 2015 were $256.0 million and $129.5 million, respectively. The total cost and accumulated depreciation of CPE units included in property and equipment, net, as of April 3, 2015 were $250.3 million and $107.8 million, respectively.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of $3.2 million related to patents were included in other assets as of December 31, 2015 and April 3, 2015. The Company capitalized costs of $15.3 million and $15.1 million related to acquiring and obtaining orbital slots and other licenses included in other assets as of December 31, 2015 and April 3, 2015, respectively. Accumulated amortization related to these assets was $1.6 million and $1.4 million as of December 31, 2015 and April 3, 2015, respectively. Amortization expense related to these assets was an insignificant amount for the three and nine months ended December 31, 2015 and January 2, 2015. If a patent, orbital slot or orbital license is rejected, abandoned or otherwise invalidated, the unamortized cost is expensed in that period. During the three and nine months ended December 31, 2015 and January 2, 2015, the Company did not write off any significant costs due to abandonment or impairment.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300" w:firstLine="456"/>
        <w:spacing w:after="0" w:line="272" w:lineRule="auto"/>
        <w:rPr>
          <w:sz w:val="20"/>
          <w:szCs w:val="20"/>
          <w:color w:val="auto"/>
        </w:rPr>
      </w:pPr>
      <w:r>
        <w:rPr>
          <w:rFonts w:ascii="Arial" w:cs="Arial" w:eastAsia="Arial" w:hAnsi="Arial"/>
          <w:sz w:val="17"/>
          <w:szCs w:val="17"/>
          <w:color w:val="auto"/>
        </w:rPr>
        <w:t>Debt issuance costs are amortized and recognized as interest expense using the effective interest rate method, or, when the results are not materially different, on a straight-line basis over the expected term of the related debt. During the three and nine months ended December 31, 2015 an insignificant amount of debt issuance costs was capitalized and during the three and nine months ended January 2, 2015, no amounts of debt issuance costs were capitalized. Unamortized debt issuance costs related to extinguished debt are expensed at the time the debt is extinguished and recorded in loss on extinguishment of debt in the consolidated statements of operations and comprehensive income.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$150.2 million and $119.9 million related to software developed for resale were included in other assets as of December 31, 2015 and April 3, 2015, respectively. The Company capitalized $20.6 million and $54.1 million of costs related to software developed for resale for the three and nine months ended December 31, 2015, respectively. The Company capitalized $13.1 million and $35.8 million of costs related to software developed for resale for the three and nine months ended January 2, 2015, respectively. Amortization expense for software development costs was $9.9 million and $23.8 million for the three and nine months ended December 31, 2015, respectively, and $7.6 million and $17.2 million for the three and nine months ended January 2, 2015,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$4.0 million and $3.9 million as of December 31, 2015 and April 3, 2015,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December 31, 2015 and April 3, 2015, no such amounts were accrued related to the aforementioned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April 3, 2015, the Company had no shares of common stock held in treasury.</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first nine months of fiscal years 2016 and 2015, the Company issued 689,693 and 629,896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and immediately retired 257,789 shares of common stock with a total value of $16.1 million during the first nine months of fiscal year 2016. During the first nine months of fiscal year 2015, the Company repurchased 229,686 shares of common stock with a total value of $14.4 million, and retired 1,420,258 shares of treasury stock with a total value of $63.7 million. These retired shares remain as authorized stock; however they are now considered to be unissued. This treasury stock retirement resulted in a decrease in common stock held in treasury and in paid-in capital of $63.7 million in the Company’s condensed consolidated balance sheet during the first nine months of fiscal year 2015. The retirement of treasury stock had no impact on the Company’s total consolidated stockholders’ equity.</w:t>
      </w:r>
    </w:p>
    <w:p>
      <w:pPr>
        <w:spacing w:after="0" w:line="166"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During the third quarter of fiscal year 2015, the Board of Directors of the Company approved the retirement of all shares of treasury stock and, with respect to the future issuance of shares of common stock upon vesting of restricted stock units, approved the immediate retirement of shares withheld for employee withholding taxes. Although shares withheld for employee withholding taxes are technically not issued, they are treated as common stock repurchases for accounting purposes, as they reduce the number of shares that otherwise would have been issued upon vesting of the restricted stock units.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9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During the three and nine months ended December 31, 2015, the Company settled certain foreign exchange contracts and in connection therewith recognized an insignificant gain, and during the three and nine months ended January 2, 2015, the Company settled certain foreign exchange contracts in connection therewith recognized an insignificant loss, in each case recorded in cost of revenues based on the nature of the underlying transactions. The fair value of the Company’s foreign currency forward contracts was an insignificant amount recorded as an other current asset as of December 31, 2015. The notional value of foreign currency forward contracts outstanding as of December 31, 2015 was $5.6 million. The Company had no foreign currency forward contracts outstanding as of April 3, 2015.</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At December 31, 2015, the estimated net amount of unrealized gains or losses related to foreign currency forward contracts that was expected to be reclassified to earnings within the next twelve months was insignificant. The Company’s foreign currency forward contracts outstanding as of December 31, 2015 will mature within approximately nine to thirty-six months from their inception. There were no gains or losses from ineffectiveness of these derivative instruments recorded for the three and nine months ended December 31, 2015 and January 2, 2015.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for the three and nine months ended December 31, 2015 and January 2, 2015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$12.0 million and $34.3 million of stock-based compensation expense for the three and nine months ended December 31, 2015, respectively. The Company recognized $10.1 million and $28.1 million of stock-based compensation expense for the three and nine months ended January 2, 2015, respectively.</w:t>
      </w:r>
    </w:p>
    <w:p>
      <w:pPr>
        <w:spacing w:after="0" w:line="17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For the nine months ended December 31, 2015 and January 2, 2015,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6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April 2014, the FASB issued ASU 2014-08, Presentation of Financial Statements and Property, Plant, and Equipment: Reporting Discontinued Operations and Disclosures of Disposals of Components of an Entity. ASU 2014-08 limits the requirement to report discontinued operations to disposals of components of an entity that represent strategic shifts that have (or will have) a major effect on an entity’s operations and financial results. The amendments also require expanded disclosures concerning discontinued operations and disclosures of certain financial results attributable to a disposal of a significant component of an entity that does not qualify for discontinued operations reporting. This guidance became effective for the Company beginning in the first quarter of fiscal year 2016 and the authoritative guidance did not have a material impact on the Company’s consolidated financial statements and disclosures.</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May 2014, the FASB issued ASU 2014-09, Revenue from Contracts with Customers. ASU 2014-09 requires an entity to recognize the amount of revenue to which it expects to be entitled for the transfer of promised goods or services to a customer. This guidance will replace most existing revenue recognition guidance and will be effective for the Company beginning in fiscal year 2019, including interim periods within that reporting period, based on the FASB decision in July 2015 (ASU 2015-14, Revenue from Contracts with Customers – Deferral of the Effective Date) to delay the effective date of the new revenue recognition standard by one year, but providing entities a choice to adopt the standard as of the original effective date. The standard permits the use of either the retrospective or cumulative effect transition method. The Company has not selected a transition method and is currently evaluating the impact this standard will have on its consolidated financial statements and disclosures.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2015, the FASB issued ASU 2015-02, Consolidation (ASC 810): Amendments to the Consolidation Analysis. ASU 2015-02 amended the process that a reporting entity must perform to determine whether it should consolidate certain types of legal entities. This guidance will become effective for the Company in fiscal year 2017, with early adoption permitted. The adoption of this standard is not expected to have a material impact on the Company’s consolidated financial statements and disclosures.</w:t>
      </w:r>
    </w:p>
    <w:p>
      <w:pPr>
        <w:spacing w:after="0" w:line="18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April 2015, the FASB issued ASU 2015-03, Interest — Imputation of Interest (ASC 835-30): Simplifying the Presentation of Debt Issuance Costs. ASU 2015-03 requires that debt issuance costs related to a recognized debt liability be presented in the balance sheet as a direct deduction from the carrying amount of that debt liability, consistent with debt discounts. In August 2015, the FASB issued ASU 2015-15, Interest – Imputation of Interest (Subtopic 835-30): Presentation and Subsequent Measurement of Debt Issuance Costs Associated with Line-of-Credit Arrangements. ASU 2015-15 provides additional guidance to ASU 2015-03, which did not address presentation or subsequent measurement of debt issuance costs related to line-of-credit arrangements. ASU 2015-15 noted that staff of the Securities and Exchange Commission (the SEC)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This new guidance will be effective for the Company in fiscal year 2017, with early adoption permitted. The new guidance shall be applied on a retrospective basis, wherein the balance sheet of each individual period presented should be adjusted to reflect the period-specific effects of applying the new guidance. The adoption of this standard is not expected to have a material impact on the Company’s consolidated financial statements and disclosures.</w:t>
      </w:r>
    </w:p>
    <w:p>
      <w:pPr>
        <w:spacing w:after="0" w:line="18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April 2015, the FASB issued ASU 2015-05, Intangibles—Goodwill and Other—Internal-Use Software (Subtopic 350-40): Customer’s Accounting for Fees Paid in a Cloud Computing Arrangement. ASU 2015-05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new guidance does not change the accounting for a customer’s accounting for service contracts. ASU 2015-05 is effective for the Company in fiscal year 2017 with early adoption permitted using either of two methods: (i) prospectively to all arrangements entered into or materially modified after the effective date and represent a change in accounting principle; or (ii) retrospectively. The Company is currently evaluating the impact of this standard on its consolidated financial statements and disclosures.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should be applied prospectively and will become effective for the Company in fiscal year 2018, with early adoption permitted. The Company is currently evaluating the impact of this standard on its consolidated financial statements and disclosures.</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ASU 2015-16 requires that an acquirer recognize adjustments to provisional amounts that are identified during the measurement period in the reporting period in which the adjustment amounts are determined. Under current GAAP, the acquirer is required to retrospectively apply adjustments made to provisional amounts recognized in a business combination. The new standard should be applied prospectively and will become effective for the Company in fiscal year 2017, with early adoption permitted. The adoption of this standard is not expected to have a material impact on the Company’s consolidated financial statements and disclosures.</w:t>
      </w:r>
    </w:p>
    <w:p>
      <w:pPr>
        <w:spacing w:after="0" w:line="19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November 2015, the FASB issued ASU 2015-17, Balance Sheet Classification of Deferred Taxes (Topic 740). ASU 2015-17 requires entities to classify deferred tax liabilities and assets as noncurrent in a classified balance sheet. The new guidance can be applied either prospectively to all deferred tax liabilities and assets or retrospectively to all periods presented. ASU 2015-17 will become effective for the Company in fiscal year 2018, with early adoption permitted. The Company is currently evaluating the impact of this standard on its consolidated financial statements and disclosures.</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(Subtopic 825-10). ASU 2016-01 requires that most equity investments (except those accounted for under the equity method for accounting or those that result in consolidation of the investee) be measured at fair value, with subsequent changes in fair value recognized in net income. The new guidance also impacts financial liabilities under the fair value option and the presentation and disclosure requirements for financial instruments. The new guidance should be applied by means of a cumulative-effect adjustment to the balance sheet as of the beginning of the fiscal year of adoption. ASU 2016-01 will become effective for the Company in fiscal year 2019, with early adoption permitted with certain stipulations. The Company is currently evaluating the impact of this standard on its consolidated financial statements and disclosures.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Billed</w:t>
            </w: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127,304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120,345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Unbilled</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133,731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147,049</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259,754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266,339</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Raw materials</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47,492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42,716</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Work in process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28,623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22,957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65,146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62,694</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141,261</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45,690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40,106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48,356</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Satellite — WildBlue-1 (estimated useful life of 10 years)</w:t>
            </w: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195,890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99,090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Satellite — ViaSat-1 (estimated useful life of 17 years)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363,204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363,204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Satellites under construction</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469,748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328,857</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1,127,932</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987,041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(262,933)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(224,820)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864,999</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Equipment and software (estimated useful life of 2-7 years)</w:t>
            </w:r>
          </w:p>
        </w:tc>
        <w:tc>
          <w:tcPr>
            <w:tcW w:w="10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554,562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511,717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CPE leased equipment (estimated useful life of 4-5 years)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255,955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250,281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Furniture and fixtures (estimated useful life of 7 years)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23,924</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20,395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 (estimated useful life of 2-17 years)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70,755</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67,723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Building (estimated useful life of 24 years)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8,923</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41,960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Construction in progress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57,627</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17,890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1,013,706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878,550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Less: accumulated depreciation</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Arial" w:cs="Arial" w:eastAsia="Arial" w:hAnsi="Arial"/>
                <w:sz w:val="18"/>
                <w:szCs w:val="18"/>
                <w:color w:val="auto"/>
              </w:rPr>
              <w:t>(541,218)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(460,528)</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472,488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418,022</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 (weighted average useful life of 6 years)</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75,069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67,403</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Contracts and customer relationships (weighted average useful life of 8 years)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99,551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99,556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Trade name (weighted average useful life of 3 years)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5,940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(weighted average useful life of 7 years)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8,718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8,722</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197,878</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amortization</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(161,468)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(147,881)</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36,410</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16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r>
      <w:tr>
        <w:trPr>
          <w:trHeight w:val="171"/>
        </w:trPr>
        <w:tc>
          <w:tcPr>
            <w:tcW w:w="6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6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 2015</w:t>
            </w:r>
          </w:p>
        </w:tc>
      </w:tr>
      <w:tr>
        <w:trPr>
          <w:trHeight w:val="142"/>
        </w:trPr>
        <w:tc>
          <w:tcPr>
            <w:tcW w:w="6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Capitalized software costs, net</w:t>
            </w:r>
          </w:p>
        </w:tc>
        <w:tc>
          <w:tcPr>
            <w:tcW w:w="168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150,159</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119,936</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Patents, orbital slots and other licenses,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16,900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16,900</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63,647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75,789</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33,561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57,183</w:t>
            </w:r>
          </w:p>
        </w:tc>
      </w:tr>
      <w:tr>
        <w:trPr>
          <w:trHeight w:val="223"/>
        </w:trPr>
        <w:tc>
          <w:tcPr>
            <w:tcW w:w="6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264,267</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269,808</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Collections in excess of revenues and deferred revenues</w:t>
            </w:r>
          </w:p>
        </w:tc>
        <w:tc>
          <w:tcPr>
            <w:tcW w:w="168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66,595</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83,528</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employee compensation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31,734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27,953</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Accrued vacation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25,890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25,859</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Warranty reserve, current portion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8,118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9,235</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Current portion of other long-term debt</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270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34,224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44,491</w:t>
            </w:r>
          </w:p>
        </w:tc>
      </w:tr>
      <w:tr>
        <w:trPr>
          <w:trHeight w:val="223"/>
        </w:trPr>
        <w:tc>
          <w:tcPr>
            <w:tcW w:w="6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166,831</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191,326</w:t>
            </w:r>
          </w:p>
        </w:tc>
        <w:tc>
          <w:tcPr>
            <w:tcW w:w="10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Deferred revenue, long-term portion</w:t>
            </w:r>
          </w:p>
        </w:tc>
        <w:tc>
          <w:tcPr>
            <w:tcW w:w="1680" w:type="dxa"/>
            <w:vAlign w:val="bottom"/>
            <w:gridSpan w:val="2"/>
          </w:tcPr>
          <w:p>
            <w:pPr>
              <w:jc w:val="right"/>
              <w:ind w:right="86"/>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4,811</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4,894</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rent, long-term portion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7,791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8,307</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Warranty reserve, long-term portion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3,728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6,310</w:t>
            </w:r>
          </w:p>
        </w:tc>
      </w:tr>
      <w:tr>
        <w:trPr>
          <w:trHeight w:val="216"/>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long-term portion</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6260" w:type="dxa"/>
            <w:vAlign w:val="bottom"/>
          </w:tcPr>
          <w:p>
            <w:pPr>
              <w:ind w:left="360"/>
              <w:spacing w:after="0"/>
              <w:rPr>
                <w:sz w:val="20"/>
                <w:szCs w:val="20"/>
                <w:color w:val="auto"/>
              </w:rPr>
            </w:pPr>
            <w:r>
              <w:rPr>
                <w:rFonts w:ascii="Arial" w:cs="Arial" w:eastAsia="Arial" w:hAnsi="Arial"/>
                <w:sz w:val="18"/>
                <w:szCs w:val="18"/>
                <w:color w:val="auto"/>
              </w:rPr>
              <w:t>Satellite performance incentives obligation, long-term portion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19,678</w:t>
            </w: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20,121</w:t>
            </w:r>
          </w:p>
        </w:tc>
      </w:tr>
      <w:tr>
        <w:trPr>
          <w:trHeight w:val="27"/>
        </w:trPr>
        <w:tc>
          <w:tcPr>
            <w:tcW w:w="6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36,008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39,995</w:t>
            </w:r>
          </w:p>
        </w:tc>
      </w:tr>
      <w:tr>
        <w:trPr>
          <w:trHeight w:val="20"/>
        </w:trPr>
        <w:tc>
          <w:tcPr>
            <w:tcW w:w="6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color w:val="auto"/>
        </w:rPr>
      </w:pPr>
    </w:p>
    <w:p>
      <w:pPr>
        <w:jc w:val="both"/>
        <w:ind w:left="440" w:right="180" w:hanging="324"/>
        <w:spacing w:after="0" w:line="264"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measured at fair value on a recurring basis as of December 31, 2015 and April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 as of</w:t>
            </w:r>
          </w:p>
        </w:tc>
        <w:tc>
          <w:tcPr>
            <w:tcW w:w="300" w:type="dxa"/>
            <w:vAlign w:val="bottom"/>
          </w:tcPr>
          <w:p>
            <w:pPr>
              <w:spacing w:after="0"/>
              <w:rPr>
                <w:sz w:val="14"/>
                <w:szCs w:val="14"/>
                <w:color w:val="auto"/>
              </w:rPr>
            </w:pPr>
          </w:p>
        </w:tc>
        <w:tc>
          <w:tcPr>
            <w:tcW w:w="9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4"/>
                <w:szCs w:val="14"/>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1800" w:type="dxa"/>
            <w:vAlign w:val="bottom"/>
            <w:gridSpan w:val="2"/>
          </w:tcPr>
          <w:p>
            <w:pPr>
              <w:ind w:left="172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2,003</w:t>
            </w: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$2,003</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forward contracts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7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20" w:type="dxa"/>
            <w:vAlign w:val="bottom"/>
            <w:vMerge w:val="restart"/>
          </w:tcPr>
          <w:p>
            <w:pPr>
              <w:jc w:val="right"/>
              <w:ind w:right="857"/>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26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Level 2</w:t>
            </w:r>
          </w:p>
        </w:tc>
        <w:tc>
          <w:tcPr>
            <w:tcW w:w="520" w:type="dxa"/>
            <w:vAlign w:val="bottom"/>
          </w:tcPr>
          <w:p>
            <w:pPr>
              <w:spacing w:after="0"/>
              <w:rPr>
                <w:sz w:val="14"/>
                <w:szCs w:val="14"/>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April 3, 2015</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2,033</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2,033</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0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The Company’s long-term debt consists of borrowings under its revolving credit facility (the Revolving Credit Facility)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direct loan facility with the Export-Import Bank of the United States for ViaSat-2 (the Ex-Im Credit Facility and, together with the Revolving Credit Facility, the Credit Facilities), as well as $575.0 million in aggregate principal amount of the Company’s 6.875% Senior Notes due 2020 (2020 Notes). The Revolving Credit Facility is reported at the outstanding principal amount of borrowings, while the Ex-Im Credit Facility and 2020 Notes are reported at amortized cost. However, for disclosure purposes, the Company is required to measure the fair value of outstanding debt on a recurring basis. As of December 31, 2015 and April 3, 2015, the fair value of the Company’s outstanding long-term debt related to the 2020 Notes was determined using quoted prices in active markets (Level 1) and was $596.6 million and $610.9 million, respectively. The fair value of the Company’s long-term debt related to the Revolving Credit Facility approximates its carrying amount due to its variable interest rate, which approximates a market interest rate. As of December 31, 2015, the fair value of the Company’s long-term debt related to the Ex-Im Credit Facility was approximately $172.7 million and was determined based on a discounted cash flow analysis using observable market interest rates for instruments with similar terms (Level 2).</w:t>
      </w:r>
    </w:p>
    <w:p>
      <w:pPr>
        <w:spacing w:after="0" w:line="178"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i w:val="1"/>
          <w:iCs w:val="1"/>
          <w:color w:val="auto"/>
        </w:rPr>
        <w:t xml:space="preserve">Satellite performance incentives obligation </w:t>
      </w:r>
      <w:r>
        <w:rPr>
          <w:rFonts w:ascii="Arial" w:cs="Arial" w:eastAsia="Arial" w:hAnsi="Arial"/>
          <w:sz w:val="17"/>
          <w:szCs w:val="17"/>
          <w:color w:val="auto"/>
        </w:rPr>
        <w:t>— The Company’s contract with the manufacturer of ViaSat-1 requires the Company to make monthly in-orbit 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December 31, 2015 and April 3, 2015, the Company’s estimated satellite performance incentives obligation and accrued interest was $22.1 million and $22.4 million, respectively.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600" w:type="dxa"/>
            <w:vAlign w:val="bottom"/>
            <w:gridSpan w:val="4"/>
          </w:tcPr>
          <w:p>
            <w:pPr>
              <w:jc w:val="right"/>
              <w:ind w:right="1500"/>
              <w:spacing w:after="0"/>
              <w:rPr>
                <w:sz w:val="20"/>
                <w:szCs w:val="20"/>
                <w:color w:val="auto"/>
              </w:rPr>
            </w:pPr>
            <w:r>
              <w:rPr>
                <w:rFonts w:ascii="Arial" w:cs="Arial" w:eastAsia="Arial" w:hAnsi="Arial"/>
                <w:sz w:val="14"/>
                <w:szCs w:val="14"/>
                <w:b w:val="1"/>
                <w:bCs w:val="1"/>
                <w:color w:val="auto"/>
              </w:rPr>
              <w:t>Three Months Ended</w:t>
            </w:r>
          </w:p>
        </w:tc>
        <w:tc>
          <w:tcPr>
            <w:tcW w:w="29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3920" w:type="dxa"/>
            <w:vAlign w:val="bottom"/>
          </w:tcPr>
          <w:p>
            <w:pPr>
              <w:spacing w:after="0"/>
              <w:rPr>
                <w:sz w:val="12"/>
                <w:szCs w:val="12"/>
                <w:color w:val="auto"/>
              </w:rPr>
            </w:pPr>
          </w:p>
        </w:tc>
        <w:tc>
          <w:tcPr>
            <w:tcW w:w="190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720" w:type="dxa"/>
            <w:vAlign w:val="bottom"/>
            <w:tcBorders>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December 31, 2015</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0" w:type="dxa"/>
            <w:vAlign w:val="bottom"/>
            <w:gridSpan w:val="4"/>
          </w:tcPr>
          <w:p>
            <w:pPr>
              <w:ind w:left="90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Common shares outstanding used in</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calculating basic net income per share</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attributable to ViaSat, Inc. common</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48,712</w:t>
            </w:r>
          </w:p>
        </w:tc>
        <w:tc>
          <w:tcPr>
            <w:tcW w:w="740" w:type="dxa"/>
            <w:vAlign w:val="bottom"/>
          </w:tcPr>
          <w:p>
            <w:pPr>
              <w:spacing w:after="0"/>
              <w:rPr>
                <w:sz w:val="20"/>
                <w:szCs w:val="20"/>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47,375</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48,275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46,920</w:t>
            </w: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to purchase common stock as</w:t>
            </w: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determined by application of the treasury</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method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7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426</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297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02"/>
        </w:trPr>
        <w:tc>
          <w:tcPr>
            <w:tcW w:w="3920" w:type="dxa"/>
            <w:vAlign w:val="bottom"/>
          </w:tcPr>
          <w:p>
            <w:pPr>
              <w:spacing w:after="0" w:line="201" w:lineRule="exact"/>
              <w:rPr>
                <w:sz w:val="20"/>
                <w:szCs w:val="20"/>
                <w:color w:val="auto"/>
              </w:rPr>
            </w:pPr>
            <w:r>
              <w:rPr>
                <w:rFonts w:ascii="Arial" w:cs="Arial" w:eastAsia="Arial" w:hAnsi="Arial"/>
                <w:sz w:val="18"/>
                <w:szCs w:val="18"/>
                <w:color w:val="auto"/>
              </w:rPr>
              <w:t>Restricted stock units to acquire common</w:t>
            </w:r>
          </w:p>
        </w:tc>
        <w:tc>
          <w:tcPr>
            <w:tcW w:w="1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stock as determined by application of the</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treasury stock method</w:t>
            </w:r>
          </w:p>
        </w:tc>
        <w:tc>
          <w:tcPr>
            <w:tcW w:w="1160" w:type="dxa"/>
            <w:vAlign w:val="bottom"/>
          </w:tcPr>
          <w:p>
            <w:pPr>
              <w:jc w:val="right"/>
              <w:spacing w:after="0"/>
              <w:rPr>
                <w:sz w:val="20"/>
                <w:szCs w:val="20"/>
                <w:color w:val="auto"/>
              </w:rPr>
            </w:pPr>
            <w:r>
              <w:rPr>
                <w:rFonts w:ascii="Arial" w:cs="Arial" w:eastAsia="Arial" w:hAnsi="Arial"/>
                <w:sz w:val="18"/>
                <w:szCs w:val="18"/>
                <w:color w:val="auto"/>
              </w:rPr>
              <w:t>529</w:t>
            </w:r>
          </w:p>
        </w:tc>
        <w:tc>
          <w:tcPr>
            <w:tcW w:w="740" w:type="dxa"/>
            <w:vAlign w:val="bottom"/>
          </w:tcPr>
          <w:p>
            <w:pPr>
              <w:spacing w:after="0"/>
              <w:rPr>
                <w:sz w:val="20"/>
                <w:szCs w:val="20"/>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503</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502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r>
      <w:tr>
        <w:trPr>
          <w:trHeight w:val="202"/>
        </w:trPr>
        <w:tc>
          <w:tcPr>
            <w:tcW w:w="3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Potentially issuable shares in connection with</w:t>
            </w: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certain terms of the ViaSat 401(k) Profit</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Sharing Plan and Employee Stock</w:t>
            </w:r>
          </w:p>
        </w:tc>
        <w:tc>
          <w:tcPr>
            <w:tcW w:w="1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74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135</w:t>
            </w:r>
          </w:p>
        </w:tc>
        <w:tc>
          <w:tcPr>
            <w:tcW w:w="19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156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09"/>
        </w:trPr>
        <w:tc>
          <w:tcPr>
            <w:tcW w:w="3920" w:type="dxa"/>
            <w:vAlign w:val="bottom"/>
          </w:tcPr>
          <w:p>
            <w:pPr>
              <w:spacing w:after="0"/>
              <w:rPr>
                <w:sz w:val="20"/>
                <w:szCs w:val="20"/>
                <w:color w:val="auto"/>
              </w:rPr>
            </w:pPr>
            <w:r>
              <w:rPr>
                <w:rFonts w:ascii="Arial" w:cs="Arial" w:eastAsia="Arial" w:hAnsi="Arial"/>
                <w:sz w:val="18"/>
                <w:szCs w:val="18"/>
                <w:color w:val="auto"/>
              </w:rPr>
              <w:t>Shares used in computing diluted net income</w:t>
            </w:r>
          </w:p>
        </w:tc>
        <w:tc>
          <w:tcPr>
            <w:tcW w:w="116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per share attributable to ViaSat, Inc.</w:t>
            </w:r>
          </w:p>
        </w:tc>
        <w:tc>
          <w:tcPr>
            <w:tcW w:w="1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1160" w:type="dxa"/>
            <w:vAlign w:val="bottom"/>
          </w:tcPr>
          <w:p>
            <w:pPr>
              <w:jc w:val="right"/>
              <w:spacing w:after="0"/>
              <w:rPr>
                <w:sz w:val="20"/>
                <w:szCs w:val="20"/>
                <w:color w:val="auto"/>
              </w:rPr>
            </w:pPr>
            <w:r>
              <w:rPr>
                <w:rFonts w:ascii="Arial" w:cs="Arial" w:eastAsia="Arial" w:hAnsi="Arial"/>
                <w:sz w:val="18"/>
                <w:szCs w:val="18"/>
                <w:color w:val="auto"/>
              </w:rPr>
              <w:t>49,630</w:t>
            </w:r>
          </w:p>
        </w:tc>
        <w:tc>
          <w:tcPr>
            <w:tcW w:w="740" w:type="dxa"/>
            <w:vAlign w:val="bottom"/>
          </w:tcPr>
          <w:p>
            <w:pPr>
              <w:spacing w:after="0"/>
              <w:rPr>
                <w:sz w:val="20"/>
                <w:szCs w:val="20"/>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48,439</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49,230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48,097</w:t>
            </w:r>
          </w:p>
        </w:tc>
      </w:tr>
      <w:tr>
        <w:trPr>
          <w:trHeight w:val="20"/>
        </w:trPr>
        <w:tc>
          <w:tcPr>
            <w:tcW w:w="3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Antidilutive shares relating to stock options excluded from the calculation comprised 871,457 and 722,235 shares for the three and nine months ended December 31, 2015, respectively, and 508,799 and 379,968 shares for the three and nine months ended January 2, 2015, respectively.</w:t>
      </w:r>
    </w:p>
    <w:p>
      <w:pPr>
        <w:spacing w:after="0" w:line="14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Antidilutive shares relating to restricted stock units excluded from the calculation comprised zero and four shares for the three and nine months ended December 31, 2015, respectively, and 385,817 and 128,589 shares for the three and nine months ended January 2, 2015,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During the first nine months of fiscal year 2016, the Company’s goodwill decreased by $0.1 million, which related to the effects of foreign currency translation recorded within the Company’s government systems and commercial networks segments.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first nine months of fiscal year 2016, $7.7 million of the increase in the Company’s other acquired intangible assets related to the acquisition of Engreen, recorded during the first quarter of fiscal year 2016, within the Company’s commercial networks segment. All other amounts recorded related to the acquisition of Engreen were not significant. Other acquired intangible assets are amortized using the straight-line method over their estimated useful lives of two to ten years. Amortization expense related to other acquired intangible assets was $4.3 million and $4.7 million for the three months ended December 31, 2015 and January 2, 2015, respectively, and $13.7 million and $13.3 million for the nine months ended December 31, 2015 and January 2, 2015,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43"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31,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long-term debt consisted of the following as of December 31, 2015 and April 3,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rPr>
              <w:t>As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20" w:type="dxa"/>
            <w:vAlign w:val="bottom"/>
            <w:gridSpan w:val="4"/>
          </w:tcPr>
          <w:p>
            <w:pPr>
              <w:ind w:left="940"/>
              <w:spacing w:after="0"/>
              <w:rPr>
                <w:sz w:val="20"/>
                <w:szCs w:val="20"/>
                <w:color w:val="auto"/>
              </w:rPr>
            </w:pPr>
            <w:r>
              <w:rPr>
                <w:rFonts w:ascii="Arial" w:cs="Arial" w:eastAsia="Arial" w:hAnsi="Arial"/>
                <w:sz w:val="14"/>
                <w:szCs w:val="14"/>
                <w:b w:val="1"/>
                <w:bCs w:val="1"/>
                <w:color w:val="auto"/>
              </w:rPr>
              <w:t>December 31, 2015</w:t>
            </w:r>
          </w:p>
        </w:tc>
        <w:tc>
          <w:tcPr>
            <w:tcW w:w="980" w:type="dxa"/>
            <w:vAlign w:val="bottom"/>
            <w:gridSpan w:val="4"/>
          </w:tcPr>
          <w:p>
            <w:pPr>
              <w:ind w:left="6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2020 Notes</w:t>
            </w:r>
          </w:p>
        </w:tc>
        <w:tc>
          <w:tcPr>
            <w:tcW w:w="12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575,000</w:t>
            </w:r>
          </w:p>
        </w:tc>
        <w:tc>
          <w:tcPr>
            <w:tcW w:w="7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581,702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582,657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88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581,702</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582,657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200,000</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Ex-Im Credit Facility (1)</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174,347</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Unamortized discount on the Ex-Im Credit Facility (1)</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8"/>
                <w:szCs w:val="18"/>
                <w:color w:val="auto"/>
              </w:rPr>
              <w:t>(19,673)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355,527</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9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355,257</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223,736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937,229</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806,653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Less: current portion</w:t>
            </w:r>
          </w:p>
        </w:tc>
        <w:tc>
          <w:tcPr>
            <w:tcW w:w="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2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936,959</w:t>
            </w:r>
          </w:p>
        </w:tc>
        <w:tc>
          <w:tcPr>
            <w:tcW w:w="7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806,393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December 31, 2015, included in Ex-Im Credit Facility and in Unamortized discount on the Ex-Im Credit Facility was $13.7 million and $12.5 million, respectively, relating to the exposure fees accrued to date expected to be financed under the Ex-Im Credit Facility.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right="40" w:firstLine="456"/>
        <w:spacing w:after="0" w:line="288" w:lineRule="auto"/>
        <w:rPr>
          <w:sz w:val="20"/>
          <w:szCs w:val="20"/>
          <w:color w:val="auto"/>
        </w:rPr>
      </w:pPr>
      <w:r>
        <w:rPr>
          <w:rFonts w:ascii="Arial" w:cs="Arial" w:eastAsia="Arial" w:hAnsi="Arial"/>
          <w:sz w:val="16"/>
          <w:szCs w:val="16"/>
          <w:color w:val="auto"/>
        </w:rPr>
        <w:t>As of December 31, 2015, the Revolving Credit Facility provided a $500.0 million revolving line of credit (including up to $150.0 million of letters of credit), with a maturity date of November 26, 2018. Borrowings under the Revolving Credit Facility bear interest, at the Company’s option, at either (1) the highest of the Federal Funds rate plus 0.50%, the Eurodollar rate plus 1.00%, or the administrative agent’s prime rate as announced from time to time, or</w:t>
      </w:r>
    </w:p>
    <w:p>
      <w:pPr>
        <w:ind w:right="300" w:firstLine="8"/>
        <w:spacing w:after="0" w:line="261"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Eurodollar rate, plus, in the case of each of (1) and (2), an applicable margin that is based on the Company’s total leverage ratio. At December 31, 2015, the weighted average effective interest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rate on the Company’s outstanding borrowings under the Revolving Credit Facility was 2.35%. The Company has capitalized certain amounts of interest expense on the Revolving Credit Facility in connection with the construction of various assets during the construction period. The Revolving Credit Facility is required to be guaranteed by certain significant domestic subsidiaries of the Company (as defined in the Revolving Credit Facility) and secured by substantially all of the Company’s and any such subsidiaries’ assets. As of December 31, 2015, none of the Company’s subsidiaries guaranteed the Revolving Credit Facility.</w:t>
      </w:r>
    </w:p>
    <w:p>
      <w:pPr>
        <w:spacing w:after="0" w:line="188"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color w:val="auto"/>
        </w:rPr>
        <w:t>The Revolving Credit Facility contains financial covenants regarding a maximum total leverage ratio and a minimum interest coverage ratio. In addition, the Revolving Credit Facility contains covenants that restrict, among other things, the Company’s ability to sell assets, make investments and acquisitions, make capital expenditures, grant liens, pay dividends and make certain other restricted payments.</w:t>
      </w:r>
    </w:p>
    <w:p>
      <w:pPr>
        <w:spacing w:after="0" w:line="166"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The Company was in compliance with its financial covenants under the Revolving Credit Facility as of December 31, 2015. At December 31, 2015, the Company had $200.0 million in principal amount of outstanding borrowings under the Revolving Credit Facility and $43.7 million outstanding under standby letters of credit, leaving borrowing availability under the Revolving Credit Facility as of December 31, 2015 of $256.3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12, 2015, a foreign subsidiary of the Company entered into the Ex-Im Credit Facility with the Export-Import Bank of the United States. As of December 31,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the initial borrowing under the Ex-Im Credit Facility, with the remaining exposure fees payable by the in-orbit acceptance date for ViaSat-2. Exposure fees under the Ex-Im Credit Facility are amortized using the effective interest rate method. The effective interest rate on the Company’s outstanding borrowings under the Ex-Im Credit Facility, which takes into account estimated timing and amount of borrowings, exposure fees, debt issuance costs and other fees, was estimated to be between 4.2% and 4.8% as of December 31, 2015. The Ex-Im Credit Facility is guaranteed by ViaSat and is secured by first-priority liens on the ViaSat-2 satellite and related assets, as well as a pledge of the capital stock of the borrower under the facility.</w:t>
      </w:r>
    </w:p>
    <w:p>
      <w:pPr>
        <w:spacing w:after="0" w:line="169" w:lineRule="exact"/>
        <w:rPr>
          <w:sz w:val="20"/>
          <w:szCs w:val="20"/>
          <w:color w:val="auto"/>
        </w:rPr>
      </w:pPr>
    </w:p>
    <w:p>
      <w:pPr>
        <w:ind w:right="520" w:firstLine="456"/>
        <w:spacing w:after="0" w:line="286" w:lineRule="auto"/>
        <w:rPr>
          <w:sz w:val="20"/>
          <w:szCs w:val="20"/>
          <w:color w:val="auto"/>
        </w:rPr>
      </w:pPr>
      <w:r>
        <w:rPr>
          <w:rFonts w:ascii="Arial" w:cs="Arial" w:eastAsia="Arial" w:hAnsi="Arial"/>
          <w:sz w:val="17"/>
          <w:szCs w:val="17"/>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w:t>
      </w:r>
    </w:p>
    <w:p>
      <w:pPr>
        <w:spacing w:after="0" w:line="16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was in compliance with its financial covenants under the Ex-Im Credit Facility as of December 31, 2015. At December 31, 2015, the Company had $160.7 million in principal amount of outstanding borrowings under the Ex-Im Credit Facility and had accrued $13.7 million in completion exposure fees expected to be financed under the Ex-Im Credit Facility. As of December 31, 2015, the undrawn commitment under the Ex-Im Credit Facility was $350.5 million (excluding $13.7 million of accrued completion exposure fees), of which $312.3 million was available to finance ViaSat-2 related costs once incurred. The borrowings under the Ex-Im Credit Facility were issued with a discount of $21.0 million (comprising the initial $6.0 million exposure fee, the completion exposure fees accrued as of December 31, 2015 and other customary fees). The borrowings under the Ex-Im Credit Facility are recorded as long-term debt, net of discount, in the Company’s consolidated financial statements. The discount and deferred financing cost associated with the issuance of the borrowings under the Ex-Im Credit Facility is amortized to interest expense on an effective interest rate basis over the term of the borrowings under the Ex-Im Credit Facility.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February 2012, the Company issued $275.0 million in principal amount of 2020 Notes in a private placement to institutional buyers, which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exchanged in August 2012 for substantially identical 2020 Notes that had been registered with the SEC. These initial 2020 Notes were issued at face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are recorded as long-term debt in the Company’s condensed consolidated financial statements. In October 2012, the Company issued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principal amount of 2020 Notes in a private placement to institutional buyers at an issue price of 103.50% of the principal amount,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exchanged in January 2013 for substantially identical 2020 Notes that had been registered with the SEC. The 2020 Notes are all treated as a single class.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2020 Notes bear interest at the rate of 6.875% per year, payable semi-annually in cash in arrears, which interest payments commenced in June 2012. Debt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costs associated with the issuance of the 2020 Notes are amortized to interest expense on a straight-line basis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over the term of the 2020 Notes, the results of which are not materially different from the effective interest rate basis. The $10.5 million premium the Company received in connection with the issuance of the additional 2020 Notes is recorded as long-term debt in the Company’s condensed consolidated financial statements and is being amortized as a reduction to interest expense on an effective interest rate basis over the term of those 2020 Notes.</w:t>
      </w:r>
    </w:p>
    <w:p>
      <w:pPr>
        <w:spacing w:after="0" w:line="14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Revolving Credit Facility. As of December 31, 2015,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Facilities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8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9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121"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condensed consolidated financial statements. For mature products, the warranty cost estimates are based on historical experience with the particular product. For newer products that do not have a history of warranty costs, the Company bases its estimates on its experience with the technology involved and the types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nine months ended December 31, 2015 and January 2, 2015:</w:t>
      </w:r>
    </w:p>
    <w:p>
      <w:pPr>
        <w:spacing w:after="0" w:line="19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10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w w:val="95"/>
              </w:rPr>
              <w:t>January 2, 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15,545</w:t>
            </w:r>
          </w:p>
        </w:tc>
        <w:tc>
          <w:tcPr>
            <w:tcW w:w="8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ind w:left="360"/>
              <w:spacing w:after="0"/>
              <w:rPr>
                <w:sz w:val="20"/>
                <w:szCs w:val="20"/>
                <w:color w:val="auto"/>
              </w:rPr>
            </w:pPr>
            <w:r>
              <w:rPr>
                <w:rFonts w:ascii="Arial" w:cs="Arial" w:eastAsia="Arial" w:hAnsi="Arial"/>
                <w:sz w:val="18"/>
                <w:szCs w:val="18"/>
                <w:color w:val="auto"/>
              </w:rPr>
              <w:t>Change in liability for warranties issued in period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2,664</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made (in cash or in kind) during the period</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(6,363)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end of period</w:t>
            </w:r>
          </w:p>
        </w:tc>
        <w:tc>
          <w:tcPr>
            <w:tcW w:w="5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11,846</w:t>
            </w: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4240"/>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21"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In May 2013, the Company entered into an agreement to purchase ViaSat-2, the Company’s second high-capacity Ka-band satellite, from The Boeing Company (Boeing) at a price of approximately $358.0 million, plus an additional amount for launch support services to be performed by Boeing.</w:t>
      </w:r>
    </w:p>
    <w:p>
      <w:pPr>
        <w:spacing w:after="0" w:line="124" w:lineRule="exact"/>
        <w:rPr>
          <w:sz w:val="20"/>
          <w:szCs w:val="20"/>
          <w:color w:val="auto"/>
        </w:rPr>
      </w:pPr>
    </w:p>
    <w:p>
      <w:pPr>
        <w:ind w:right="420" w:firstLine="456"/>
        <w:spacing w:after="0" w:line="302" w:lineRule="auto"/>
        <w:rPr>
          <w:sz w:val="20"/>
          <w:szCs w:val="20"/>
          <w:color w:val="auto"/>
        </w:rPr>
      </w:pPr>
      <w:r>
        <w:rPr>
          <w:rFonts w:ascii="Arial" w:cs="Arial" w:eastAsia="Arial" w:hAnsi="Arial"/>
          <w:sz w:val="16"/>
          <w:szCs w:val="16"/>
          <w:color w:val="auto"/>
        </w:rPr>
        <w:t>From time to time, 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54"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 not been concluded for fiscal year 2015. As of December 31, 2015, the DCAA had completed its incurred cost audit for fiscal year 2004 and approved the Company’s incurred cost claims for fiscal years 2005 through 2014 without further audit. Although the Company has recorded contract revenues subsequent to fiscal year 2014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December 31, 2015 and April 3, 2015, the Company had $2.9 million and $4.3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 2015</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September 2014, the Company entered into a settlement agreement (the Settlement Agreement) with Space Systems/Loral, Inc. (SS/L) and its former parent company Loral Space &amp; Communications, Inc. (Loral), pursuant to which SS/L and Loral are required to pay the Company a total of $108.7 million, inclusive of interest, over a two and a half year period from the date of settlement. In exchange, the Company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w:t>
      </w:r>
    </w:p>
    <w:p>
      <w:pPr>
        <w:spacing w:after="0" w:line="17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Company accounted for the amounts payable by SS/L and Loral under the Settlement Agreement as a multiple-element arrangement and allocated the total consideration to the identifiable elements based upon their fair value. The consideration assigned to each element was as follows:</w:t>
      </w:r>
    </w:p>
    <w:p>
      <w:pPr>
        <w:spacing w:after="0" w:line="16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Implied license</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 damages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108,712</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During the three and nine months ended December 31, 2015, the Company recorded $6.9 million and $20.6 million with respect to amounts realized under the Settlement Agreement, of which $6.4 million and $18.8 million were recognized as product revenues in the Company’s satellite services segment and $0.5 million and $1.8 million were recognized as interest income in the condensed consolidated financial statements, respectively. During the three months ended January 2, 2015, the Company recorded $6.9 million with respect to amounts realized under the Settlement Agreement, of which $6.0 million was recognized as product revenues in the Company’s satellite services segment and $0.9 million was recognized as interest income in the condensed consolidated financial statements. During the nine months ended January 2, 2015, the Company recorded $46.9 million with respect to amounts realized under the Settlement Agreement, of which $27.0 million was recognized as product revenues in the Company’s satellite services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segment, $18.7 million was recognized as a reduction to SG&amp;A expenses in the Company’s satellite services segment, and $1.2 million was recognized as interest income in the condensed consolidated financial statements. The remaining payments under the Settlement Agreement will be recognized in future periods when realized, and will be recorded as product revenues in the satellite services segment and interest income.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currently estimates its annual effective income tax rate to be approximately 10.3% for fiscal year 2016. The estimated effective tax rate is different from the expected statutory rate primarily due to federal research and development tax credits recorded as a result of the Protecting Americans from Tax Hikes (PATH) Act of 2015 enacted on December 18, 2015, which extended the research and development credit permanently, retroactive to January 2015. In the first two quarters of fiscal year 2016, the Company’s estimated annual effective income tax rate did not include the effect of the extension of the research and development tax credit, which resulted in an adjustment of approximately $4.3 million in tax benefits in the third quarter of fiscal year 2016. Also as a result of the extension of the research and development tax credit, approximately $2.1 million of research and development credit generated in the fourth quarter of fiscal year 2015 was recognized as a discrete tax benefit in the third quarter of fiscal year 2016.</w:t>
      </w:r>
    </w:p>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w:t>
      </w:r>
    </w:p>
    <w:p>
      <w:pPr>
        <w:spacing w:after="0" w:line="18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For the three and nine months ended December 31, 2015, the Company’s gross unrecognized tax benefits increased by $1.2 million and $1.9 million, respectively. In the next twelve months it is reasonably possible that the amount of unrecognized tax benefits will not change significantly.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Acquisition</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On June 6, 2014, the Company completed the acquisition of all outstanding shares of NetNearU. The purchase price for NetNearU was $60.2 million in cash consideration. The net cash outlay for the acquisition, after taking into account cash acquired of $4.1 million, was $56.1 million.</w:t>
      </w:r>
    </w:p>
    <w:p>
      <w:pPr>
        <w:spacing w:after="0" w:line="14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Merger-related transaction costs incurred by the Company during the first quarter of fiscal year 2015 were approximately $0.4 million, which were recorded in SG&amp;A expenses.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purchase price allocation of the acquired assets and assumed liabilities based on the estimated fair values as of June 6, 2014 is as follows:</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820" w:type="dxa"/>
            <w:vAlign w:val="bottom"/>
            <w:gridSpan w:val="4"/>
          </w:tcPr>
          <w:p>
            <w:pPr>
              <w:ind w:left="38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Goodwill</w:t>
            </w:r>
          </w:p>
        </w:tc>
        <w:tc>
          <w:tcPr>
            <w:tcW w:w="3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ind w:left="340"/>
              <w:spacing w:after="0"/>
              <w:rPr>
                <w:sz w:val="20"/>
                <w:szCs w:val="20"/>
                <w:color w:val="auto"/>
              </w:rPr>
            </w:pPr>
            <w:r>
              <w:rPr>
                <w:rFonts w:ascii="Arial" w:cs="Arial" w:eastAsia="Arial" w:hAnsi="Arial"/>
                <w:sz w:val="18"/>
                <w:szCs w:val="18"/>
                <w:color w:val="auto"/>
              </w:rPr>
              <w:t>Total liabilities assumed</w:t>
            </w:r>
          </w:p>
        </w:tc>
        <w:tc>
          <w:tcPr>
            <w:tcW w:w="38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4040" w:type="dxa"/>
            <w:vAlign w:val="bottom"/>
            <w:gridSpan w:val="2"/>
            <w:shd w:val="clear" w:color="auto" w:fill="CCEEFF"/>
          </w:tcPr>
          <w:p>
            <w:pPr>
              <w:ind w:left="38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800" w:type="dxa"/>
            <w:vAlign w:val="bottom"/>
            <w:vMerge w:val="restart"/>
          </w:tcPr>
          <w:p>
            <w:pPr>
              <w:jc w:val="right"/>
              <w:ind w:right="2696"/>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assigned to identifiable intangible assets are amortized on a straight-line basis over their estimated useful lives and are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4"/>
              </w:rPr>
              <w:t>Fair value</w:t>
            </w: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840" w:type="dxa"/>
            <w:vAlign w:val="bottom"/>
            <w:gridSpan w:val="3"/>
          </w:tcPr>
          <w:p>
            <w:pPr>
              <w:ind w:left="1920"/>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6"/>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w:t>
            </w:r>
          </w:p>
        </w:tc>
        <w:tc>
          <w:tcPr>
            <w:tcW w:w="1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10,970</w:t>
            </w:r>
          </w:p>
        </w:tc>
        <w:tc>
          <w:tcPr>
            <w:tcW w:w="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Trade name</w:t>
            </w:r>
          </w:p>
        </w:tc>
        <w:tc>
          <w:tcPr>
            <w:tcW w:w="19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intangible assets acquired in the NetNearU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18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NetNearU has developed a comprehensive network management system for Wi-Fi and other internet access networks that the Company expects to use to extend the Company’s Exede</w:t>
      </w:r>
      <w:r>
        <w:rPr>
          <w:rFonts w:ascii="Arial" w:cs="Arial" w:eastAsia="Arial" w:hAnsi="Arial"/>
          <w:sz w:val="13"/>
          <w:szCs w:val="13"/>
          <w:color w:val="auto"/>
        </w:rPr>
        <w:t>®</w:t>
      </w:r>
      <w:r>
        <w:rPr>
          <w:rFonts w:ascii="Arial" w:cs="Arial" w:eastAsia="Arial" w:hAnsi="Arial"/>
          <w:sz w:val="16"/>
          <w:szCs w:val="16"/>
          <w:color w:val="auto"/>
        </w:rPr>
        <w:t xml:space="preserve"> broadband services to a wider subscriber base in multiple markets, including commercial airlines, live events, hospitality, enterprise networking and government broadband projects. NetNearU’s primary operations currently support government applications with the potential for future expansion into commercial applications. These current benefits and additional opportunities were among the factors that were taken into account in setting the purchase price and contributed to the recognition of preliminary estimated goodwill, which was recorded within the Company’s government systems segment. The intangible assets and goodwill recognized are not deductible for federal income tax purposes.</w:t>
      </w:r>
    </w:p>
    <w:p>
      <w:pPr>
        <w:spacing w:after="0" w:line="165"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The consolidated financial statements include the operating results of NetNearU from the date of acquisition. Pro forma results of operations have not been presented because the effect of the acquisition was insignificant to the financial statements for all periods presented.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satellite-based broadband services to consumers, enterprises and mobile broadband customers primarily in the United States. The Company’s commercial networks segment develops advanced end-to-end satellite and wireless communication systems, ground networking equipment and products, some of which are ultimately used by the Company’s satellite services segment. The Company’s government systems segment develops and produces network-centric, internet protocol (IP)-based fixed and mobile secure government communications systems, network management systems, products, services and solutions and provides global mobile broadband service and product offerings.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three and nine months ended December 31, 2015 and January 2, 2015 were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4"/>
              </w:rPr>
              <w:t>Nine Months Ended</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5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6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 (1)</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6,453</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6,149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19,105</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700"/>
              <w:spacing w:after="0"/>
              <w:rPr>
                <w:sz w:val="20"/>
                <w:szCs w:val="20"/>
                <w:color w:val="auto"/>
              </w:rPr>
            </w:pPr>
            <w:r>
              <w:rPr>
                <w:rFonts w:ascii="Arial" w:cs="Arial" w:eastAsia="Arial" w:hAnsi="Arial"/>
                <w:sz w:val="18"/>
                <w:szCs w:val="18"/>
                <w:color w:val="auto"/>
              </w:rPr>
              <w:t>Service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134,751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117,683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394,700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342,015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123,832</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413,805</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49,617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79,832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173,111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700"/>
              <w:spacing w:after="0"/>
              <w:rPr>
                <w:sz w:val="20"/>
                <w:szCs w:val="20"/>
                <w:color w:val="auto"/>
              </w:rPr>
            </w:pPr>
            <w:r>
              <w:rPr>
                <w:rFonts w:ascii="Arial" w:cs="Arial" w:eastAsia="Arial" w:hAnsi="Arial"/>
                <w:sz w:val="18"/>
                <w:szCs w:val="18"/>
                <w:color w:val="auto"/>
              </w:rPr>
              <w:t>Service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4,178</w:t>
            </w:r>
          </w:p>
        </w:tc>
        <w:tc>
          <w:tcPr>
            <w:tcW w:w="2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15,440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55,426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84,010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188,551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Product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100,220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88,318</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296,082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700"/>
              <w:spacing w:after="0"/>
              <w:rPr>
                <w:sz w:val="20"/>
                <w:szCs w:val="20"/>
                <w:color w:val="auto"/>
              </w:rPr>
            </w:pPr>
            <w:r>
              <w:rPr>
                <w:rFonts w:ascii="Arial" w:cs="Arial" w:eastAsia="Arial" w:hAnsi="Arial"/>
                <w:sz w:val="18"/>
                <w:szCs w:val="18"/>
                <w:color w:val="auto"/>
              </w:rPr>
              <w:t>Service</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50,909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43,393</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147,029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151,129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131,711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443,111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Elimination of intersegment revenues</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347,759</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339,553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1,045,467</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1,017,782</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Satellite services (2)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21,772</w:t>
            </w: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10,421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59,849</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Commercial networks</w:t>
            </w:r>
          </w:p>
        </w:tc>
        <w:tc>
          <w:tcPr>
            <w:tcW w:w="3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(29,889)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(7,558)</w:t>
            </w:r>
          </w:p>
        </w:tc>
        <w:tc>
          <w:tcPr>
            <w:tcW w:w="2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(70,928)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 systems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22,763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19,966</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58,362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tcPr>
          <w:p>
            <w:pPr>
              <w:ind w:left="340"/>
              <w:spacing w:after="0" w:line="201" w:lineRule="exact"/>
              <w:rPr>
                <w:sz w:val="20"/>
                <w:szCs w:val="20"/>
                <w:color w:val="auto"/>
              </w:rPr>
            </w:pPr>
            <w:r>
              <w:rPr>
                <w:rFonts w:ascii="Arial" w:cs="Arial" w:eastAsia="Arial" w:hAnsi="Arial"/>
                <w:sz w:val="18"/>
                <w:szCs w:val="18"/>
                <w:color w:val="auto"/>
              </w:rPr>
              <w:t>Elimination of intersegment operating</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profits</w:t>
            </w:r>
          </w:p>
        </w:tc>
        <w:tc>
          <w:tcPr>
            <w:tcW w:w="320" w:type="dxa"/>
            <w:vAlign w:val="bottom"/>
          </w:tcPr>
          <w:p>
            <w:pPr>
              <w:spacing w:after="0"/>
              <w:rPr>
                <w:sz w:val="20"/>
                <w:szCs w:val="20"/>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operating profit before corporate and</w:t>
            </w: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14,646</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22,829</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47,283</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11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acquired intangible assets</w:t>
            </w:r>
          </w:p>
        </w:tc>
        <w:tc>
          <w:tcPr>
            <w:tcW w:w="3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(4,261)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(4,651)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(13,338)</w:t>
            </w: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18,178</w:t>
            </w:r>
          </w:p>
        </w:tc>
        <w:tc>
          <w:tcPr>
            <w:tcW w:w="6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0" w:hanging="452"/>
        <w:spacing w:after="0" w:line="256"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revenues in the satellite services segment for the three and nine months ended December 31, 2015 included $6.4 million and $18.8 million, respectively, and for the three and nine months ended January 2, 2015 included $6.0 million and $27.0 million, respectively, relating to amounts realized under the Settlement Agreement. See Note 8.</w:t>
      </w:r>
    </w:p>
    <w:p>
      <w:pPr>
        <w:ind w:left="460" w:hanging="452"/>
        <w:spacing w:after="0" w:line="255"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profits for the satellite services segment for the three and nine months ended December 31, 2015 included $6.4 million and $18.8 million, respectively, and for the three and nine months ended January 2, 2015 included $6.0 million and $45.7 million, respectively, relating to amounts realized under the Settlement Agreement. See Note 8.</w:t>
      </w:r>
    </w:p>
    <w:p>
      <w:pPr>
        <w:spacing w:after="0" w:line="1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9" w:right="5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December 31, 2015 and April 3, 2015 were as follows:</w:t>
      </w:r>
    </w:p>
    <w:p>
      <w:pPr>
        <w:spacing w:after="0" w:line="15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6"/>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100" w:type="dxa"/>
            <w:vAlign w:val="bottom"/>
            <w:gridSpan w:val="3"/>
          </w:tcPr>
          <w:p>
            <w:pPr>
              <w:ind w:left="22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April 3,</w:t>
            </w: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4"/>
          </w:tcPr>
          <w:p>
            <w:pPr>
              <w:jc w:val="right"/>
              <w:ind w:right="516"/>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Satellite services</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59,419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63,790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networks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Government systems</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289,588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554,371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Corporate assets</w:t>
            </w:r>
          </w:p>
        </w:tc>
        <w:tc>
          <w:tcPr>
            <w:tcW w:w="2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1,782,062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1,604,007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2,336,058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2,158,378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acquired intangible assets, net and goodwill included in segment assets as of December 31, 2015 and April 3, 2015 were as follows:</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gridSpan w:val="7"/>
          </w:tcPr>
          <w:p>
            <w:pPr>
              <w:jc w:val="center"/>
              <w:ind w:right="900"/>
              <w:spacing w:after="0"/>
              <w:rPr>
                <w:sz w:val="20"/>
                <w:szCs w:val="20"/>
                <w:color w:val="auto"/>
              </w:rPr>
            </w:pPr>
            <w:r>
              <w:rPr>
                <w:rFonts w:ascii="Arial" w:cs="Arial" w:eastAsia="Arial" w:hAnsi="Arial"/>
                <w:sz w:val="14"/>
                <w:szCs w:val="14"/>
                <w:b w:val="1"/>
                <w:bCs w:val="1"/>
                <w:color w:val="auto"/>
                <w:w w:val="94"/>
              </w:rPr>
              <w:t>Other Acquired Intangible</w:t>
            </w:r>
          </w:p>
        </w:tc>
        <w:tc>
          <w:tcPr>
            <w:tcW w:w="280" w:type="dxa"/>
            <w:vAlign w:val="bottom"/>
          </w:tcPr>
          <w:p>
            <w:pPr>
              <w:spacing w:after="0"/>
              <w:rPr>
                <w:sz w:val="14"/>
                <w:szCs w:val="14"/>
                <w:color w:val="auto"/>
              </w:rPr>
            </w:pPr>
          </w:p>
        </w:tc>
        <w:tc>
          <w:tcPr>
            <w:tcW w:w="1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86"/>
              </w:rPr>
              <w:t>Assets, Net</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3"/>
          </w:tcPr>
          <w:p>
            <w:pPr>
              <w:ind w:left="160"/>
              <w:spacing w:after="0" w:line="119"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As of</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20" w:type="dxa"/>
            <w:vAlign w:val="bottom"/>
            <w:gridSpan w:val="2"/>
          </w:tcPr>
          <w:p>
            <w:pPr>
              <w:jc w:val="right"/>
              <w:ind w:right="960"/>
              <w:spacing w:after="0" w:line="119"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As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72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April 3, 2015</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(In thousands)</w:t>
            </w:r>
          </w:p>
        </w:tc>
        <w:tc>
          <w:tcPr>
            <w:tcW w:w="8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17,873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9,809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Commercial networks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1,443</w:t>
            </w:r>
          </w:p>
        </w:tc>
        <w:tc>
          <w:tcPr>
            <w:tcW w:w="2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43,937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43,994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23,024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63,440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63,438</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42,340</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117,186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nine months ended December 31, 2015 and January 2, 2015 was as follows:</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18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7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2015</w:t>
            </w: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 2015</w:t>
            </w:r>
          </w:p>
        </w:tc>
        <w:tc>
          <w:tcPr>
            <w:tcW w:w="10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gridSpan w:val="3"/>
          </w:tcPr>
          <w:p>
            <w:pPr>
              <w:ind w:left="50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2,765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8,018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Commercial networks</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18"/>
                <w:szCs w:val="18"/>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1,957</w:t>
            </w: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1,517</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3,683</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3,959</w:t>
            </w:r>
          </w:p>
        </w:tc>
      </w:tr>
      <w:tr>
        <w:trPr>
          <w:trHeight w:val="209"/>
        </w:trPr>
        <w:tc>
          <w:tcPr>
            <w:tcW w:w="4000" w:type="dxa"/>
            <w:vAlign w:val="bottom"/>
          </w:tcPr>
          <w:p>
            <w:pPr>
              <w:spacing w:after="0"/>
              <w:rPr>
                <w:sz w:val="20"/>
                <w:szCs w:val="20"/>
                <w:color w:val="auto"/>
              </w:rPr>
            </w:pPr>
            <w:r>
              <w:rPr>
                <w:rFonts w:ascii="Arial" w:cs="Arial" w:eastAsia="Arial" w:hAnsi="Arial"/>
                <w:sz w:val="18"/>
                <w:szCs w:val="18"/>
                <w:color w:val="auto"/>
              </w:rPr>
              <w:t>Total amortization of acquired intangible</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assets</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4,261</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4,651</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13,658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13,338</w:t>
            </w:r>
          </w:p>
        </w:tc>
      </w:tr>
      <w:tr>
        <w:trPr>
          <w:trHeight w:val="20"/>
        </w:trPr>
        <w:tc>
          <w:tcPr>
            <w:tcW w:w="4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w:t>
      </w:r>
    </w:p>
    <w:p>
      <w:pPr>
        <w:spacing w:after="0" w:line="121" w:lineRule="exact"/>
        <w:rPr>
          <w:sz w:val="20"/>
          <w:szCs w:val="20"/>
          <w:color w:val="auto"/>
        </w:rPr>
      </w:pPr>
    </w:p>
    <w:p>
      <w:pPr>
        <w:ind w:right="1060" w:firstLine="456"/>
        <w:spacing w:after="0" w:line="277" w:lineRule="auto"/>
        <w:rPr>
          <w:sz w:val="20"/>
          <w:szCs w:val="20"/>
          <w:color w:val="auto"/>
        </w:rPr>
      </w:pPr>
      <w:r>
        <w:rPr>
          <w:rFonts w:ascii="Arial" w:cs="Arial" w:eastAsia="Arial" w:hAnsi="Arial"/>
          <w:sz w:val="18"/>
          <w:szCs w:val="18"/>
          <w:color w:val="auto"/>
        </w:rPr>
        <w:t>In January 2016, the Company entered into an additional launch services agreement with a third party for one satellite for approximately $115.0 million.</w:t>
      </w:r>
    </w:p>
    <w:p>
      <w:pPr>
        <w:spacing w:after="0" w:line="17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February 2016, the Company also entered into a framework and subscription agreement (the Framework Agreement) with Eutelsat S.A. (together with its affiliates, Eutelsat), pursuant to which the Company and Eutelsat have agreed to enter into a strategic partnering arrangement to own and operate satellite broadband infrastructure and equipment and provide broadband services and products in the European region. Under the Framework Agreement, Eutelsat will contribute and transfer to a newly formed subsidiary of Eutelsat assets relating to Eutelsat’s existing wholesale satellite broadband business (including its KA-SAT</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satellite), the Company will purchase 49% of the issued and outstanding shares of the entity from Eutelsat for approximately €132.5 million and Eutelsat will purchase 49% of the issued and outstanding shares of a second newly formed subsidiary of ViaSat (which under the partnering arrangement will provide retail satellite-based broadband internet services in the European region) for an immaterial amount. Also at the closing, the Company and Eutelsat will enter into shareholders’ agreements with respect to the ownership, management and operation of the two entities. The closing of the transactions under the Framework Agreement is subject to customary conditions, including the receipt of required regulatory approvals and third-party consents. The Company currently anticipates that the closing will occur in the first quarter of fiscal year 2017. The Company intends to finance the purchase price for the 49% interest in the Eutelsat subsidiary using borrowings under the Revolving Credit Facility.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98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456"/>
        <w:spacing w:after="0" w:line="28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the development, customer acceptance and anticipated performance of technologies, products or services; satellite construction and launch activities; the performance and anticipated benefits of our ViaSat-2 and ViaSat-3 class satellites and any future satellite we may construct or acquire; the expected capacity, service, coverage, service speeds and other features of our satellites, and the timing, cost, economics and other benefits associated therewith; anticipated subscriber growth; our proposed strategic partnering arrangement with Eutelsat S.A. (together with its affiliates, Eutelsat) and the timing, costs, economics and other benefits associated therewith;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and ViaSat-3 class satellites and any future satellite we may construct or acquire; unexpected expenses related to our satellite projects; our ability to consummate our proposed strategic partnering arrangement with Eutelsat and to realize the anticipated benefits of the strategic partnering arrangement; our ability to successfully implement our business plan for our broadband services on our anticipated timeline or at all; risks associated with the construction, launch and operation of satellites, including the effect of any anomaly, operational failure or degradation in satellite performance; our ability to successfully develop, introduce and sell new technologies, products and services; negative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April 3, 2015,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an innovator in broadband technologies and services, including satellite and wireless networking applications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May 4, 2015, our Board of Directors approved a change in our fiscal year from a 52 or 53 week fiscal year ending on the Friday closest to March 31 to a fiscal year ending on March 31 of each year, effective with the fiscal year commencing April 4, 2015. Beginning April 4, 2015, our fiscal quarters end on June 30, September 30, December 31, and March 31 of each year. Our fiscal quarters for fiscal year 2015 ended on July 4, 2014, October 3, 2014, January 2, 2015 and April 3, 2015.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During the first quarter of fiscal year 2016, we completed the acquisition of Engreen Inc. (Engreen), a privately held company focused on network function virtualization, for approximately $5.3 million (of which $1.0 million has been withheld as security for any indemnifiable damages), recorded within our commercial networks segment. During the first quarter of fiscal year 2015, we completed the acquisition of NetNearU Corp. (NetNearU), a privately held company that has developed a comprehensive network management system for Wi-Fi and other internet access networks, for approximately $60.2 million, recorded within our government systems segment.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Our satellite services segment provides satellite-based broadband services to consumers, enterprises and mobile broadband customers primarily in the United States. Our Exede</w:t>
      </w:r>
      <w:r>
        <w:rPr>
          <w:rFonts w:ascii="Arial" w:cs="Arial" w:eastAsia="Arial" w:hAnsi="Arial"/>
          <w:sz w:val="14"/>
          <w:szCs w:val="14"/>
          <w:color w:val="auto"/>
        </w:rPr>
        <w:t>®</w:t>
      </w:r>
      <w:r>
        <w:rPr>
          <w:rFonts w:ascii="Arial" w:cs="Arial" w:eastAsia="Arial" w:hAnsi="Arial"/>
          <w:sz w:val="17"/>
          <w:szCs w:val="17"/>
          <w:color w:val="auto"/>
        </w:rPr>
        <w:t xml:space="preserve"> broadband services offer high-quality, high-speed broadband internet access across the contiguous United States. Our satellite services business also provides a platform for the provision of network management services to domestic and international satellite service providers. In May 2013, we entered into a satellite construction contract for ViaSat-2, our second high-capacity Ka-band satellite.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31" w:lineRule="exact"/>
        <w:rPr>
          <w:sz w:val="20"/>
          <w:szCs w:val="20"/>
          <w:color w:val="auto"/>
        </w:rPr>
      </w:pPr>
    </w:p>
    <w:p>
      <w:pPr>
        <w:ind w:left="900" w:right="12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Retail and wholesale broadband services offered to consumers and businesses under the Exede and WildBlue</w:t>
      </w:r>
      <w:r>
        <w:rPr>
          <w:rFonts w:ascii="Arial" w:cs="Arial" w:eastAsia="Arial" w:hAnsi="Arial"/>
          <w:sz w:val="15"/>
          <w:szCs w:val="15"/>
          <w:color w:val="auto"/>
        </w:rPr>
        <w:t>®</w:t>
      </w:r>
      <w:r>
        <w:rPr>
          <w:rFonts w:ascii="Arial" w:cs="Arial" w:eastAsia="Arial" w:hAnsi="Arial"/>
          <w:sz w:val="18"/>
          <w:szCs w:val="18"/>
          <w:color w:val="auto"/>
        </w:rPr>
        <w:t xml:space="preserve"> brands, which provide two-way satellite-based broadband internet access and Voice over Internet Protocol (VoIP). As of December 31, 2015, we provided broadband services to approximately 687,000 subscribers.</w:t>
      </w:r>
    </w:p>
    <w:p>
      <w:pPr>
        <w:spacing w:after="0" w:line="86"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Enterprise broadband services, which include in-flight internet services (including our flagship Exede In The Air service), live on-line event streaming, oil and natural gas data gathering services and high definition satellite news gathering. As of December 31, 2015, 446 commercial aircraft were in service utilizing our Exede in-flight internet service.</w:t>
      </w:r>
    </w:p>
    <w:p>
      <w:pPr>
        <w:spacing w:after="0" w:line="86"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Mobile broadband services, which provide global network management and high-speed internet connectivity services for customers using airborne, maritime and ground-mobile satellite systems.</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2014, we entered into a settlement agreement (the Settlement Agreement) with Space Systems/Loral, Inc. (SS/L) and its former parent company Loral Space &amp; Communications, Inc. (Loral), pursuant to which SS/L and Loral are required to pay us a total of $108.7 million, inclusive of interest, over a two and a half year period from the date of settlement. In exchange, we dismissed both lawsuits against SS/L and Loral. The parties further agreed not to sue each other with respect to the patents and intellectual property that were the subject of the lawsuits and, for a period of two years, not to sue each other or each other’s customers for any intellectual property claims. We record payments under the Settlement Agreement as product revenues and as a reduction of selling, general and administrative (SG&amp;A) expenses in our satellite services segment, and as interest income. For further information, see Note 8 to the condensed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networks segment develops and produces a variety of advanced end-to-end satellite and wireless communication systems, ground networking equipment and products. We design and build customized satellite communication systems capable of serving a variety of markets and applications. In addition, we offer an array of ground networking equipment and products, including customer premise equipment (CPE), satellite modems, antenna technologies, earth stations and satellite networking hubs. Our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17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communication systems, ground networking equipment and products cater to a wide range of domestic and international commercial customers and include:</w:t>
      </w:r>
    </w:p>
    <w:p>
      <w:pPr>
        <w:spacing w:after="0" w:line="76" w:lineRule="exact"/>
        <w:rPr>
          <w:sz w:val="20"/>
          <w:szCs w:val="20"/>
          <w:color w:val="auto"/>
        </w:rPr>
      </w:pPr>
    </w:p>
    <w:p>
      <w:pPr>
        <w:ind w:left="9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satellite networks, including next-generation satellite network infrastructure and ground terminals to access Ka-band broadband services on high-capacity satellites.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earth stations and other multi-band antennas.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31" w:lineRule="exact"/>
        <w:rPr>
          <w:sz w:val="20"/>
          <w:szCs w:val="20"/>
          <w:color w:val="auto"/>
        </w:rPr>
      </w:pPr>
    </w:p>
    <w:p>
      <w:pPr>
        <w:ind w:left="900" w:right="3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mobile broadband service and product offerings, which provide military and government users with two-way mobile broadband connectivity via satellite in key regions of the world.</w:t>
      </w:r>
    </w:p>
    <w:p>
      <w:pPr>
        <w:spacing w:after="0" w:line="75" w:lineRule="exact"/>
        <w:rPr>
          <w:rFonts w:ascii="Arial" w:cs="Arial" w:eastAsia="Arial" w:hAnsi="Arial"/>
          <w:sz w:val="18"/>
          <w:szCs w:val="18"/>
          <w:color w:val="auto"/>
        </w:rPr>
      </w:pPr>
    </w:p>
    <w:p>
      <w:pPr>
        <w:ind w:left="900" w:right="220" w:hanging="325"/>
        <w:spacing w:after="0" w:line="27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satellite networking services, network management systems for Wi-Fi and other internet access networks, and global mobile broadband capability, and include products designed for manpacks, aircraft, unmanned aerial vehicles (UAVs), seagoing vessels, ground mobile vehicles and fixed applications.</w:t>
      </w:r>
    </w:p>
    <w:p>
      <w:pPr>
        <w:spacing w:after="0" w:line="77" w:lineRule="exact"/>
        <w:rPr>
          <w:rFonts w:ascii="Arial" w:cs="Arial" w:eastAsia="Arial" w:hAnsi="Arial"/>
          <w:sz w:val="17"/>
          <w:szCs w:val="17"/>
          <w:color w:val="auto"/>
        </w:rPr>
      </w:pPr>
    </w:p>
    <w:p>
      <w:pPr>
        <w:ind w:left="900" w:right="160" w:hanging="325"/>
        <w:spacing w:after="0" w:line="28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Information security and assurance products and secure networking solutions, which provide advanced, high-speed IP-based “Type 1” and High Assurance Internet Protocol Encryption (HAIPE</w:t>
      </w:r>
      <w:r>
        <w:rPr>
          <w:rFonts w:ascii="Arial" w:cs="Arial" w:eastAsia="Arial" w:hAnsi="Arial"/>
          <w:sz w:val="14"/>
          <w:szCs w:val="14"/>
          <w:color w:val="auto"/>
        </w:rPr>
        <w:t>®</w:t>
      </w:r>
      <w:r>
        <w:rPr>
          <w:rFonts w:ascii="Arial" w:cs="Arial" w:eastAsia="Arial" w:hAnsi="Arial"/>
          <w:sz w:val="17"/>
          <w:szCs w:val="17"/>
          <w:color w:val="auto"/>
        </w:rPr>
        <w:t>)-compliant encryption solutions that enable military and government users to communicate information securely over networks, and that secure data stored on computers and storage devices.</w:t>
      </w:r>
    </w:p>
    <w:p>
      <w:pPr>
        <w:spacing w:after="0" w:line="70" w:lineRule="exact"/>
        <w:rPr>
          <w:rFonts w:ascii="Arial" w:cs="Arial" w:eastAsia="Arial" w:hAnsi="Arial"/>
          <w:sz w:val="17"/>
          <w:szCs w:val="17"/>
          <w:color w:val="auto"/>
        </w:rPr>
      </w:pPr>
    </w:p>
    <w:p>
      <w:pPr>
        <w:ind w:left="900" w:right="40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products in our commercial networks and government systems segments are provided primarily through three types of contracts: fixed-price, time-and-materials and cost-reimbursement contracts. Fixed-price contracts (which require us to provide products and services under a contract at a specified price) comprised approximately 90% of our total revenues for these segments for the three months ended December 31, 2015 and January 2, 2015, and 89% of our total revenues for these segments for the nine months ended December 31, 2015 and January 2, 2015.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79"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Our ability to grow and maintain our revenues in our commercial networks and government systems segments has to date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166"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21% and 22% of our total revenues in the three months ended December 31, 2015 and January 2, 2015, respectively. Revenues for our funded research and development from our customer contracts were approximately 20% and 24% of our total revenues in the nine months ended December 31, 2015 and January 2, 2015,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76" w:lineRule="auto"/>
        <w:rPr>
          <w:sz w:val="20"/>
          <w:szCs w:val="20"/>
          <w:color w:val="auto"/>
        </w:rPr>
      </w:pPr>
      <w:r>
        <w:rPr>
          <w:rFonts w:ascii="Arial" w:cs="Arial" w:eastAsia="Arial" w:hAnsi="Arial"/>
          <w:sz w:val="17"/>
          <w:szCs w:val="17"/>
          <w:color w:val="auto"/>
        </w:rPr>
        <w:t>We also incur independent research and development (IR&amp;D) expenses, which are not directly funded by a third-party. IR&amp;D expenses consist primarily of salaries and other personnel-related expenses, supplies, prototype materials, testing and certification related to research and development projects. IR&amp;D expenses were approximately 6% and 4% of total revenues during the three months ended December 31, 2015 and January 2, 2015, respectively, and approximately 5% and 3% of total revenues during the nine months ended December 31, 2015 and January 2, 2015, respectively. As a government contractor, we are able to recover a portion of our IR&amp;D expenses pursuant to our government contracts.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54"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December 31, 2015 and January 2, 2015, we recorded losses of approximately $0.4 million and $0.3 million, respectively, related to loss contracts. During the nine months ended December 31, 2015 and January 2, 2015, we recorded losses of approximately $2.1 million and $0.4 million, respectively, related to loss contracts.</w:t>
      </w:r>
    </w:p>
    <w:p>
      <w:pPr>
        <w:spacing w:after="0" w:line="18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December 31, 2015 would change our income before income taxes by approximately $0.5 million.</w:t>
      </w:r>
    </w:p>
    <w:p>
      <w:pPr>
        <w:spacing w:after="0" w:line="17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8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6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To determine the selling price in multiple-element arrangements, we establish VSOE of the selling price using the price charged for a deliverable when sold separately. We also consider specific renewal rates offered to customers for software license updates, product support and hardware systems support, and other services.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volume commitments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8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accrued liabilities and amounts expected to be incurred beyond twelve months are classified as other liabilities in the consolidated financial statements.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own two satellites: ViaSat-1 (our first-generation high-capacity Ka-band spot-beam satellite, which was placed into service in January 2012) and WildBlue-1 (which was placed into service in March 2007). In May 2013, we entered into a satellite construction contract for ViaSat-2, our second-generation high-capacity Ka-band satellite. In addition, we have an exclusive prepaid lifetime capital lease of Ka-band capacity over the contiguous United States on Telesat Canada’s Anik F2 satellite (which was placed into service in April 2005) and own related earth stations and networking equipment for all of our satellites. Property and equipment also includes the indoor and outdoor customer premise equipment (CPE) units leased to subscribers under a retail leasing program as part of our satellite services segment.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nine months ended December 31, 2015 and January 2, 2015.</w:t>
      </w:r>
    </w:p>
    <w:p>
      <w:pPr>
        <w:spacing w:after="0" w:line="17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We account for our goodwill under the authoritative guidance for goodwill and other intangible assets (ASC 350) and the provisions of ASU 2011-08, Testing Goodwill for Impairment, which simplifies how we test goodwill for impairment. Current authoritative guidance allows us to first assess qualitative factors to determine whether it is necessary to perform the two-step quantitative goodwill impairment test. If, after completing the qualitative assessment, we determine that it is more likely than not that the estimated fair value is greater than the carrying value, we conclude that no impairment exists. If it is more likely than not that the carrying value of the reporting unit exceeds its estimated fair value, we compare the fair value of the reporting unit to its carrying value.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8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8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Based on our qualitative assessment performed during the fourth quarter of fiscal year 2015, we concluded that it was more likely than not that the estimated fair value of our reporting units exceeded their carrying value as of April 3, 2015 and, therefore, determined it was not necessary to perform the two-step goodwill impairment test.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 Our valuation allowance against deferred tax assets increased from $15.6 million at April 3, 2015 to $16.3 million at December 31, 2015. The valuation allowance primarily relates to state net operating loss carryforwards and research and development tax credit carryforwards available to reduce state income taxes.</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90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4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20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70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200" w:type="dxa"/>
            <w:vAlign w:val="bottom"/>
          </w:tcPr>
          <w:p>
            <w:pPr>
              <w:spacing w:after="0"/>
              <w:rPr>
                <w:sz w:val="10"/>
                <w:szCs w:val="10"/>
                <w:color w:val="auto"/>
              </w:rPr>
            </w:pPr>
          </w:p>
        </w:tc>
      </w:tr>
      <w:tr>
        <w:trPr>
          <w:trHeight w:val="171"/>
        </w:trPr>
        <w:tc>
          <w:tcPr>
            <w:tcW w:w="5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Product revenues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44.9</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51.3</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46.7</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52.7</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revenues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55.1</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48.7</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53.3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product revenues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32.7</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36.4</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34.0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Cost of service revenues</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35.6</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32.5</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35.0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22.0</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20.8</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r>
      <w:tr>
        <w:trPr>
          <w:trHeight w:val="216"/>
        </w:trPr>
        <w:tc>
          <w:tcPr>
            <w:tcW w:w="5200" w:type="dxa"/>
            <w:vAlign w:val="bottom"/>
          </w:tcPr>
          <w:p>
            <w:pPr>
              <w:ind w:left="360"/>
              <w:spacing w:after="0"/>
              <w:rPr>
                <w:sz w:val="20"/>
                <w:szCs w:val="20"/>
                <w:color w:val="auto"/>
              </w:rPr>
            </w:pPr>
            <w:r>
              <w:rPr>
                <w:rFonts w:ascii="Arial" w:cs="Arial" w:eastAsia="Arial" w:hAnsi="Arial"/>
                <w:sz w:val="18"/>
                <w:szCs w:val="18"/>
                <w:color w:val="auto"/>
              </w:rPr>
              <w:t>Independent research and development</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5.5</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3.5</w:t>
            </w: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5.3</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acquired intangible assets</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4.4</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right="4940"/>
        <w:spacing w:after="0" w:line="407" w:lineRule="auto"/>
        <w:rPr>
          <w:sz w:val="20"/>
          <w:szCs w:val="20"/>
          <w:color w:val="auto"/>
        </w:rPr>
      </w:pPr>
      <w:r>
        <w:rPr>
          <w:rFonts w:ascii="Arial" w:cs="Arial" w:eastAsia="Arial" w:hAnsi="Arial"/>
          <w:sz w:val="18"/>
          <w:szCs w:val="18"/>
          <w:b w:val="1"/>
          <w:bCs w:val="1"/>
          <w:color w:val="auto"/>
        </w:rPr>
        <w:t xml:space="preserve">Three Months Ended December 31, 2015 vs. Three Months Ended January 2, 2015 </w:t>
      </w:r>
      <w:r>
        <w:rPr>
          <w:rFonts w:ascii="Arial" w:cs="Arial" w:eastAsia="Arial" w:hAnsi="Arial"/>
          <w:sz w:val="18"/>
          <w:szCs w:val="18"/>
          <w:i w:val="1"/>
          <w:iCs w:val="1"/>
          <w:color w:val="auto"/>
        </w:rPr>
        <w:t>Revenues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0"/>
                <w:szCs w:val="10"/>
                <w:color w:val="auto"/>
              </w:rPr>
            </w:pPr>
          </w:p>
        </w:tc>
        <w:tc>
          <w:tcPr>
            <w:tcW w:w="11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total revenues increased by $8.2 million as a result of a $26.2 million increase in service revenues, partially offset by a $18.0 million decrease in product revenues. The service revenue increase was driven primarily by increases of $17.1 million in our satellite services segment and $7.5 million in our government systems segment. The product revenue decrease was driven by a decrease of $30.2 million in our commercial networks segment, partially offset by an increase of $11.9 million in our government systems segment.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5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8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Cost of revenues increased by $3.7 million due to a $13.5 million increase in cost of service revenues, partially offset by a decrease in cost of product revenues of $9.9 million. The cost of service revenues increase was primarily due to increased service revenues, which generated a $17.5 million increase in cost of service revenues on a constant margin basis. This increase mainly related to our Exede broadband services and in-flight internet services in our satellite services segment, partially offset by improved margins from our Exede broadband services resulting from the higher number of Exede subscribers compared to the prior year period and resultant scale in revenues, as well as higher value service plan offerings compared to the prior year period. The cost of product revenues decrease was primarily due to decreased revenues, causing a $12.8 million decrease in cost of product revenues on a constant margin basis. This cost of product revenues decrease mainly related to our fixed satellite networks (driven by consumer broadband products) and our antenna systems products in our commercial networks segment.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00" w:type="dxa"/>
            <w:vAlign w:val="bottom"/>
            <w:vMerge w:val="restart"/>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620" w:type="dxa"/>
            <w:vAlign w:val="bottom"/>
          </w:tcPr>
          <w:p>
            <w:pPr>
              <w:spacing w:after="0"/>
              <w:rPr>
                <w:sz w:val="10"/>
                <w:szCs w:val="10"/>
                <w:color w:val="auto"/>
              </w:rPr>
            </w:pPr>
          </w:p>
        </w:tc>
        <w:tc>
          <w:tcPr>
            <w:tcW w:w="126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12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$5.4 million increase in SG&amp;A expenses was attributable to higher support costs of $7.4 million primarily relating to our commercial networks segment and satellite services segment. This increase was partially offset by lower selling costs primarily in our satellite services segment. SG&amp;A expenses consisted primarily of personnel costs and expenses for business development, marketing and sales, bid and proposal, facilities, finance, contract administration and general management.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20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4"/>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220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$7.3 million increase in IR&amp;D expenses was primarily the result of increased IR&amp;D efforts in our commercial networks segment of $9.0 million (primarily related to research increases in next-generation satellite payload technologies, next-generation consumer broadband and mobile broadband satellite communication systems), partially offset by a decrease in our government systems segment of $1.8 million primarily due to a decrease in development of next-generation dual-band mobility solutions.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amortize our acquired intangible assets from prior acquisitions over their estimated useful lives, which range from two to ten years. The $0.4 million decrease in amortization of acquired intangible assets in the third quarter of fiscal year 2016 compared to the prior year period was the result of certain acquired contract and customer relationship intangibles in our satellite services segment becoming fully amortized over the preceding twelve months. Current and expected amortization expense for acquired intangible assets for each of the following periods is as follows:</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 the nine months ended December 31, 2015</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CCEEFF"/>
          </w:tcPr>
          <w:p>
            <w:pPr>
              <w:spacing w:after="0"/>
              <w:rPr>
                <w:sz w:val="18"/>
                <w:szCs w:val="18"/>
                <w:color w:val="auto"/>
              </w:rPr>
            </w:pPr>
          </w:p>
        </w:tc>
      </w:tr>
      <w:tr>
        <w:trPr>
          <w:trHeight w:val="324"/>
        </w:trPr>
        <w:tc>
          <w:tcPr>
            <w:tcW w:w="6760" w:type="dxa"/>
            <w:vAlign w:val="bottom"/>
          </w:tcPr>
          <w:p>
            <w:pPr>
              <w:spacing w:after="0"/>
              <w:rPr>
                <w:sz w:val="20"/>
                <w:szCs w:val="20"/>
                <w:color w:val="auto"/>
              </w:rPr>
            </w:pPr>
            <w:r>
              <w:rPr>
                <w:rFonts w:ascii="Arial" w:cs="Arial" w:eastAsia="Arial" w:hAnsi="Arial"/>
                <w:sz w:val="18"/>
                <w:szCs w:val="18"/>
                <w:color w:val="auto"/>
              </w:rPr>
              <w:t>Expected for the remainder of fiscal year 2016</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4"/>
                <w:szCs w:val="24"/>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The $0.3 million decrease in interest income in the three months ended December 31, 2015 compared to the prior year period was primarily due to the decrease in the amount of payments under the Settlement Agreement recognized as interest income in the current year period.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$1.6 million decrease in interest expense in the three months ended December 31, 2015 compared to the prior year period was primarily due to an increase of $3.6 million in the amount of interest capitalized during the third quarter of fiscal year 2016 compared to the same period last fiscal year. This decrease was partially offset by increased interest expense due to the overall higher amount of outstanding borrowings during the three months ended December 31, 2015 compared to the prior year period. Capitalized interest expense during the three months ended December 31, 2015 and January 2, 2015 related to the construction of ViaSat-2 and other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income taxes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currently estimate our annual effective income tax rate to be approximately 10.3% for fiscal year 2016. For the three months ended December 31, 2015 and January 2, 2015, we recorded an income tax benefit of $5.1 million and $3.4 million, respectively. The income tax benefit for the three months ended December 31, 2015 was greater than the income tax benefit for the three months ended January 2, 2015, due primarily to lower pre-tax earnings during the three months ended December 31, 2015 compared to the three months ended January 2, 2015. The Protecting Americans from Tax Hikes (PATH) Act of 2015 enacted on December 18, 2015 extended the research and development credit permanently, retroactive to January 2015. In the first two quarters of fiscal year 2016, our estimated annual effective income tax rate did not include the effect of the extension of the research and development tax credit, which resulted in an adjustment of approximately $4.3 million in tax benefits in the third quarter of fiscal year 2016. Also as a result of the extension of the research and development tax credit, approximately $2.1 million of research and development credit generated in the fourth quarter of fiscal year 2015 was recognized as a discrete tax benefit in the third quarter of fiscal year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December 31, 2015 vs. Three Months Ended January 2,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6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580" w:type="dxa"/>
            <w:vAlign w:val="bottom"/>
          </w:tcPr>
          <w:p>
            <w:pPr>
              <w:spacing w:after="0"/>
              <w:rPr>
                <w:sz w:val="10"/>
                <w:szCs w:val="10"/>
                <w:color w:val="auto"/>
              </w:rPr>
            </w:pPr>
          </w:p>
        </w:tc>
        <w:tc>
          <w:tcPr>
            <w:tcW w:w="12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17.1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satellite services segment revenues grew by $17.4 million primarily as a result of a $17.1 million increase in service revenues. The increase in service revenues was primarily driven by an increase in the number of our Exede broadband subscribers compared to the prior year period, as well as higher average revenue per subscriber. Total subscribers grew from approximately 675,000 at January 2, 2015 to approximately 687,000 at December 31, 2015. The service revenue increase also reflected expansion of our in-flight internet services compared to the prior year period, with 446 aircraft in-service as of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80" w:type="dxa"/>
            <w:vAlign w:val="bottom"/>
            <w:vMerge w:val="restart"/>
          </w:tcPr>
          <w:p>
            <w:pPr>
              <w:spacing w:after="0"/>
              <w:rPr>
                <w:sz w:val="10"/>
                <w:szCs w:val="10"/>
                <w:color w:val="auto"/>
              </w:rPr>
            </w:pPr>
          </w:p>
        </w:tc>
        <w:tc>
          <w:tcPr>
            <w:tcW w:w="156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CCEEFF"/>
            </w:tcBorders>
            <w:vMerge w:val="continue"/>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8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21.8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11.4</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15.4%</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increase in our satellite services segment operating profit reflected higher earnings contributions of $10.4 million primarily due to the increase in service revenues.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0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640" w:type="dxa"/>
            <w:vAlign w:val="bottom"/>
          </w:tcPr>
          <w:p>
            <w:pPr>
              <w:spacing w:after="0"/>
              <w:rPr>
                <w:sz w:val="10"/>
                <w:szCs w:val="10"/>
                <w:color w:val="auto"/>
              </w:rPr>
            </w:pPr>
          </w:p>
        </w:tc>
        <w:tc>
          <w:tcPr>
            <w:tcW w:w="13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5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5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6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commercial networks segment revenues decreased by $28.6 million, primarily due to a $30.2 million decrease in product revenues. Of this product revenue decrease, $17.1 million related to fixed satellite networks (reflecting the nearing of completion of our Australian Ka-band infrastructure project and lower terminal sales of consumer broadband products, partially offset by increased revenues from our next-generation Ka-band system contract in Canada). In addition, our antenna systems products revenues decreased $7.2 million, as certain programs move closer to completion, and mobile broadband satellite communication systems products revenues decreased $4.6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760" w:type="dxa"/>
            <w:vAlign w:val="bottom"/>
          </w:tcPr>
          <w:p>
            <w:pPr>
              <w:spacing w:after="0"/>
              <w:rPr>
                <w:sz w:val="10"/>
                <w:szCs w:val="10"/>
                <w:color w:val="auto"/>
              </w:rPr>
            </w:pPr>
          </w:p>
        </w:tc>
        <w:tc>
          <w:tcPr>
            <w:tcW w:w="12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3"/>
              </w:rPr>
              <w:t>2015</w:t>
            </w:r>
          </w:p>
        </w:tc>
        <w:tc>
          <w:tcPr>
            <w:tcW w:w="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(7.6)</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(22.3)</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$22.3 million increase in our commercial networks segment operating loss was driven primarily by a $9.0 million increase in IR&amp;D expenses (primarily due to an increase in IR&amp;D efforts relating to next-generation satellite payload technologies, next-generation consumer broadband and mobile broadband satellite communication systems) and lower earnings contributions of $8.6 million primarily due to the decrease in product revenues. Additionally there was an increase of $4.7 million in support, selling and new business proposal costs.</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6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580" w:type="dxa"/>
            <w:vAlign w:val="bottom"/>
          </w:tcPr>
          <w:p>
            <w:pPr>
              <w:spacing w:after="0"/>
              <w:rPr>
                <w:sz w:val="10"/>
                <w:szCs w:val="10"/>
                <w:color w:val="auto"/>
              </w:rPr>
            </w:pPr>
          </w:p>
        </w:tc>
        <w:tc>
          <w:tcPr>
            <w:tcW w:w="12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government systems segment revenues increased by $19.4 million, due to a $11.9 million increase in product revenues and a $7.5 million increase in service revenues. The product revenue increase was primarily due to a $14.4 million revenue increase in government satellite communication systems (mainly attributable to global mobile broadband and command and control situational awareness) and a $5.1 million revenue increase in tactical data link products. This product revenue increase was partially offset by an $8.4 million decrease in information assurance products revenues. Of the service revenue increase, $3.1 million related to our network management services for Wi-Fi and other internet access networks, $2.0 million related to our information assurance services and $1.6 million related to our government satellite communication systems services.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80" w:type="dxa"/>
            <w:vAlign w:val="bottom"/>
            <w:vMerge w:val="restart"/>
          </w:tcPr>
          <w:p>
            <w:pPr>
              <w:spacing w:after="0"/>
              <w:rPr>
                <w:sz w:val="10"/>
                <w:szCs w:val="10"/>
                <w:color w:val="auto"/>
              </w:rPr>
            </w:pPr>
          </w:p>
        </w:tc>
        <w:tc>
          <w:tcPr>
            <w:tcW w:w="16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3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3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22.8</w:t>
            </w:r>
          </w:p>
        </w:tc>
        <w:tc>
          <w:tcPr>
            <w:tcW w:w="7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20.0</w:t>
            </w:r>
          </w:p>
        </w:tc>
        <w:tc>
          <w:tcPr>
            <w:tcW w:w="4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20"/>
                <w:szCs w:val="20"/>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15.1%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$2.8 million increase in our government systems segment operating profit primarily reflected higher earnings contributions of $2.7 million due to the increase in revenues.</w:t>
      </w:r>
    </w:p>
    <w:p>
      <w:pPr>
        <w:spacing w:after="0" w:line="275" w:lineRule="exact"/>
        <w:rPr>
          <w:sz w:val="20"/>
          <w:szCs w:val="20"/>
          <w:color w:val="auto"/>
        </w:rPr>
      </w:pPr>
    </w:p>
    <w:p>
      <w:pPr>
        <w:ind w:right="5160"/>
        <w:spacing w:after="0" w:line="407" w:lineRule="auto"/>
        <w:rPr>
          <w:sz w:val="20"/>
          <w:szCs w:val="20"/>
          <w:color w:val="auto"/>
        </w:rPr>
      </w:pPr>
      <w:r>
        <w:rPr>
          <w:rFonts w:ascii="Arial" w:cs="Arial" w:eastAsia="Arial" w:hAnsi="Arial"/>
          <w:sz w:val="18"/>
          <w:szCs w:val="18"/>
          <w:b w:val="1"/>
          <w:bCs w:val="1"/>
          <w:color w:val="auto"/>
        </w:rPr>
        <w:t xml:space="preserve">Nine Months Ended December 31, 2015 vs. Nine Months Ended January 2, 2015 </w:t>
      </w:r>
      <w:r>
        <w:rPr>
          <w:rFonts w:ascii="Arial" w:cs="Arial" w:eastAsia="Arial" w:hAnsi="Arial"/>
          <w:sz w:val="18"/>
          <w:szCs w:val="18"/>
          <w:i w:val="1"/>
          <w:iCs w:val="1"/>
          <w:color w:val="auto"/>
        </w:rPr>
        <w:t>Revenues</w:t>
      </w:r>
    </w:p>
    <w:p>
      <w:pPr>
        <w:spacing w:after="0" w:line="7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0"/>
                <w:szCs w:val="10"/>
                <w:color w:val="auto"/>
              </w:rPr>
            </w:pPr>
          </w:p>
        </w:tc>
        <w:tc>
          <w:tcPr>
            <w:tcW w:w="13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8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536.4</w:t>
            </w:r>
          </w:p>
        </w:tc>
        <w:tc>
          <w:tcPr>
            <w:tcW w:w="26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5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557.2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481.4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75.7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40" w:type="dxa"/>
            <w:vAlign w:val="bottom"/>
            <w:gridSpan w:val="2"/>
            <w:shd w:val="clear" w:color="auto" w:fill="CCEEFF"/>
          </w:tcPr>
          <w:p>
            <w:pPr>
              <w:ind w:left="38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1,017.8</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total revenues grew by $27.7 million as a result of a $75.7 million increase in service revenues, partially offset by a $48.1 million decrease in product revenues. The service revenue increase was driven by an increase of $52.7 million in our satellite services segment, $19.2 million in our government systems segment and $3.9 million in our commercial networks segment. The product revenue decrease was comprised of decreases of $78.4 million in our commercial networks segment and $8.4 million in our satellite services segment (mainly related to the Settlement Agreement, which we entered into during the second quarter of fiscal year 2015), offset by an increase of $38.7 million in our government systems segment.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0"/>
                <w:szCs w:val="10"/>
                <w:color w:val="auto"/>
              </w:rPr>
            </w:pPr>
          </w:p>
        </w:tc>
        <w:tc>
          <w:tcPr>
            <w:tcW w:w="112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December 31,</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5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8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721.8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70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Cost of revenues increased by $8.5 million due to a $35.4 million increase in cost of service revenues, offset by a decrease in cost of product revenues of $26.9 million. The cost of service revenues increase was primarily due to increased service revenues, which generated a $52.0 million increase in cost of service revenues on a constant margin basis. This increase mainly related to our Exede broadband services and in-flight internet services in our satellite services segment and the addition of our network management services for Wi-Fi and other internet access networks (relating to NetNearU) in June 2014 in our government systems segment. This increase was partially offset by improved margins from our Exede broadband services resulting from the higher number of Exede subscribers compared to the prior year period and resultant scale in revenues, as well as higher value service plan offerings. The cost of product revenues decrease was primarily due to decreased revenues, causing a $30.0 million decrease in cost of product revenues on a constant margin basis, prior to the effects of product revenues related to the implied license under the Settlement Agreement. This cost of product revenues decrease mainly related to our fixed satellite networks (driven by consumer broadband products) and our antenna systems products in our commercial networks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4"/>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40" w:type="dxa"/>
            <w:vAlign w:val="bottom"/>
            <w:vMerge w:val="restart"/>
          </w:tcPr>
          <w:p>
            <w:pPr>
              <w:spacing w:after="0"/>
              <w:rPr>
                <w:sz w:val="10"/>
                <w:szCs w:val="10"/>
                <w:color w:val="auto"/>
              </w:rPr>
            </w:pPr>
          </w:p>
        </w:tc>
        <w:tc>
          <w:tcPr>
            <w:tcW w:w="162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580" w:type="dxa"/>
            <w:vAlign w:val="bottom"/>
          </w:tcPr>
          <w:p>
            <w:pPr>
              <w:spacing w:after="0"/>
              <w:rPr>
                <w:sz w:val="10"/>
                <w:szCs w:val="10"/>
                <w:color w:val="auto"/>
              </w:rPr>
            </w:pPr>
          </w:p>
        </w:tc>
        <w:tc>
          <w:tcPr>
            <w:tcW w:w="120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660" w:type="dxa"/>
            <w:vAlign w:val="bottom"/>
          </w:tcPr>
          <w:p>
            <w:pPr>
              <w:jc w:val="right"/>
              <w:ind w:right="104"/>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4"/>
              </w:rPr>
              <w:t>220.8</w:t>
            </w:r>
          </w:p>
        </w:tc>
        <w:tc>
          <w:tcPr>
            <w:tcW w:w="5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194.5</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$26.3 million increase in SG&amp;A expenses was primarily attributable to higher support costs of $28.0 million mainly related to the recognition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$18.7 million of payments made under the Settlement Agreement as a reduction to SG&amp;A expenses in our satellite services segment during the second quarter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fiscal year 2015 and to an increase in support costs of $9.0 million in our commercial networks segment. This increase was partially offset by lower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proposal costs of $1.6 million mainly in our government systems segment. SG&amp;A expenses consisted primarily of personnel costs and expenses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 marketing and sales, bid and proposal, facilities, finance, contract administration and general management.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8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January 2,</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w w:val="94"/>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218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6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4"/>
              </w:rPr>
              <w:t>Independent research and</w:t>
            </w: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development</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22.4</w:t>
            </w:r>
          </w:p>
        </w:tc>
        <w:tc>
          <w:tcPr>
            <w:tcW w:w="6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$22.4 million increase in IR&amp;D expenses was primarily the result of increased IR&amp;D efforts in our commercial networks segment of $24.2 million (primarily related to research increases in next-generation consumer broadband, mobile broadband satellite communication systems and next-generation satellite payload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ten years. The $0.3 million increase in amortization of acquired intangible assets in the first nine months of fiscal year 2016 compared to the prior year period was primarily the result of our acquisition of NetNearU in June 2014. Current and expected amortization expense for acquired intangible assets for each of the following periods is as follows:</w:t>
      </w:r>
    </w:p>
    <w:p>
      <w:pPr>
        <w:spacing w:after="0" w:line="206"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w w:val="94"/>
              </w:rPr>
              <w:t>For the nine months ended December 31, 2015</w:t>
            </w:r>
          </w:p>
        </w:tc>
        <w:tc>
          <w:tcPr>
            <w:tcW w:w="34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0"/>
                <w:szCs w:val="20"/>
                <w:color w:val="auto"/>
              </w:rPr>
            </w:pPr>
            <w:r>
              <w:rPr>
                <w:rFonts w:ascii="Arial" w:cs="Arial" w:eastAsia="Arial" w:hAnsi="Arial"/>
                <w:sz w:val="18"/>
                <w:szCs w:val="18"/>
                <w:color w:val="auto"/>
                <w:w w:val="96"/>
              </w:rPr>
              <w:t>Expected for the remainder of fiscal year 2016</w:t>
            </w:r>
          </w:p>
        </w:tc>
        <w:tc>
          <w:tcPr>
            <w:tcW w:w="34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2019</w:t>
            </w:r>
          </w:p>
        </w:tc>
        <w:tc>
          <w:tcPr>
            <w:tcW w:w="3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Expected for fiscal year 2020</w:t>
            </w: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180" w:type="dxa"/>
            <w:vAlign w:val="bottom"/>
            <w:vMerge w:val="restart"/>
          </w:tcPr>
          <w:p>
            <w:pPr>
              <w:jc w:val="right"/>
              <w:ind w:right="2710"/>
              <w:spacing w:after="0"/>
              <w:rPr>
                <w:sz w:val="20"/>
                <w:szCs w:val="20"/>
                <w:color w:val="auto"/>
              </w:rPr>
            </w:pPr>
            <w:r>
              <w:rPr>
                <w:rFonts w:ascii="Arial" w:cs="Arial" w:eastAsia="Arial" w:hAnsi="Arial"/>
                <w:sz w:val="18"/>
                <w:szCs w:val="18"/>
                <w:color w:val="auto"/>
              </w:rPr>
              <w:t>39</w:t>
            </w: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$0.6 million increase in interest income in the nine months ended December 31, 2015 compared to the prior year period was primarily due to an increase in the amount of payments under the Settlement Agreement recognized as interest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$5.3 million decrease in interest expense in the nine months ended December 31, 2015 compared to the prior year period was due primarily to an increase of $10.1 million in the amount of interest capitalized during the first nine months of fiscal year 2016 compared to the same period last fiscal year. This decrease was partially offset by increased interest expense due to the overall higher amount of outstanding borrowings during the nine months ended December 31, 2015 compared to the prior year period. Capitalized interest expense during the nine months ended December 31, 2015 and January 2, 2015 related to the construction of ViaSat-2 and other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currently estimate our annual effective income tax rate to be approximately 10.3% for fiscal year 2016. For the nine months ended December 31, 2015, we recorded an income tax benefit of $1.3 million. For the nine months ended January 2, 2015, we recorded income tax expense of $7.6 million. The decrease in income tax was the result of lower pre-tax earnings during the nine months ended December 31, 2015 compared to the nine months ended January 2, 2015. The PATH Act of 2015 enacted on December 18, 2015 extended the research and development credit permanently, retroactive to January 2015. In the first two quarters of fiscal year 2016, our estimated annual effective income tax rate did not include the effect of the extension of the research and development tax credit, which resulted in an adjustment of approximately $4.3 million in tax benefits in the third quarter of fiscal year 2016. Also as a result of the extension of the research and development tax credit, approximately $2.1 million of research and development credit generated in the fourth quarter of fiscal year 2015 was recognized as a discrete tax benefit in the third quarter of fiscal year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Nine Months Ended December 31, 2015 vs. Nine Months Ended January 2,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3"/>
          </w:tcPr>
          <w:p>
            <w:pPr>
              <w:jc w:val="center"/>
              <w:ind w:right="580"/>
              <w:spacing w:after="0" w:line="119" w:lineRule="exact"/>
              <w:rPr>
                <w:sz w:val="20"/>
                <w:szCs w:val="20"/>
                <w:color w:val="auto"/>
              </w:rPr>
            </w:pPr>
            <w:r>
              <w:rPr>
                <w:rFonts w:ascii="Arial" w:cs="Arial" w:eastAsia="Arial" w:hAnsi="Arial"/>
                <w:sz w:val="13"/>
                <w:szCs w:val="13"/>
                <w:b w:val="1"/>
                <w:bCs w:val="1"/>
                <w:color w:val="auto"/>
                <w:w w:val="94"/>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5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satellite services segment revenues grew by $44.3 million as a result of a $52.7 million increase in service revenues, offset by an $8.4 million decrease in product revenues. The increase in service revenues was primarily driven by an increase in the number of our Exede broadband subscribers compared to the prior year period, as well as higher average revenue per subscriber. Total subscribers grew from approximately 675,000 at January 2, 2015 to approximately 687,000 at December 31, 2015. The service revenue increase also reflected expansion of our in-flight internet services compared to the prior year period, with 446 aircraft in service as of December 31, 2015. The change in product revenues mainly related to the amounts recorded under the Settlement Agreement, which we entered into during the second quarter of fiscal year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740" w:type="dxa"/>
            <w:vAlign w:val="bottom"/>
            <w:vMerge w:val="restart"/>
          </w:tcPr>
          <w:p>
            <w:pPr>
              <w:spacing w:after="0"/>
              <w:rPr>
                <w:sz w:val="10"/>
                <w:szCs w:val="10"/>
                <w:color w:val="auto"/>
              </w:rPr>
            </w:pPr>
          </w:p>
        </w:tc>
        <w:tc>
          <w:tcPr>
            <w:tcW w:w="170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2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7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59.8</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47.8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12.0</w:t>
            </w:r>
          </w:p>
        </w:tc>
        <w:tc>
          <w:tcPr>
            <w:tcW w:w="6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14.5%</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$12.0 million increase in operating profit for our satellite services segment reflected higher earnings contributions of $26.2 million in the current year period and the recognition of $18.7 million of payments made under the Settlement Agreement as a reduction to SG&amp;A expenses during the second quarter of fiscal year 2015. Continued growth in the size of our Exede broadband services subscriber base compared to the prior year period resulted in increased service revenues and improved margins. We have also experienced positive contributions from our in-flight internet service.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5"/>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0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January 2,</w:t>
            </w:r>
          </w:p>
        </w:tc>
        <w:tc>
          <w:tcPr>
            <w:tcW w:w="560" w:type="dxa"/>
            <w:vAlign w:val="bottom"/>
          </w:tcPr>
          <w:p>
            <w:pPr>
              <w:spacing w:after="0"/>
              <w:rPr>
                <w:sz w:val="10"/>
                <w:szCs w:val="10"/>
                <w:color w:val="auto"/>
              </w:rPr>
            </w:pPr>
          </w:p>
        </w:tc>
        <w:tc>
          <w:tcPr>
            <w:tcW w:w="124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5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58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commercial networks segment revenues decreased by $74.5 million, primarily due to the $78.4 million decrease in product revenues. Of this product revenue decrease, $49.9 million related to fixed satellite networks (reflecting the nearing of completion of our Australian Ka-band infrastructure project and lower terminal sales of consumer broadband products, partially offset by increased revenues from our next-generation Ka-band system contract in Canada). In addition, our antenna systems products revenues decreased $16.7 million, as certain programs move closer to completion, our satellite networking development programs revenues decreased $5.8 million and our satellite payload technology development programs revenues decreased $5.3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Dollar</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13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760" w:type="dxa"/>
            <w:vAlign w:val="bottom"/>
          </w:tcPr>
          <w:p>
            <w:pPr>
              <w:spacing w:after="0"/>
              <w:rPr>
                <w:sz w:val="10"/>
                <w:szCs w:val="10"/>
                <w:color w:val="auto"/>
              </w:rPr>
            </w:pPr>
          </w:p>
        </w:tc>
        <w:tc>
          <w:tcPr>
            <w:tcW w:w="124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(Increase)</w:t>
            </w: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(Increase)</w:t>
            </w:r>
          </w:p>
        </w:tc>
        <w:tc>
          <w:tcPr>
            <w:tcW w:w="0" w:type="dxa"/>
            <w:vAlign w:val="bottom"/>
          </w:tcPr>
          <w:p>
            <w:pPr>
              <w:spacing w:after="0"/>
              <w:rPr>
                <w:sz w:val="1"/>
                <w:szCs w:val="1"/>
                <w:color w:val="auto"/>
              </w:rPr>
            </w:pPr>
          </w:p>
        </w:tc>
      </w:tr>
      <w:tr>
        <w:trPr>
          <w:trHeight w:val="171"/>
        </w:trPr>
        <w:tc>
          <w:tcPr>
            <w:tcW w:w="200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6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(70.9)</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(20.8)</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  (50.1)</w:t>
            </w: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280"/>
              <w:spacing w:after="0"/>
              <w:rPr>
                <w:sz w:val="20"/>
                <w:szCs w:val="20"/>
                <w:color w:val="auto"/>
              </w:rPr>
            </w:pPr>
            <w:r>
              <w:rPr>
                <w:rFonts w:ascii="Arial" w:cs="Arial" w:eastAsia="Arial" w:hAnsi="Arial"/>
                <w:sz w:val="18"/>
                <w:szCs w:val="18"/>
                <w:color w:val="auto"/>
              </w:rPr>
              <w:t>(37.6)%</w:t>
            </w:r>
          </w:p>
        </w:tc>
        <w:tc>
          <w:tcPr>
            <w:tcW w:w="1700" w:type="dxa"/>
            <w:vAlign w:val="bottom"/>
            <w:gridSpan w:val="3"/>
          </w:tcPr>
          <w:p>
            <w:pPr>
              <w:jc w:val="right"/>
              <w:ind w:right="560"/>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$50.1 million increase in our commercial networks segment operating loss was driven by a $24.2 million increase in IR&amp;D expenses (primarily due to an increase in IR&amp;D efforts relating to next-generation consumer broadband, mobile broadband satellite communication systems and next-generation satellite payload technologies), lower earnings contributions of $14.8 million primarily due to the decrease in product revenues, and an increase of $11.2 million in support, selling and new business proposal costs.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760" w:type="dxa"/>
            <w:vAlign w:val="bottom"/>
          </w:tcPr>
          <w:p>
            <w:pPr>
              <w:spacing w:after="0"/>
              <w:rPr>
                <w:sz w:val="10"/>
                <w:szCs w:val="10"/>
                <w:color w:val="auto"/>
              </w:rPr>
            </w:pPr>
          </w:p>
        </w:tc>
        <w:tc>
          <w:tcPr>
            <w:tcW w:w="1400" w:type="dxa"/>
            <w:vAlign w:val="bottom"/>
            <w:tcBorders>
              <w:top w:val="single" w:sz="8" w:color="auto"/>
            </w:tcBorders>
            <w:gridSpan w:val="3"/>
          </w:tcPr>
          <w:p>
            <w:pPr>
              <w:jc w:val="right"/>
              <w:ind w:right="5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580" w:type="dxa"/>
            <w:vAlign w:val="bottom"/>
          </w:tcPr>
          <w:p>
            <w:pPr>
              <w:spacing w:after="0"/>
              <w:rPr>
                <w:sz w:val="10"/>
                <w:szCs w:val="10"/>
                <w:color w:val="auto"/>
              </w:rPr>
            </w:pPr>
          </w:p>
        </w:tc>
        <w:tc>
          <w:tcPr>
            <w:tcW w:w="1200" w:type="dxa"/>
            <w:vAlign w:val="bottom"/>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4"/>
                <w:szCs w:val="14"/>
                <w:color w:val="auto"/>
              </w:rPr>
            </w:pPr>
          </w:p>
        </w:tc>
        <w:tc>
          <w:tcPr>
            <w:tcW w:w="12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7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7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5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19.2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government systems segment revenues increased by $57.9 million, due to a $38.7 million increase in product revenues and a $19.2 million increase in service revenues. The product revenue increase was primarily due to a $44.7 million revenue increase in government satellite communication systems (mainly attributable to global mobile broadband and command and control situational awareness) and a $5.8 million revenue increase in tactical data link products, partially offset by a $14.4 million revenue decrease in information assurance products. Of the service revenue increase, $12.0 million related to NetNearU, our subsidiary acquired in June 2014, $3.1 million related to tactical data link services and $2.6 million related to government satellite communication systems services.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Dollar</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280" w:type="dxa"/>
            <w:vAlign w:val="bottom"/>
            <w:vMerge w:val="restart"/>
          </w:tcPr>
          <w:p>
            <w:pPr>
              <w:spacing w:after="0"/>
              <w:rPr>
                <w:sz w:val="10"/>
                <w:szCs w:val="10"/>
                <w:color w:val="auto"/>
              </w:rPr>
            </w:pPr>
          </w:p>
        </w:tc>
        <w:tc>
          <w:tcPr>
            <w:tcW w:w="16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January 2,</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w w:val="98"/>
              </w:rPr>
              <w:t>Increase</w:t>
            </w:r>
          </w:p>
        </w:tc>
        <w:tc>
          <w:tcPr>
            <w:tcW w:w="9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9"/>
              </w:rPr>
              <w:t>(Decrease)</w:t>
            </w: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32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32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58.4</w:t>
            </w:r>
          </w:p>
        </w:tc>
        <w:tc>
          <w:tcPr>
            <w:tcW w:w="7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49.8</w:t>
            </w:r>
          </w:p>
        </w:tc>
        <w:tc>
          <w:tcPr>
            <w:tcW w:w="46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00" w:type="dxa"/>
            <w:vAlign w:val="bottom"/>
          </w:tcPr>
          <w:p>
            <w:pPr>
              <w:spacing w:after="0"/>
              <w:rPr>
                <w:sz w:val="20"/>
                <w:szCs w:val="20"/>
                <w:color w:val="auto"/>
              </w:rPr>
            </w:pPr>
          </w:p>
        </w:tc>
        <w:tc>
          <w:tcPr>
            <w:tcW w:w="1400" w:type="dxa"/>
            <w:vAlign w:val="bottom"/>
            <w:gridSpan w:val="2"/>
          </w:tcPr>
          <w:p>
            <w:pPr>
              <w:ind w:left="340"/>
              <w:spacing w:after="0"/>
              <w:rPr>
                <w:sz w:val="20"/>
                <w:szCs w:val="20"/>
                <w:color w:val="auto"/>
              </w:rPr>
            </w:pPr>
            <w:r>
              <w:rPr>
                <w:rFonts w:ascii="Arial" w:cs="Arial" w:eastAsia="Arial" w:hAnsi="Arial"/>
                <w:sz w:val="18"/>
                <w:szCs w:val="18"/>
                <w:color w:val="auto"/>
              </w:rPr>
              <w:t>13.2%</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$8.6 million increase in our government systems segment operating profit reflected higher earnings contributions of $7.9 million primarily due to the increase in revenues.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reflected in the table below, our overall firm and funded backlog decreased during the first nine months of fiscal year 2016. The decreases in both firm and funded backlog were attributable to decreases in both our commercial networks and satellite services segments.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92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1020" w:type="dxa"/>
            <w:vAlign w:val="bottom"/>
            <w:gridSpan w:val="4"/>
          </w:tcPr>
          <w:p>
            <w:pPr>
              <w:ind w:left="120"/>
              <w:spacing w:after="0"/>
              <w:rPr>
                <w:sz w:val="20"/>
                <w:szCs w:val="20"/>
                <w:color w:val="auto"/>
              </w:rPr>
            </w:pPr>
            <w:r>
              <w:rPr>
                <w:rFonts w:ascii="Arial" w:cs="Arial" w:eastAsia="Arial" w:hAnsi="Arial"/>
                <w:sz w:val="14"/>
                <w:szCs w:val="14"/>
                <w:b w:val="1"/>
                <w:bCs w:val="1"/>
                <w:color w:val="auto"/>
              </w:rPr>
              <w:t>April 3,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2"/>
          </w:tcPr>
          <w:p>
            <w:pPr>
              <w:ind w:left="780"/>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178.9</w:t>
            </w:r>
          </w:p>
        </w:tc>
        <w:tc>
          <w:tcPr>
            <w:tcW w:w="760" w:type="dxa"/>
            <w:vAlign w:val="bottom"/>
          </w:tcPr>
          <w:p>
            <w:pPr>
              <w:spacing w:after="0"/>
              <w:rPr>
                <w:sz w:val="18"/>
                <w:szCs w:val="18"/>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r>
              <w:rPr>
                <w:rFonts w:ascii="Arial" w:cs="Arial" w:eastAsia="Arial" w:hAnsi="Arial"/>
                <w:sz w:val="18"/>
                <w:szCs w:val="18"/>
                <w:u w:val="single" w:color="auto"/>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7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7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277.1</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r>
              <w:rPr>
                <w:rFonts w:ascii="Arial" w:cs="Arial" w:eastAsia="Arial" w:hAnsi="Arial"/>
                <w:sz w:val="18"/>
                <w:szCs w:val="18"/>
                <w:u w:val="single" w:color="auto"/>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firm backlog does not include contract options. Of the $866.0 million in firm backlog, $208.5 million is expected to be delivered during the remaining three months of fiscal year 2016, and the balance is expected to be delivered in fiscal year 2017 and thereafter. We include in our backlog only those orders for which we have accepted purchase orders. Backlog does not include contracts with our Exede broadband subscribers in our satellite services segment.</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total new awards were approximately $340.4 million and $1,032.1 million for the three and nine months ended December 31, 2015, respectively, compared to $313.1 million and $1,122.1 million for the three and nine months ended January 2, 2015, respectively.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debt financing, export credit agency financing and equity financing. At December 31, 2015, we had $63.9 million in cash and cash equivalents, $331.8 million in working capital, $200.0 million in outstanding borrowings under our revolving credit facility (the Revolving Credit Facility) and $160.7 million in outstanding borrowings under our direct loan facility with the Export-Import Bank of the United States for ViaSat-2 (the Ex-Im Credit Facility and, together with the Revolving Credit Facility, the Credit Facilities), and we had accrued a further $13.7 million in completion exposure fees expected to be financed under the Ex-Im Credit Facility. At April 3, 2015, we had $52.3 million in cash and cash equivalents, $280.5 million in working capital, $210.0 million in outstanding borrowings under our Revolving Credit Facility and $20.5 million in outstanding borrowings under our Ex-Im Credit Facility. We invest our cash in excess of current operating requirements in short-term, interest-bearing, investment-grade securities.</w:t>
      </w:r>
    </w:p>
    <w:p>
      <w:pPr>
        <w:spacing w:after="0" w:line="179"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Our future capital requirements will depend upon many factors, including the timing and amount of cash required for our satellite projects and any future broadband satellite projects we may engage in, our proposed Eutelsat strategic partnering arrangements,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and the timing and amount of investments, including with respect to our proposed Eutelsat strategic partnering arrangements.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6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In March 2013, we filed a universal shelf registration statement with the SEC for the future sale of an unlimited amount of debt securities, common stock, preferred stock, depositary shares, warrants and rights. We intend to file a new universal shelf registration statement to replace our existing universal shelf registration statement prior to its expiration.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Facilities will be sufficient to meet our anticipated operating requirements for at least the next twelve months.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Cash provided by operating activities for the first nine months of fiscal year 2016 was $219.5 million compared to $271.4 million in the prior year period. This $51.9 million decrease was primarily driven by a $55.8 million year-over-year increase in cash used to fund net operating assets needs, partially offset by our operating results (net income adjusted for depreciation, amortization and other non-cash charges) which generated $3.9 million of higher cash inflows year-over-year. The increase in cash used to fund net operating assets during the first nine months of fiscal year 2016 when compared to the same period last fiscal year was due to a decrease in our collections in excess of revenues and deferred revenues included in accrued liabilities due to the timing of milestone billings for certain larger development projects in our commercial networks segment, as well as an increase in cash used for inventory in our government system segment.</w:t>
      </w:r>
    </w:p>
    <w:p>
      <w:pPr>
        <w:spacing w:after="0" w:line="18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Cash used in investing activities for the first nine months of fiscal year 2016 was $339.6 million compared to $366.6 million in the prior year period. The decrease in cash used in investing activities reflects a decrease of $55.9 million in cash used for satellite construction due to the timing of milestone payments and a decrease of $52.6 million in cash used for acquisitions, offset by an increase of $62.8 million in capital expenditures for property and other general purpose equipment, an increase of $16.9 million in cash used for capital software development and an increase of $3.4 million for the construction of earth stations and network operation systems related to ViaSat-2.</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Cash provided by financing activities for the first nine months of fiscal year 2016 was $131.7 million compared to $134.7 million for the prior year period. This $3.0 million decrease in cash provided by financing activities was primarily related to $10.0 million of net payments on borrowings under our Revolving Credit Facility during the first nine months of fiscal year 2016 compared to $130.0 million in net proceeds from borrowings in the prior year period. This decrease was partially offset by $139.4 million in net proceeds from our borrowing under our Ex-Im Credit Facility during the first nine months of fiscal year 2016.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May 2013, we entered into an agreement to purchase ViaSat-2, our second high-capacity Ka-band satellite, from The Boeing Company (Boeing) at a price of approximately $358.0 million, plus an additional amount for launch support services to be performed by Boeing. The projected total cost of the ViaSat-2 project, including the satellite, launch, insurance and related earth station infrastructure, through satellite launch is estimated to be between $600.0 million and $650.0 million, and will depend on the timing of the earth station infrastructure roll-out. Our total required cash funding may be reduced through various third-party agreements, including potential joint service offerings and other strategic partnering arrangements. We believe we have adequate sources of funding for the ViaSat-2 project, which include our cash on hand, available borrowing capacity under our Ex-Im Credit Facility and the cash we expect to generate from operations over the next few years. At the end of the third quarter of fiscal year 2016, we had approximately 687,000 broadband subscribers, however there can be no assurance that the number of subscribers of our Exede broadband services and service revenues in our satellite services segment will increase in any future period.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January 2016, we entered into an additional launch services agreement with a third party for one satellite for approximately $115.0 million.</w:t>
      </w:r>
    </w:p>
    <w:p>
      <w:pPr>
        <w:spacing w:after="0" w:line="2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also expect to continue to invest in subscriber acquisition costs during fiscal year 2016 as we further expand our subscriber base as well as make additional investments for our ViaSat-2 and ViaSat-3 satellites. We believe the launch and roll-out of our ViaSat-2 and ViaSat-3 satellites and related ground infrastructure will impact our financial results in our satellite services segment in future periods, although we expect the relative impact to be less than we experienced in relation to the launch and roll-out of our ViaSat-1 satellite and related ground infrastructure. During the period from late fiscal year 2012 until early fiscal year 2015, we incurred higher operating costs in connection with the launch and roll-out of our ViaSat-1 satellite and related ground infrastructure and our Exede broadband services, as well as higher interest expense as we capitalized a lower amount of the interest expense on our outstanding debt in fiscal year 2014 as we were in the early stages of construction of ViaSat-2, our second high-capacity Ka-band satellite. These higher operating costs included costs associated with depreciation, earth station connectivity, subscriber acquisition costs, logistics, customer care and various support systems. These additional operating costs attributed to our Exede service commencement negatively impacted income from operations during that period. As the total number of subscribers of our Exede broadband services increased over the period, the resultant increase in service revenues in our satellite services segment improved income (loss) from operations for our satellite services segment, despite the additional litigation expense we incurred to successfully protect our proprietary technology, which was settled during the second quarter of fiscal year 2015.</w:t>
      </w:r>
    </w:p>
    <w:p>
      <w:pPr>
        <w:spacing w:after="0" w:line="16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February 2016, we also entered into a framework and subscription agreement (the Framework Agreement) with Eutelsat, pursuant to which we and Eutelsat have agreed to enter into a strategic partnering arrangement to own and operate satellite broadband infrastructure and equipment and provide broadband services and products in the European region. Under the Framework Agreement, Eutelsat will contribute and transfer to a newly formed subsidiary of Eutelsat assets relating to Eutelsat’s existing wholesale satellite broadband business (including its KA-SAT satellite), we will purchase 49% of the issued and outstanding shares of the entity from Eutelsat for approximately €132.5 million and Eutelsat will purchase 49% of the issued and outstanding shares of a second newly formed subsidiary of ViaSat (which under the partnering arrangement will provide retail satellite-based broadband internet services in the European region) for an immaterial amount. Also at the closing, we and Eutelsat will enter into shareholders’ agreements with respect to the ownership, management and operation of the two entities. The closing of the transactions under the Framework Agreement is subject to customary conditions, including the receipt of required regulatory approvals and third-party consents. We currently anticipate that the closing will occur in the first quarter of fiscal year 2017. We intend to finance the purchase price for the 49% interest in the Eutelsat subsidiary using borrowings under the Revolving Credit Facility.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As of December 31, 2015, the Revolving Credit Facility provided a $500.0 million revolving line of credit (including up to $150.0 million of letters of credit) with a maturity date of November 26, 2018. Borrowings under the Revolving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December 31, 2015, the weighted average effective interest rate on our outstanding borrowings under the Revolving Credit Facility was 2.35%. The Revolving Credit Facility is required to be guaranteed by certain significant domestic subsidiaries of ViaSat (as defined in the Revolving Credit Facility) and secured by substantially all of our assets. As of December 31, 2015, none of our subsidiaries guaranteed the Revolving Credit Facility.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Revolving Credit Facility contains financial covenants regarding a maximum total leverage ratio and a minimum interest coverage ratio. In addition, the Revolving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jc w:val="both"/>
        <w:ind w:right="280" w:firstLine="456"/>
        <w:spacing w:after="0" w:line="342" w:lineRule="auto"/>
        <w:rPr>
          <w:sz w:val="20"/>
          <w:szCs w:val="20"/>
          <w:color w:val="auto"/>
        </w:rPr>
      </w:pPr>
      <w:r>
        <w:rPr>
          <w:rFonts w:ascii="Arial" w:cs="Arial" w:eastAsia="Arial" w:hAnsi="Arial"/>
          <w:sz w:val="16"/>
          <w:szCs w:val="16"/>
          <w:color w:val="auto"/>
        </w:rPr>
        <w:t>At December 31, 2015, we had $200.0 million in principal amount of outstanding borrowings under the Revolving Credit Facility and $43.7 million outstanding under standby letters of credit, leaving borrowing availability under the Revolving Credit Facility as of December 31, 2015 of $256.3 million.</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March 12, 2015, a foreign subsidiary of ViaSat entered into the Ex-Im Credit Facility with the Export-Import Bank of the United States. As of December 31, 2015, the Ex-Im Credit Facility provided a $524.9 million senior secured direct loan facility, $467.0 million of which can be used to finance up to 85% of the costs of construction, launch and insurance of the ViaSat-2 satellite and related goods and services (including costs incurred on or after September 18, 2012), with the remainder used to finance the total exposure fees incurred under the Ex-Im Credit Facility of up to $57.9 million (depending on the total amount of financing borrowed under the Ex-Im Credit Facility). Borrowings under the Ex-Im Credit Facility bear interest at a fixed rate of 2.38% and are required to be repaid in 17 approximately equal semi-annual installments, commencing approximately six months after the in-orbit acceptance date of the ViaSat-2 satellite (or, if earlier, on October 15, 2017), with a maturity date of October 15, 2025. Exposure fees of $6.0 million were incurred in connection with our initial borrowing under the Ex-Im Credit Facility, with the remaining exposure fees payable by the in-orbit acceptance date for ViaSat-2. Exposure fees under the Ex-Im Credit Facility are amortized using the effective interest rate method. The effective interest rate on our outstanding borrowings under the Ex-Im Credit Facility, which takes into account estimated timing and amount of borrowings, exposure fees, debt issuance costs and other fees, was estimated to be between 4.2% and 4.8% as of December 31, 2015. The Ex-Im Credit Facility is guaranteed by ViaSat and is secured by first-priority liens on the ViaSat-2 satellite and related assets as well as a pledge of the capital stock of the borrower under the facility.</w:t>
      </w:r>
    </w:p>
    <w:p>
      <w:pPr>
        <w:spacing w:after="0" w:line="169"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our ability to sell assets, make investments and acquisitions, make capital expenditures, grant liens, pay dividends and make certain other restricted payments.</w:t>
      </w:r>
    </w:p>
    <w:p>
      <w:pPr>
        <w:spacing w:after="0" w:line="18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At December 31, 2015, we had $160.7 million in principal amount of outstanding borrowings under the Ex-Im Credit Facility and had accrued $13.7 million in completion exposure fees expected to be financed under the Ex-Im Credit Facility. As of December 31, 2015, the undrawn commitment under the Ex-Im Credit Facility was $350.5 million (excluding $13.7 million of accrued completion exposure fees), of which $312.3 million was available to finance ViaSat-2 related costs once incurred. Borrowings under the Ex-Im Credit Facility were issued with a discount of $21.0 million (comprising the initial $6.0 million exposure fee, the completion exposure fees accrued as of December 31, 2015 and other customary fees). The borrowings under the Ex-Im Credit Facility are recorded as long-term debt, net of discount, in our consolidated financial statements. The discount and deferred financing cost associated with the issuance of the borrowings under the Ex-Im Credit Facility are amortized to interest expense on an effective interest rate basis over the term of the borrowings under the Ex-Im Credit Facility.</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In October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 6.875% per year, payable semi-annually in cash in arrears, which interest payments commenced in June 2012. Debt issuance costs associated with the issuance of the 2020 Notes are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2020 Notes are required to be guaranteed on an unsecured senior basis by each of our existing and future subsidiaries that guarantees the Revolving Credit Facility. As of December 31, 2015,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Facilities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8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may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w:t>
      </w:r>
    </w:p>
    <w:p>
      <w:pPr>
        <w:ind w:right="20" w:firstLine="8"/>
        <w:spacing w:after="0" w:line="290" w:lineRule="auto"/>
        <w:tabs>
          <w:tab w:leader="none" w:pos="2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6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7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80" w:type="dxa"/>
            <w:vAlign w:val="bottom"/>
          </w:tcPr>
          <w:p>
            <w:pPr>
              <w:spacing w:after="0"/>
              <w:rPr>
                <w:sz w:val="14"/>
                <w:szCs w:val="14"/>
                <w:color w:val="auto"/>
              </w:rPr>
            </w:pPr>
          </w:p>
        </w:tc>
        <w:tc>
          <w:tcPr>
            <w:tcW w:w="10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Fiscal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2017-2018</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2019-2020</w:t>
            </w: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3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233,334</w:t>
            </w:r>
          </w:p>
        </w:tc>
        <w:tc>
          <w:tcPr>
            <w:tcW w:w="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17,867</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86,850</w:t>
            </w: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57,255</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71,362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2020 Notes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752,891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79,063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594,765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9,510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203,126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Ex-Im Credit Facility(2)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198,583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17,886</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48,101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4,424</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22,572</w:t>
            </w:r>
          </w:p>
        </w:tc>
        <w:tc>
          <w:tcPr>
            <w:tcW w:w="0" w:type="dxa"/>
            <w:vAlign w:val="bottom"/>
          </w:tcPr>
          <w:p>
            <w:pPr>
              <w:spacing w:after="0"/>
              <w:rPr>
                <w:sz w:val="1"/>
                <w:szCs w:val="1"/>
                <w:color w:val="auto"/>
              </w:rPr>
            </w:pPr>
          </w:p>
        </w:tc>
      </w:tr>
      <w:tr>
        <w:trPr>
          <w:trHeight w:val="216"/>
        </w:trPr>
        <w:tc>
          <w:tcPr>
            <w:tcW w:w="6420" w:type="dxa"/>
            <w:vAlign w:val="bottom"/>
            <w:gridSpan w:val="3"/>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536,096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229,415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256,981</w:t>
            </w:r>
          </w:p>
        </w:tc>
        <w:tc>
          <w:tcPr>
            <w:tcW w:w="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21,045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28,655</w:t>
            </w:r>
          </w:p>
        </w:tc>
        <w:tc>
          <w:tcPr>
            <w:tcW w:w="0" w:type="dxa"/>
            <w:vAlign w:val="bottom"/>
          </w:tcPr>
          <w:p>
            <w:pPr>
              <w:spacing w:after="0"/>
              <w:rPr>
                <w:sz w:val="1"/>
                <w:szCs w:val="1"/>
                <w:color w:val="auto"/>
              </w:rPr>
            </w:pPr>
          </w:p>
        </w:tc>
      </w:tr>
      <w:tr>
        <w:trPr>
          <w:trHeight w:val="216"/>
        </w:trPr>
        <w:tc>
          <w:tcPr>
            <w:tcW w:w="64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gridSpan w:val="3"/>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1,968,517</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249,616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455,314</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413,637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849,950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19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00" w:hanging="452"/>
        <w:spacing w:after="0" w:line="256"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the extent that the interest rate is variable and ultimate amounts borrowed under the Revolving Credit Facility may fluctuate, amounts reflected represent estimated interest payments on our current outstanding balances based on the weighted average effective interest rate at December 31, 2015 until the maturity date in November 2018.</w:t>
      </w:r>
    </w:p>
    <w:p>
      <w:pPr>
        <w:ind w:left="460" w:right="100" w:hanging="452"/>
        <w:spacing w:after="0" w:line="29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the extent that the ultimate amounts borrowed under the Ex-Im Credit Facility may fluctuate, amounts reflected represent estimated interest and principal payments on our current outstanding balance until the maturity date in October 2025. The amounts listed in the table above exclude the completion exposure fee that will be payable under the Ex-Im Credit Agreement by the in-orbit acceptance date for ViaSat-2, the amount of which will be based on the total amount of financing borrowed under the Ex-Im Credit Facility; see “Liquidity and Capital Resources — Ex-Im Credit Facility.” As of December 31, 2015, we had accrued $13.7 million in completion exposure fees expected to be financed under the Ex-Im Credit Facility.</w:t>
      </w:r>
    </w:p>
    <w:p>
      <w:pPr>
        <w:spacing w:after="0" w:line="16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with suppliers for the construction, launch, and operation of our satellites. In certain instances, these agreements allow us the option to cancel, reschedule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and adjust our requirements based on our business needs prior to firm orders being placed. Consequently, only a portion of our reported purchase commitments arising from these agreements are firm, non-cancelable and unconditional commitments. In January 2016, we entered into an additional launch services agreement with a third party for one satellite. See “Liquidity and Capital Resources – Satellite service-related activities.”</w:t>
      </w:r>
    </w:p>
    <w:p>
      <w:pPr>
        <w:spacing w:after="0" w:line="16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Our condensed consolidated balance sheets included $36.0 million and $40.0 million of “other liabilities” as of December 31, 2015 and April 3, 2015, respectively, which primarily consisted of the long-term portion of our satellite performance incentives obligation, our long-term warranty obligations, the long-term portion of deferred rent, long-term portion of deferred revenue and long-term deferred income taxes.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had no material off-balance sheet arrangements at December 31, 2015 as defined in Regulation S-K Item 303(a)(4) other than as discussed under Contractual Obligations above or disclosed in the notes to our consolidated financial statements included in this report or in our Annual Report on Form 10-K for the year ended April 3,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financial instruments consist of cash and cash equivalents, accounts receivable, accounts payable, short-term and long-term obligations, including the Credit Facilities and the 2020 Notes, and foreign currency forward contracts. We consider investments in highly liquid instruments purchased with a remaining maturity of three months or less at the date of purchase to be cash equivalents. As of December 31, 2015, we had $200.0 million in principal amount of outstanding borrowings under our Revolving Credit Facility, $160.7 million in principal amount of outstanding borrowings under our Ex-Im Credit Facility as well as $13.7 million in accrued completion exposure fees expected to be financed under the Ex-Im Credit Facility, and $575.0 million in aggregate principal amount outstanding of the 2020 Notes, and we held no short-term investments. Our 2020 Notes and borrowings under our Ex-Im Credit Facility bear interest at a fixed rate and therefore our exposure to market risk for changes in interest rates relates primarily to borrowings under our Revolving Credit Facility, cash equivalents, short-term investments and short-term obligations.</w:t>
      </w:r>
    </w:p>
    <w:p>
      <w:pPr>
        <w:spacing w:after="0" w:line="17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less than $0.1 million for the three months ended December 31, 2015 and January 2, 2015.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9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As of December 31, 2015, we had $200.0 million in principal amount of outstanding borrowings under our Revolving Credit Facility. Our primary interest rate under the Revolving Credit Facility is the Eurodollar rate plus an applicable margin that is based on our total leverage ratio. At December 31, 2015, the weighted average effective interest rate on our outstanding borrowings under the Revolving Credit Facility was 2.35%. Assuming the outstanding balance remained constant over a year, a 50 basis point increase in the interest rate would increase interest incurred, prior to effects of capitalized interest, by $1.0 million over a twelve-month period.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54"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As of December 31, 2015, we had a number of foreign currency forward contracts outstanding which are intended to reduce the foreign currency risk for amounts payable to vendors in Euros. The foreign currency forward contracts with a notional amount of $5.6 million had an insignificant amount of fair value recorded in other current assets as of December 31, 2015. If the foreign currency forward rate for the Euro to the U.S. dollar on these foreign currency forward contracts had changed by 10%, the fair value of these foreign currency forward contracts as of December 31, 2015 would have changed by approximately $0.6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December 31, 2015, the end of the period covered by this report. Based upon the foregoing, our Chief Executive Officer and Chief Financial Officer concluded that our disclosure controls and procedures were effective at a reasonable assurance level as of December 31, 2015.</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April 3, 2015,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51 is incorporated herein by reference as the list of exhibits required as part of this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VIASAT, INC.</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February 9, 2016</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ARK</w:t>
      </w:r>
      <w:r>
        <w:rPr>
          <w:rFonts w:ascii="Arial" w:cs="Arial" w:eastAsia="Arial" w:hAnsi="Arial"/>
          <w:sz w:val="17"/>
          <w:szCs w:val="17"/>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Dankberg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Executive Officer)</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Shawn Duffy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Financial Officer)</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40"/>
          </w:cols>
          <w:pgMar w:left="240" w:top="459" w:right="9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vMerge w:val="restart"/>
          </w:tcPr>
          <w:p>
            <w:pPr>
              <w:jc w:val="right"/>
              <w:ind w:right="2188"/>
              <w:spacing w:after="0"/>
              <w:rPr>
                <w:sz w:val="20"/>
                <w:szCs w:val="20"/>
                <w:color w:val="auto"/>
              </w:rPr>
            </w:pPr>
            <w:r>
              <w:rPr>
                <w:rFonts w:ascii="Arial" w:cs="Arial" w:eastAsia="Arial" w:hAnsi="Arial"/>
                <w:sz w:val="14"/>
                <w:szCs w:val="14"/>
                <w:b w:val="1"/>
                <w:bCs w:val="1"/>
                <w:color w:val="auto"/>
              </w:rPr>
              <w:t>Exhibit Description</w:t>
            </w:r>
          </w:p>
        </w:tc>
        <w:tc>
          <w:tcPr>
            <w:tcW w:w="380" w:type="dxa"/>
            <w:vAlign w:val="bottom"/>
            <w:vMerge w:val="restart"/>
          </w:tcPr>
          <w:p>
            <w:pPr>
              <w:spacing w:after="0" w:line="20" w:lineRule="exact"/>
              <w:rPr>
                <w:sz w:val="1"/>
                <w:szCs w:val="1"/>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380" w:type="dxa"/>
            <w:vAlign w:val="bottom"/>
            <w:vMerge w:val="restart"/>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520" w:type="dxa"/>
            <w:vAlign w:val="bottom"/>
            <w:tcBorders>
              <w:bottom w:val="single" w:sz="8" w:color="auto"/>
            </w:tcBorders>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72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360" w:type="dxa"/>
            <w:vAlign w:val="bottom"/>
            <w:tcBorders>
              <w:bottom w:val="single" w:sz="8" w:color="auto"/>
            </w:tcBorders>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File No.</w:t>
            </w:r>
          </w:p>
        </w:tc>
        <w:tc>
          <w:tcPr>
            <w:tcW w:w="380" w:type="dxa"/>
            <w:vAlign w:val="bottom"/>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Exhibit</w:t>
            </w: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24"/>
                <w:szCs w:val="24"/>
                <w:color w:val="auto"/>
              </w:rPr>
            </w:pP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Sarbanes-Oxley Act of 2002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4"/>
                <w:szCs w:val="24"/>
                <w:color w:val="auto"/>
              </w:rPr>
            </w:pP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Section 302 of the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Sarbanes-Oxley Act of 2002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4"/>
                <w:szCs w:val="24"/>
                <w:color w:val="auto"/>
              </w:rPr>
            </w:pP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Certifications Pursuant to 18 U.S.C. Section 1350, as Adopted Pursuant to</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Section 906 of the Sarbanes-Oxley Act of 2002</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Labels Linkbase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3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40" w:type="dxa"/>
            <w:vAlign w:val="bottom"/>
            <w:gridSpan w:val="2"/>
          </w:tcPr>
          <w:p>
            <w:pPr>
              <w:jc w:val="right"/>
              <w:ind w:right="988"/>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Herewith</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360" w:space="380"/>
            <w:col w:w="580"/>
          </w:cols>
          <w:pgMar w:left="240" w:top="459"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31"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February 9, 2016</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Mark Dankberg</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31"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20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February 9, 2016</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Shawn Duffy</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40" w:firstLine="464"/>
        <w:spacing w:after="0" w:line="308" w:lineRule="auto"/>
        <w:tabs>
          <w:tab w:leader="none" w:pos="701"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December 31, 2015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February 9, 2016</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5"/>
                <w:szCs w:val="15"/>
                <w:color w:val="auto"/>
              </w:rPr>
              <w:t>ARK</w:t>
            </w:r>
            <w:r>
              <w:rPr>
                <w:rFonts w:ascii="Arial" w:cs="Arial" w:eastAsia="Arial" w:hAnsi="Arial"/>
                <w:sz w:val="18"/>
                <w:szCs w:val="18"/>
                <w:color w:val="auto"/>
              </w:rPr>
              <w:t xml:space="preserve"> D</w:t>
            </w:r>
            <w:r>
              <w:rPr>
                <w:rFonts w:ascii="Arial" w:cs="Arial" w:eastAsia="Arial" w:hAnsi="Arial"/>
                <w:sz w:val="15"/>
                <w:szCs w:val="15"/>
                <w:color w:val="auto"/>
              </w:rPr>
              <w:t>ANKBERG</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Mark Dankberg</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right="140" w:firstLine="464"/>
        <w:spacing w:after="0" w:line="308" w:lineRule="auto"/>
        <w:tabs>
          <w:tab w:leader="none" w:pos="701"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accompanying quarterly report on Form 10-Q of the Company for the quarterly period ended December 31, 2015 (the “Report”)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February 9, 2016</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w:t>
            </w:r>
            <w:r>
              <w:rPr>
                <w:rFonts w:ascii="Arial" w:cs="Arial" w:eastAsia="Arial" w:hAnsi="Arial"/>
                <w:sz w:val="15"/>
                <w:szCs w:val="15"/>
                <w:color w:val="auto"/>
              </w:rPr>
              <w:t>HAWN</w:t>
            </w:r>
            <w:r>
              <w:rPr>
                <w:rFonts w:ascii="Arial" w:cs="Arial" w:eastAsia="Arial" w:hAnsi="Arial"/>
                <w:sz w:val="18"/>
                <w:szCs w:val="18"/>
                <w:color w:val="auto"/>
              </w:rPr>
              <w:t xml:space="preserve"> D</w:t>
            </w:r>
            <w:r>
              <w:rPr>
                <w:rFonts w:ascii="Arial" w:cs="Arial" w:eastAsia="Arial" w:hAnsi="Arial"/>
                <w:sz w:val="15"/>
                <w:szCs w:val="15"/>
                <w:color w:val="auto"/>
              </w:rPr>
              <w:t>UFFY</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Shawn Duffy</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4"/>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2"/>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2019-12-29T13:11:03Z</dcterms:created>
  <dcterms:modified xsi:type="dcterms:W3CDTF">2019-12-29T13:11:03Z</dcterms:modified>
</cp:coreProperties>
</file>