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180" w:right="2400" w:hanging="4172"/>
        <w:spacing w:after="0" w:line="290"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March 31, 2016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7" w:lineRule="exact"/>
        <w:rPr>
          <w:sz w:val="24"/>
          <w:szCs w:val="24"/>
          <w:color w:val="auto"/>
        </w:rPr>
      </w:pPr>
    </w:p>
    <w:p>
      <w:pPr>
        <w:ind w:left="3720"/>
        <w:spacing w:after="0"/>
        <w:tabs>
          <w:tab w:leader="none" w:pos="6760" w:val="left"/>
          <w:tab w:leader="none" w:pos="7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-10160</wp:posOffset>
            </wp:positionV>
            <wp:extent cx="1040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VIASAT,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200" w:type="dxa"/>
        <w:tblCellMar>
          <w:top w:w="0" w:type="dxa"/>
          <w:left w:w="0" w:type="dxa"/>
          <w:bottom w:w="0" w:type="dxa"/>
          <w:right w:w="0" w:type="dxa"/>
        </w:tblCellMar>
      </w:tblPr>
      <w:tr>
        <w:trPr>
          <w:trHeight w:val="218"/>
        </w:trPr>
        <w:tc>
          <w:tcPr>
            <w:tcW w:w="1040" w:type="dxa"/>
            <w:vAlign w:val="bottom"/>
          </w:tcPr>
          <w:p>
            <w:pPr>
              <w:spacing w:after="0"/>
              <w:rPr>
                <w:sz w:val="18"/>
                <w:szCs w:val="18"/>
                <w:color w:val="auto"/>
              </w:rPr>
            </w:pPr>
          </w:p>
        </w:tc>
        <w:tc>
          <w:tcPr>
            <w:tcW w:w="2360" w:type="dxa"/>
            <w:vAlign w:val="bottom"/>
            <w:gridSpan w:val="2"/>
          </w:tcPr>
          <w:p>
            <w:pPr>
              <w:jc w:val="center"/>
              <w:ind w:right="1022"/>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gridSpan w:val="2"/>
          </w:tcPr>
          <w:p>
            <w:pPr>
              <w:jc w:val="center"/>
              <w:ind w:left="2572"/>
              <w:spacing w:after="0"/>
              <w:rPr>
                <w:sz w:val="20"/>
                <w:szCs w:val="20"/>
                <w:color w:val="auto"/>
              </w:rPr>
            </w:pPr>
            <w:r>
              <w:rPr>
                <w:rFonts w:ascii="Arial" w:cs="Arial" w:eastAsia="Arial" w:hAnsi="Arial"/>
                <w:sz w:val="18"/>
                <w:szCs w:val="18"/>
                <w:b w:val="1"/>
                <w:bCs w:val="1"/>
                <w:color w:val="auto"/>
                <w:w w:val="87"/>
              </w:rPr>
              <w:t>33-0174996</w:t>
            </w:r>
          </w:p>
        </w:tc>
      </w:tr>
      <w:tr>
        <w:trPr>
          <w:trHeight w:val="149"/>
        </w:trPr>
        <w:tc>
          <w:tcPr>
            <w:tcW w:w="3400" w:type="dxa"/>
            <w:vAlign w:val="bottom"/>
            <w:gridSpan w:val="3"/>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64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3400" w:type="dxa"/>
            <w:vAlign w:val="bottom"/>
            <w:gridSpan w:val="3"/>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26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43"/>
        </w:trPr>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00" w:type="dxa"/>
            <w:vAlign w:val="bottom"/>
            <w:gridSpan w:val="2"/>
          </w:tcPr>
          <w:p>
            <w:pPr>
              <w:jc w:val="center"/>
              <w:ind w:right="3207"/>
              <w:spacing w:after="0"/>
              <w:rPr>
                <w:sz w:val="20"/>
                <w:szCs w:val="20"/>
                <w:color w:val="auto"/>
              </w:rPr>
            </w:pPr>
            <w:r>
              <w:rPr>
                <w:rFonts w:ascii="Arial" w:cs="Arial" w:eastAsia="Arial" w:hAnsi="Arial"/>
                <w:sz w:val="18"/>
                <w:szCs w:val="18"/>
                <w:b w:val="1"/>
                <w:bCs w:val="1"/>
                <w:color w:val="auto"/>
                <w:w w:val="89"/>
              </w:rPr>
              <w:t>6155 El Camino Real</w:t>
            </w: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00" w:type="dxa"/>
            <w:vAlign w:val="bottom"/>
            <w:gridSpan w:val="2"/>
          </w:tcPr>
          <w:p>
            <w:pPr>
              <w:jc w:val="center"/>
              <w:ind w:right="3187"/>
              <w:spacing w:after="0"/>
              <w:rPr>
                <w:sz w:val="20"/>
                <w:szCs w:val="20"/>
                <w:color w:val="auto"/>
              </w:rPr>
            </w:pPr>
            <w:r>
              <w:rPr>
                <w:rFonts w:ascii="Arial" w:cs="Arial" w:eastAsia="Arial" w:hAnsi="Arial"/>
                <w:sz w:val="18"/>
                <w:szCs w:val="18"/>
                <w:b w:val="1"/>
                <w:bCs w:val="1"/>
                <w:color w:val="auto"/>
                <w:w w:val="90"/>
              </w:rPr>
              <w:t>Carlsbad, California 92009</w:t>
            </w:r>
          </w:p>
        </w:tc>
      </w:tr>
      <w:tr>
        <w:trPr>
          <w:trHeight w:val="218"/>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40" w:type="dxa"/>
            <w:vAlign w:val="bottom"/>
          </w:tcPr>
          <w:p>
            <w:pPr>
              <w:jc w:val="center"/>
              <w:ind w:right="332"/>
              <w:spacing w:after="0"/>
              <w:rPr>
                <w:sz w:val="20"/>
                <w:szCs w:val="20"/>
                <w:color w:val="auto"/>
              </w:rPr>
            </w:pPr>
            <w:r>
              <w:rPr>
                <w:rFonts w:ascii="Arial" w:cs="Arial" w:eastAsia="Arial" w:hAnsi="Arial"/>
                <w:sz w:val="18"/>
                <w:szCs w:val="18"/>
                <w:b w:val="1"/>
                <w:bCs w:val="1"/>
                <w:color w:val="auto"/>
                <w:w w:val="89"/>
              </w:rPr>
              <w:t>(760) 476-2200</w:t>
            </w:r>
          </w:p>
        </w:tc>
        <w:tc>
          <w:tcPr>
            <w:tcW w:w="2860" w:type="dxa"/>
            <w:vAlign w:val="bottom"/>
          </w:tcPr>
          <w:p>
            <w:pPr>
              <w:spacing w:after="0"/>
              <w:rPr>
                <w:sz w:val="18"/>
                <w:szCs w:val="18"/>
                <w:color w:val="auto"/>
              </w:rPr>
            </w:pPr>
          </w:p>
        </w:tc>
      </w:tr>
      <w:tr>
        <w:trPr>
          <w:trHeight w:val="174"/>
        </w:trPr>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0" w:type="dxa"/>
            <w:vAlign w:val="bottom"/>
            <w:gridSpan w:val="3"/>
          </w:tcPr>
          <w:p>
            <w:pPr>
              <w:jc w:val="center"/>
              <w:ind w:right="2087"/>
              <w:spacing w:after="0"/>
              <w:rPr>
                <w:sz w:val="20"/>
                <w:szCs w:val="20"/>
                <w:color w:val="auto"/>
              </w:rPr>
            </w:pPr>
            <w:r>
              <w:rPr>
                <w:rFonts w:ascii="Arial" w:cs="Arial" w:eastAsia="Arial" w:hAnsi="Arial"/>
                <w:sz w:val="14"/>
                <w:szCs w:val="14"/>
                <w:b w:val="1"/>
                <w:bCs w:val="1"/>
                <w:color w:val="auto"/>
                <w:w w:val="85"/>
              </w:rPr>
              <w:t>(Address of principal executive offices and telephone number)</w:t>
            </w:r>
          </w:p>
        </w:tc>
      </w:tr>
      <w:tr>
        <w:trPr>
          <w:trHeight w:val="242"/>
        </w:trPr>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600" w:type="dxa"/>
            <w:vAlign w:val="bottom"/>
            <w:gridSpan w:val="3"/>
          </w:tcPr>
          <w:p>
            <w:pPr>
              <w:jc w:val="center"/>
              <w:ind w:right="210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05"/>
        </w:trPr>
        <w:tc>
          <w:tcPr>
            <w:tcW w:w="10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22"/>
        </w:trPr>
        <w:tc>
          <w:tcPr>
            <w:tcW w:w="3400" w:type="dxa"/>
            <w:vAlign w:val="bottom"/>
            <w:gridSpan w:val="3"/>
          </w:tcPr>
          <w:p>
            <w:pPr>
              <w:jc w:val="center"/>
              <w:ind w:right="2"/>
              <w:spacing w:after="0"/>
              <w:rPr>
                <w:sz w:val="20"/>
                <w:szCs w:val="20"/>
                <w:color w:val="auto"/>
              </w:rPr>
            </w:pPr>
            <w:r>
              <w:rPr>
                <w:rFonts w:ascii="Arial" w:cs="Arial" w:eastAsia="Arial" w:hAnsi="Arial"/>
                <w:sz w:val="18"/>
                <w:szCs w:val="18"/>
                <w:b w:val="1"/>
                <w:bCs w:val="1"/>
                <w:color w:val="auto"/>
                <w:w w:val="88"/>
              </w:rPr>
              <w:t>Common Stock, par value $0.0001 per share</w:t>
            </w:r>
          </w:p>
        </w:tc>
        <w:tc>
          <w:tcPr>
            <w:tcW w:w="264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ind w:left="360"/>
        <w:spacing w:after="0" w:line="207" w:lineRule="exact"/>
        <w:tabs>
          <w:tab w:leader="none" w:pos="934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of 1933.</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82" w:lineRule="exact"/>
        <w:rPr>
          <w:sz w:val="24"/>
          <w:szCs w:val="24"/>
          <w:color w:val="auto"/>
        </w:rPr>
      </w:pPr>
    </w:p>
    <w:p>
      <w:pPr>
        <w:ind w:right="1620" w:firstLine="342"/>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ind w:right="220" w:firstLine="342"/>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w:t>
      </w:r>
    </w:p>
    <w:p>
      <w:pPr>
        <w:spacing w:after="0" w:line="207" w:lineRule="exact"/>
        <w:tabs>
          <w:tab w:leader="none" w:pos="740" w:val="left"/>
        </w:tabs>
        <w:rPr>
          <w:sz w:val="20"/>
          <w:szCs w:val="20"/>
          <w:color w:val="auto"/>
        </w:rPr>
      </w:pPr>
      <w:r>
        <w:rPr>
          <w:rFonts w:ascii="Arial" w:cs="Arial" w:eastAsia="Arial" w:hAnsi="Arial"/>
          <w:sz w:val="18"/>
          <w:szCs w:val="18"/>
          <w:color w:val="auto"/>
        </w:rPr>
        <w:t>90 days.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43"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60" w:firstLine="342"/>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6000" w:space="720"/>
            <w:col w:w="17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00" w:space="540"/>
            <w:col w:w="160" w:space="40"/>
            <w:col w:w="5800" w:space="720"/>
            <w:col w:w="1920" w:space="580"/>
            <w:col w:w="160"/>
          </w:cols>
          <w:pgMar w:left="240" w:top="230" w:right="239" w:bottom="1440" w:gutter="0" w:footer="0" w:header="0"/>
          <w:type w:val="continuous"/>
        </w:sectPr>
      </w:pPr>
    </w:p>
    <w:p>
      <w:pPr>
        <w:spacing w:after="0" w:line="1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73" w:lineRule="exact"/>
        <w:rPr>
          <w:sz w:val="24"/>
          <w:szCs w:val="24"/>
          <w:color w:val="auto"/>
        </w:rPr>
      </w:pPr>
    </w:p>
    <w:p>
      <w:pPr>
        <w:sectPr>
          <w:pgSz w:w="11900" w:h="16838" w:orient="portrait"/>
          <w:cols w:equalWidth="0" w:num="5">
            <w:col w:w="8320" w:space="180"/>
            <w:col w:w="160" w:space="80"/>
            <w:col w:w="260" w:space="180"/>
            <w:col w:w="160" w:space="80"/>
            <w:col w:w="2000"/>
          </w:cols>
          <w:pgMar w:left="240" w:top="230" w:right="239" w:bottom="1440" w:gutter="0" w:footer="0" w:header="0"/>
          <w:type w:val="continuous"/>
        </w:sectPr>
      </w:pPr>
    </w:p>
    <w:p>
      <w:pPr>
        <w:ind w:right="40" w:firstLine="342"/>
        <w:spacing w:after="0" w:line="308" w:lineRule="auto"/>
        <w:rPr>
          <w:sz w:val="20"/>
          <w:szCs w:val="20"/>
          <w:color w:val="auto"/>
        </w:rPr>
      </w:pPr>
      <w:r>
        <w:rPr>
          <w:rFonts w:ascii="Arial" w:cs="Arial" w:eastAsia="Arial" w:hAnsi="Arial"/>
          <w:sz w:val="16"/>
          <w:szCs w:val="16"/>
          <w:color w:val="auto"/>
        </w:rPr>
        <w:t>The aggregate market value of the common stock held by non-affiliates of the registrant as of September 30, 2015 was approximately $2,851,961,878 (based on the closing price on that date for shares of the registrant’s common stock as reported by the Nasdaq Global Select Market).</w:t>
      </w:r>
    </w:p>
    <w:p>
      <w:pPr>
        <w:ind w:left="360"/>
        <w:spacing w:after="0"/>
        <w:rPr>
          <w:sz w:val="20"/>
          <w:szCs w:val="20"/>
          <w:color w:val="auto"/>
        </w:rPr>
      </w:pPr>
      <w:r>
        <w:rPr>
          <w:rFonts w:ascii="Arial" w:cs="Arial" w:eastAsia="Arial" w:hAnsi="Arial"/>
          <w:sz w:val="18"/>
          <w:szCs w:val="18"/>
          <w:color w:val="auto"/>
        </w:rPr>
        <w:t>The number of shares outstanding of the registrant’s common stock, $.0001 par value, as of May 13, 2016 was 48,944,963.</w:t>
      </w:r>
    </w:p>
    <w:p>
      <w:pPr>
        <w:spacing w:after="0" w:line="4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both"/>
        <w:ind w:right="160" w:firstLine="342"/>
        <w:spacing w:after="0" w:line="306"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pursuant to Regulation 14A in connection with its 2016 Annual Meeting of Stockholders are incorporated by reference into Part III of this Form 10-K where indicated. Such Proxy Statement will be filed with the Securities and Exchange Commission not later than 120 days after the registrant’s fiscal year ended March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40" w:type="dxa"/>
            <w:vAlign w:val="bottom"/>
            <w:gridSpan w:val="8"/>
          </w:tcPr>
          <w:p>
            <w:pPr>
              <w:jc w:val="center"/>
              <w:ind w:right="4320"/>
              <w:spacing w:after="0"/>
              <w:rPr>
                <w:sz w:val="20"/>
                <w:szCs w:val="20"/>
                <w:color w:val="auto"/>
              </w:rPr>
            </w:pPr>
            <w:r>
              <w:rPr>
                <w:rFonts w:ascii="Arial" w:cs="Arial" w:eastAsia="Arial" w:hAnsi="Arial"/>
                <w:sz w:val="18"/>
                <w:szCs w:val="18"/>
                <w:b w:val="1"/>
                <w:bCs w:val="1"/>
                <w:color w:val="auto"/>
                <w:w w:val="98"/>
              </w:rPr>
              <w:t>VIASAT,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34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vMerge w:val="restart"/>
          </w:tcPr>
          <w:p>
            <w:pPr>
              <w:jc w:val="center"/>
              <w:ind w:right="446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4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4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96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Risk Factors</w:t>
              </w:r>
            </w:hyperlink>
          </w:p>
        </w:tc>
        <w:tc>
          <w:tcPr>
            <w:tcW w:w="87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58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76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Legal Proceedings</w:t>
              </w:r>
            </w:hyperlink>
          </w:p>
        </w:tc>
        <w:tc>
          <w:tcPr>
            <w:tcW w:w="82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2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line="184"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Market for Registrant’s Common Equity, Related Stockholder Matters and Issuer Purchases of Equity Securities</w:t>
              </w:r>
            </w:hyperlink>
          </w:p>
        </w:tc>
        <w:tc>
          <w:tcPr>
            <w:tcW w:w="1700" w:type="dxa"/>
            <w:vAlign w:val="bottom"/>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580" w:type="dxa"/>
            <w:vAlign w:val="bottom"/>
            <w:gridSpan w:val="2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Management’s Discussion and Analysis of Financial Condition and Results of Operations</w:t>
              </w:r>
            </w:hyperlink>
          </w:p>
        </w:tc>
        <w:tc>
          <w:tcPr>
            <w:tcW w:w="32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58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53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Changes in and Disagreements with Accountants on Accounting and Financial Disclosure</w:t>
              </w:r>
            </w:hyperlink>
          </w:p>
        </w:tc>
        <w:tc>
          <w:tcPr>
            <w:tcW w:w="32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72">
              <w:r>
                <w:rPr>
                  <w:rFonts w:ascii="Arial" w:cs="Arial" w:eastAsia="Arial" w:hAnsi="Arial"/>
                  <w:sz w:val="18"/>
                  <w:szCs w:val="18"/>
                  <w:color w:val="0000EE"/>
                  <w:w w:val="85"/>
                </w:rPr>
                <w:t>Controls and Procedures</w:t>
              </w:r>
            </w:hyperlink>
          </w:p>
        </w:tc>
        <w:tc>
          <w:tcPr>
            <w:tcW w:w="78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580" w:type="dxa"/>
            <w:vAlign w:val="bottom"/>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9580" w:type="dxa"/>
            <w:vAlign w:val="bottom"/>
            <w:gridSpan w:val="20"/>
          </w:tcPr>
          <w:p>
            <w:pPr>
              <w:spacing w:after="0" w:line="184" w:lineRule="exact"/>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56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580" w:type="dxa"/>
            <w:vAlign w:val="bottom"/>
            <w:gridSpan w:val="2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24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580" w:type="dxa"/>
            <w:vAlign w:val="bottom"/>
            <w:gridSpan w:val="2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5"/>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9580" w:type="dxa"/>
            <w:vAlign w:val="bottom"/>
            <w:gridSpan w:val="20"/>
          </w:tcPr>
          <w:p>
            <w:pPr>
              <w:spacing w:after="0" w:line="184" w:lineRule="exact"/>
              <w:rPr>
                <w:rFonts w:ascii="Arial" w:cs="Arial" w:eastAsia="Arial" w:hAnsi="Arial"/>
                <w:sz w:val="18"/>
                <w:szCs w:val="18"/>
                <w:color w:val="0000EE"/>
              </w:rPr>
            </w:pPr>
            <w:hyperlink w:anchor="page74">
              <w:r>
                <w:rPr>
                  <w:rFonts w:ascii="Arial" w:cs="Arial" w:eastAsia="Arial" w:hAnsi="Arial"/>
                  <w:sz w:val="18"/>
                  <w:szCs w:val="18"/>
                  <w:color w:val="0000EE"/>
                </w:rPr>
                <w:t>Exhibits, Financial Statement Schedules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5320" w:type="dxa"/>
            <w:vAlign w:val="bottom"/>
            <w:gridSpan w:val="15"/>
          </w:tcPr>
          <w:p>
            <w:pPr>
              <w:jc w:val="center"/>
              <w:ind w:left="3112"/>
              <w:spacing w:after="0"/>
              <w:rPr>
                <w:sz w:val="20"/>
                <w:szCs w:val="20"/>
                <w:color w:val="auto"/>
              </w:rPr>
            </w:pPr>
            <w:r>
              <w:rPr>
                <w:rFonts w:ascii="Arial" w:cs="Arial" w:eastAsia="Arial" w:hAnsi="Arial"/>
                <w:sz w:val="18"/>
                <w:szCs w:val="18"/>
                <w:color w:val="auto"/>
                <w:w w:val="79"/>
              </w:rPr>
              <w:t>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expected capacity, service, coverage, service speeds and other features of our satellites, and the timing, cost, economics and other benefits associated therewith; anticipated subscriber growth; our proposed strategic partnering arrangement with Eutelsat S.A. (together with its affiliates, Eutelsat) and the timing, costs, economics and other benefits associated therewith;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consummate our proposed strategic partnering arrangement with Eutelsat and to realize the anticipated benefits of the strategic partnering arrangement;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Item 1A,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8"/>
          <w:szCs w:val="18"/>
          <w:i w:val="1"/>
          <w:iCs w:val="1"/>
          <w:color w:val="auto"/>
        </w:rPr>
        <w:t xml:space="preserve">www.viasat.com. </w:t>
      </w:r>
      <w:r>
        <w:rPr>
          <w:rFonts w:ascii="Arial" w:cs="Arial" w:eastAsia="Arial" w:hAnsi="Arial"/>
          <w:sz w:val="18"/>
          <w:szCs w:val="18"/>
          <w:color w:val="auto"/>
        </w:rPr>
        <w:t>The information on our website does not constitute part of this report.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May 4, 2015, our Board of Directors approved a change in our fiscal year from a 52 or 53 week fiscal year ending on the Friday closest to March 31 to a fiscal year ending on March 31 of each year, effective with the fiscal year commencing April 4, 2015. Beginning April 4, 2015, our fiscal quarters end on June 30, September 30, December 31 and March 31 of each year. Fiscal year 2014 was a 53 week year, compared to a 52 week year in fiscal year 2015. Fiscal year 2016 was slightly shorter than 52 weeks due to the change in fiscal year beginning April 4, 2015. We do not believe that these differences in length of year had any material impact on our financial results.</w:t>
      </w:r>
    </w:p>
    <w:p>
      <w:pPr>
        <w:spacing w:after="0" w:line="14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We conduct our business through three segments: satellite services, commercial networks and government systems. Financial information regarding our reporting segments and the geographic areas in which we deliver our services and products is included in the consolidated financial statements and notes thereto.</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satellite services segment provides satellite-based high-speed broadband services to consumers, enterprises, commercial airlines and mobile broadband customers primarily in the United States. Our Exede</w:t>
      </w:r>
      <w:r>
        <w:rPr>
          <w:rFonts w:ascii="Arial" w:cs="Arial" w:eastAsia="Arial" w:hAnsi="Arial"/>
          <w:sz w:val="10"/>
          <w:szCs w:val="10"/>
          <w:color w:val="auto"/>
        </w:rPr>
        <w:t>®</w:t>
      </w:r>
      <w:r>
        <w:rPr>
          <w:rFonts w:ascii="Arial" w:cs="Arial" w:eastAsia="Arial" w:hAnsi="Arial"/>
          <w:sz w:val="16"/>
          <w:szCs w:val="16"/>
          <w:color w:val="auto"/>
        </w:rPr>
        <w:t xml:space="preserve"> broadband services offer high-speed, high-quality broadband internet access across the contiguous United States. We also offer similar services for a growing number of commercial and business aircraft both in the United States and abroad. Our satellite services business also provides a platform for the provision of network management services to domestic and international satellite service providers.</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satellite services business uses our proprietary technology platform to provide broadband services with multiple applications. Our proprietary Ka-band satellites are at the core of our technology platform. Our first-generation high-capacity Ka-band spot-beam satellite, ViaSat-1, was placed into service in January 2012. At the time of launch we believe ViaSat-1 was the highest capacity, most cost-efficient satellite in the world, with a data throughput of approximately 140 Gigabits per second. In May 2013, we entered into a satellite construction contract for our ViaSat-2 satellite, our second-generation high-capacity Ka-band satellite design, which we expect will be launched during fiscal year 2017. We expect that our ViaSat-2 satellite will significantly expand our data throughput capacity, enabling us to improve the speed, availability and geographic coverage area of our broadband services. In addition, construction has commenced on two ViaSat-3 class satellites, our third-generation high-capacity Ka-band satellite design, pursuant to a limited authorization to proceed. Our ViaSat-3 class satellites are designed to further expand our data throughput capacity and geographic coverage area and to support the flexible allocation of capacity to dynamically respond to changing capacity demands, thereby improving the speed, availability and cost-efficiency of our proprietary Ka-band satellite network. We anticipate that our ViaSat-3 class satellites will be launched in late 2019 or 2020.</w:t>
      </w:r>
    </w:p>
    <w:p>
      <w:pPr>
        <w:spacing w:after="0" w:line="12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believe that growth in our satellite services segment will be driven in the coming years by continued rapid growth in demand for high-speed broadband services across the globe, driven both by continued increases in the number of internet users and connected devices and by increasing data usage, including for video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streaming and mobile and in-flight connectivity. The primary services offered by our satellite services segment are comprised of:</w:t>
      </w:r>
    </w:p>
    <w:p>
      <w:pPr>
        <w:spacing w:after="0" w:line="90" w:lineRule="exact"/>
        <w:rPr>
          <w:sz w:val="20"/>
          <w:szCs w:val="20"/>
          <w:color w:val="auto"/>
        </w:rPr>
      </w:pPr>
    </w:p>
    <w:p>
      <w:pPr>
        <w:ind w:left="900" w:hanging="325"/>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Fixed Broadband Services. </w:t>
      </w:r>
      <w:r>
        <w:rPr>
          <w:rFonts w:ascii="Arial" w:cs="Arial" w:eastAsia="Arial" w:hAnsi="Arial"/>
          <w:sz w:val="16"/>
          <w:szCs w:val="16"/>
          <w:color w:val="auto"/>
        </w:rPr>
        <w:t>We offer satellite-based broadband internet services under the Exede and WildBlue</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brands to consumers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in the United States. Our broadband offerings provide users with high-speed broadband internet access and Voice over Internet Protocol (VoIP) services. We offer a range of service plans, with pricing based on a number of different factors, including available capacity, bandwidth limits, service quality levels, bundled offerings and terms of distribution. We also offer wholesale and retail broadband services to our national and regional distribution partners, including direct-to-home satellite video providers, retail service providers and communications companies. As of March 31, 2016, we provided broadband internet services to approximately 697,000 consumer and small business subscribers.</w:t>
      </w:r>
    </w:p>
    <w:p>
      <w:pPr>
        <w:spacing w:after="0" w:line="39"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In-Flight Broadband Services. </w:t>
      </w:r>
      <w:r>
        <w:rPr>
          <w:rFonts w:ascii="Arial" w:cs="Arial" w:eastAsia="Arial" w:hAnsi="Arial"/>
          <w:sz w:val="16"/>
          <w:szCs w:val="16"/>
          <w:color w:val="auto"/>
        </w:rPr>
        <w:t>Our award-winning in-flight broadband services (including our flagship Exede in the Air service) provide industry-leading in-flight internet and broadband connectivity services to commercial airlines and business jets. The data throughput capacity of our services enables commercial airlines and business jets to offer more passengers on more flights the ability to enjoy high-speed broadband services such as streaming video. As of March 31, 2016, 476 commercial aircraft were in service utilizing our Exede in-flight broadband services.</w:t>
      </w:r>
    </w:p>
    <w:p>
      <w:pPr>
        <w:spacing w:after="0" w:line="31" w:lineRule="exact"/>
        <w:rPr>
          <w:rFonts w:ascii="Arial" w:cs="Arial" w:eastAsia="Arial" w:hAnsi="Arial"/>
          <w:sz w:val="16"/>
          <w:szCs w:val="16"/>
          <w:color w:val="auto"/>
        </w:rPr>
      </w:pPr>
    </w:p>
    <w:p>
      <w:pPr>
        <w:ind w:left="900" w:right="4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Mobile Broadband Services. </w:t>
      </w:r>
      <w:r>
        <w:rPr>
          <w:rFonts w:ascii="Arial" w:cs="Arial" w:eastAsia="Arial" w:hAnsi="Arial"/>
          <w:sz w:val="18"/>
          <w:szCs w:val="18"/>
          <w:color w:val="auto"/>
        </w:rPr>
        <w:t>Our Yonder</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mobile broadband services provide global network management and high-speed internet connectivity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customers using airborne, maritime and ground-mobile satellite systems.</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Enterprise Broadband Services. </w:t>
      </w:r>
      <w:r>
        <w:rPr>
          <w:rFonts w:ascii="Arial" w:cs="Arial" w:eastAsia="Arial" w:hAnsi="Arial"/>
          <w:sz w:val="18"/>
          <w:szCs w:val="18"/>
          <w:color w:val="auto"/>
        </w:rPr>
        <w:t>We offer a variety of other broadband services to enterprises, including business connectivity, live on-line event</w:t>
      </w:r>
      <w:r>
        <w:rPr>
          <w:rFonts w:ascii="Arial" w:cs="Arial" w:eastAsia="Arial" w:hAnsi="Arial"/>
          <w:sz w:val="18"/>
          <w:szCs w:val="18"/>
          <w:i w:val="1"/>
          <w:iCs w:val="1"/>
          <w:color w:val="auto"/>
        </w:rPr>
        <w:t xml:space="preserve"> </w:t>
      </w:r>
      <w:r>
        <w:rPr>
          <w:rFonts w:ascii="Arial" w:cs="Arial" w:eastAsia="Arial" w:hAnsi="Arial"/>
          <w:sz w:val="18"/>
          <w:szCs w:val="18"/>
          <w:color w:val="auto"/>
        </w:rPr>
        <w:t>streaming, oil and natural gas data gathering services and high-definition satellite news gathering.</w:t>
      </w:r>
    </w:p>
    <w:p>
      <w:pPr>
        <w:spacing w:after="0" w:line="13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In February 2016, we entered into a framework and subscription agreement (the Framework Agreement) with Eutelsat, pursuant to which we have agreed to enter into a strategic partnering arrangement with Eutelsat to own and operate satellite broadband infrastructure and equipment and provide satellite-based broadband internet services in the European region. The arrangement will consist of two entities coordinating efforts to expand the European broadband market: an entity to be owned 51% by Eutelsat and 49% by ViaSat following the closing will own and operate Eutelsat’s KA-SAT satellite and related assets and offer wholesale satellite capacity services in the European region; and an entity to be owned 51% by ViaSat and 49% by Eutelsat following the closing will purchase wholesale satellite capacity services and offer retail satellite-based broadband internet services in the European region. At the closing under the Framework Agreement, Eutelsat will contribute and transfer assets relating to Eutelsat’s existing wholesale satellite broadband business (including its KA-SAT satellite) to a newly formed subsidiary of Eutelsat in exchange for the issuance of new shares in such subsidiary, and following such contribution and issuance, we will purchase 49% of the issued shares of Eutelsat’s subsidiary from Eutelsat for €132.5 million and, similarly, Eutelsat will purchase 49% of the issued shares of a second newly formed subsidiary of ViaSat for an immaterial amount. Also at the closing, we and Eutelsat will enter into shareholders’ agreements and other ancillary agreements with respect to the ownership, management and operation of the two entities. The closing of the transactions under the Framework Agreement is subject to customary conditions, including the receipt of required regulatory approvals and third-party consents. We currently anticipate that the closing will occur in the second quarter of fiscal year 2017.</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commercial networks segment develops and produces a variety of advanced end-to-end satellite and wireless communication systems, ground networking equipment and space-to-earth connectivity systems. We design and build customized fixed and mobile satellite communication systems capable of serving a variety of markets and applications. In addition, we offer an array of ground networking equipment and products, including customer premise equipment (CPE), satellite modems, antenna technologies, earth stations and satellite networking hubs. Our communication systems, networking equipment and products are generally developed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through a combination of customer and discretionary internal research and development funding, are utilized to provide services through our satellite services segment and are also sold to commercial networks customers.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growth in our commercial networks segment will be driven in the coming years by continued growth in worldwide demand for communications systems, ground networking equipment and products that enable or support access to high-speed broadband services, and by the increasing cost-effectiveness of satellite technologies to rapidly deploy broadband services across wide geographic areas and to large numbers of people within the satellite footprint. Our commercial networks segment also leverages the deployment of our own proprietary high-capacity Ka-band satellites, as well as Ka-band satellites operated or being built for third parties around the world, by providing the ground infrastructure and user terminals that access the satellites. However, our research and development investments in our ViaSat-3 class satellites and related ground infrastructure are expected to continue to negatively impact our financial results in our commercial networks segment in fiscal year 2017 and beyond.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communication systems, ground networking equipment and products include:</w:t>
      </w:r>
    </w:p>
    <w:p>
      <w:pPr>
        <w:spacing w:after="0" w:line="90" w:lineRule="exact"/>
        <w:rPr>
          <w:sz w:val="20"/>
          <w:szCs w:val="20"/>
          <w:color w:val="auto"/>
        </w:rPr>
      </w:pPr>
    </w:p>
    <w:p>
      <w:pPr>
        <w:ind w:left="900" w:right="40" w:hanging="325"/>
        <w:spacing w:after="0" w:line="318"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Fixed Satellite Networks. </w:t>
      </w:r>
      <w:r>
        <w:rPr>
          <w:rFonts w:ascii="Arial" w:cs="Arial" w:eastAsia="Arial" w:hAnsi="Arial"/>
          <w:sz w:val="15"/>
          <w:szCs w:val="15"/>
          <w:color w:val="auto"/>
        </w:rPr>
        <w:t>We are a leading end-to-end network technology supplier for the fixed satellite consumer and enterprise markets. Our next-generation satellite network infrastructure and ground terminals are designed to access Ka-band broadband services on high-capacity satellites. Our SurfBeam</w:t>
      </w:r>
      <w:r>
        <w:rPr>
          <w:rFonts w:ascii="Arial" w:cs="Arial" w:eastAsia="Arial" w:hAnsi="Arial"/>
          <w:sz w:val="10"/>
          <w:szCs w:val="10"/>
          <w:color w:val="auto"/>
        </w:rPr>
        <w:t>®</w:t>
      </w:r>
      <w:r>
        <w:rPr>
          <w:rFonts w:ascii="Arial" w:cs="Arial" w:eastAsia="Arial" w:hAnsi="Arial"/>
          <w:sz w:val="15"/>
          <w:szCs w:val="15"/>
          <w:color w:val="auto"/>
        </w:rPr>
        <w:t xml:space="preserve"> network systems and modems enable satellite broadband access for residential or home office customers. We also offer related products and services to enterprise customers to address bandwidth constraints, latency and other issues, such as our AcceleNet</w:t>
      </w:r>
      <w:r>
        <w:rPr>
          <w:rFonts w:ascii="Arial" w:cs="Arial" w:eastAsia="Arial" w:hAnsi="Arial"/>
          <w:sz w:val="10"/>
          <w:szCs w:val="10"/>
          <w:color w:val="auto"/>
        </w:rPr>
        <w:t>®</w:t>
      </w:r>
      <w:r>
        <w:rPr>
          <w:rFonts w:ascii="Arial" w:cs="Arial" w:eastAsia="Arial" w:hAnsi="Arial"/>
          <w:sz w:val="15"/>
          <w:szCs w:val="15"/>
          <w:color w:val="auto"/>
        </w:rPr>
        <w:t xml:space="preserve"> wide area network (WAN) optimization product, which enables enterprise customers to optimize “cloud computing” services and other applications delivered over WANs.</w:t>
      </w:r>
    </w:p>
    <w:p>
      <w:pPr>
        <w:spacing w:after="0" w:line="18" w:lineRule="exact"/>
        <w:rPr>
          <w:rFonts w:ascii="Arial" w:cs="Arial" w:eastAsia="Arial" w:hAnsi="Arial"/>
          <w:sz w:val="15"/>
          <w:szCs w:val="15"/>
          <w:color w:val="auto"/>
        </w:rPr>
      </w:pPr>
    </w:p>
    <w:p>
      <w:pPr>
        <w:ind w:left="90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Mobile Broadband Satellite Communication Systems. </w:t>
      </w:r>
      <w:r>
        <w:rPr>
          <w:rFonts w:ascii="Arial" w:cs="Arial" w:eastAsia="Arial" w:hAnsi="Arial"/>
          <w:sz w:val="16"/>
          <w:szCs w:val="16"/>
          <w:color w:val="auto"/>
        </w:rPr>
        <w:t>Our mobile satellite communication systems and related products provide high-speed, cost-efficient broadband access while on the move via small transceivers, and are, designed for use in aircraft, high-speed trains and seagoing vessels. Our sales of similar mobile satellite systems to government customers are included in our government satellite communication systems business.</w:t>
      </w:r>
    </w:p>
    <w:p>
      <w:pPr>
        <w:spacing w:after="0" w:line="25"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Antenna Systems</w:t>
      </w:r>
      <w:r>
        <w:rPr>
          <w:rFonts w:ascii="Arial" w:cs="Arial" w:eastAsia="Arial" w:hAnsi="Arial"/>
          <w:sz w:val="16"/>
          <w:szCs w:val="16"/>
          <w:color w:val="auto"/>
        </w:rPr>
        <w:t>. We develop, design, produce, test and install ground terminals and antennas for terrestrial and satellite applications, specializing in</w:t>
      </w:r>
      <w:r>
        <w:rPr>
          <w:rFonts w:ascii="Arial" w:cs="Arial" w:eastAsia="Arial" w:hAnsi="Arial"/>
          <w:sz w:val="16"/>
          <w:szCs w:val="16"/>
          <w:i w:val="1"/>
          <w:iCs w:val="1"/>
          <w:color w:val="auto"/>
        </w:rPr>
        <w:t xml:space="preserve"> </w:t>
      </w:r>
      <w:r>
        <w:rPr>
          <w:rFonts w:ascii="Arial" w:cs="Arial" w:eastAsia="Arial" w:hAnsi="Arial"/>
          <w:sz w:val="16"/>
          <w:szCs w:val="16"/>
          <w:color w:val="auto"/>
        </w:rPr>
        <w:t>earth imaging, remote sensing, mobile satellite communication, Ka-band earth stations and other multi-band antennas.</w:t>
      </w:r>
    </w:p>
    <w:p>
      <w:pPr>
        <w:spacing w:after="0" w:line="4" w:lineRule="exact"/>
        <w:rPr>
          <w:rFonts w:ascii="Arial" w:cs="Arial" w:eastAsia="Arial" w:hAnsi="Arial"/>
          <w:sz w:val="16"/>
          <w:szCs w:val="16"/>
          <w:color w:val="auto"/>
        </w:rPr>
      </w:pPr>
    </w:p>
    <w:p>
      <w:pPr>
        <w:ind w:left="900" w:right="8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Satellite Networking Development. </w:t>
      </w:r>
      <w:r>
        <w:rPr>
          <w:rFonts w:ascii="Arial" w:cs="Arial" w:eastAsia="Arial" w:hAnsi="Arial"/>
          <w:sz w:val="16"/>
          <w:szCs w:val="16"/>
          <w:color w:val="auto"/>
        </w:rPr>
        <w:t>Through our Comsat Labs division, we offer specialized design and technology services covering all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communication system architecture and technology, including the analysis, design, and specification of satellites and ground systems, ASIC and MMIC design and production, and WAN compression for enterprise networks.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allied foreign governments, domestic and allied armed forces, public safety first-responders and remote government employees.</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believe growth in our government systems segment in the coming years will be driven by continued growth in demand for higher-capacity, higher-quality broadband services and associated ground systems and advanced cybersecurity protections. This continued demand reflects the U.S. military’s emphasis on “network-centric” highly mobile warfare over geographically dispersed areas (which requires the development and deployment of secure, IP-based communications networks, products and service offerings capable of supporting real-time dissemination of data using multiple transmission media) and increased use of IP-based network-centric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bandwidth-intensive applications at all organizational levels. Satellite-based systems are increasingly seen as the most reliable method of connecting rapidly moving armed forces who may out-run the range of terrestrial radio links and high-speed broadband connectivity is increasingly required to support real-time command and control decision-making and enhanced situational awareness.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2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Government Mobile Broadband. </w:t>
      </w:r>
      <w:r>
        <w:rPr>
          <w:rFonts w:ascii="Arial" w:cs="Arial" w:eastAsia="Arial" w:hAnsi="Arial"/>
          <w:sz w:val="16"/>
          <w:szCs w:val="16"/>
          <w:color w:val="auto"/>
        </w:rPr>
        <w:t>Our government mobile broadband products and services provide military and government users with high-speed,</w:t>
      </w:r>
      <w:r>
        <w:rPr>
          <w:rFonts w:ascii="Arial" w:cs="Arial" w:eastAsia="Arial" w:hAnsi="Arial"/>
          <w:sz w:val="16"/>
          <w:szCs w:val="16"/>
          <w:i w:val="1"/>
          <w:iCs w:val="1"/>
          <w:color w:val="auto"/>
        </w:rPr>
        <w:t xml:space="preserve"> </w:t>
      </w:r>
      <w:r>
        <w:rPr>
          <w:rFonts w:ascii="Arial" w:cs="Arial" w:eastAsia="Arial" w:hAnsi="Arial"/>
          <w:sz w:val="16"/>
          <w:szCs w:val="16"/>
          <w:color w:val="auto"/>
        </w:rPr>
        <w:t>real-time broadband and multimedia connectivity in key regions of the world. Our government mobile broadband products include mobile broadband modems, terminals, network access control systems and antenna systems using a range of satellite frequency bands capable of being installed and operated on a wide variety of fixed wing, rotary wing, manned and unmanned aircraft.</w:t>
      </w:r>
    </w:p>
    <w:p>
      <w:pPr>
        <w:spacing w:after="0" w:line="31" w:lineRule="exact"/>
        <w:rPr>
          <w:rFonts w:ascii="Arial" w:cs="Arial" w:eastAsia="Arial" w:hAnsi="Arial"/>
          <w:sz w:val="16"/>
          <w:szCs w:val="16"/>
          <w:color w:val="auto"/>
        </w:rPr>
      </w:pPr>
    </w:p>
    <w:p>
      <w:pPr>
        <w:ind w:left="900" w:right="60" w:hanging="325"/>
        <w:spacing w:after="0" w:line="310"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Government Satellite Communication Systems. </w:t>
      </w:r>
      <w:r>
        <w:rPr>
          <w:rFonts w:ascii="Arial" w:cs="Arial" w:eastAsia="Arial" w:hAnsi="Arial"/>
          <w:sz w:val="15"/>
          <w:szCs w:val="15"/>
          <w:color w:val="auto"/>
        </w:rPr>
        <w:t>Our government satellite communication systems offer an array of portable, mobile and fixed</w:t>
      </w:r>
      <w:r>
        <w:rPr>
          <w:rFonts w:ascii="Arial" w:cs="Arial" w:eastAsia="Arial" w:hAnsi="Arial"/>
          <w:sz w:val="15"/>
          <w:szCs w:val="15"/>
          <w:i w:val="1"/>
          <w:iCs w:val="1"/>
          <w:color w:val="auto"/>
        </w:rPr>
        <w:t xml:space="preserve"> </w:t>
      </w:r>
      <w:r>
        <w:rPr>
          <w:rFonts w:ascii="Arial" w:cs="Arial" w:eastAsia="Arial" w:hAnsi="Arial"/>
          <w:sz w:val="15"/>
          <w:szCs w:val="15"/>
          <w:color w:val="auto"/>
        </w:rPr>
        <w:t>broadband modems, terminals, network access control systems and antenna systems using a range of satellite frequency bands for line-of-sight and beyond-line-of-sight Intelligence, Surveillance, and Reconnaissance (ISR) and Command and Control (C2) missions, satellite networking services, network management systems for Wi-Fi and other internet access networks, and global mobile broadband capability with satellite technologies. Our systems, products and service offerings are designed to support high-throughput broadband data links, to increase available bandwidth using existing satellite capacity, and to withstand certain catastrophic events. Our range of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and fixed applications.</w:t>
      </w:r>
    </w:p>
    <w:p>
      <w:pPr>
        <w:spacing w:after="0" w:line="27" w:lineRule="exact"/>
        <w:rPr>
          <w:rFonts w:ascii="Arial" w:cs="Arial" w:eastAsia="Arial" w:hAnsi="Arial"/>
          <w:sz w:val="15"/>
          <w:szCs w:val="15"/>
          <w:color w:val="auto"/>
        </w:rPr>
      </w:pPr>
    </w:p>
    <w:p>
      <w:pPr>
        <w:ind w:left="900" w:right="280" w:hanging="325"/>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and Information Assurance. </w:t>
      </w:r>
      <w:r>
        <w:rPr>
          <w:rFonts w:ascii="Arial" w:cs="Arial" w:eastAsia="Arial" w:hAnsi="Arial"/>
          <w:sz w:val="16"/>
          <w:szCs w:val="16"/>
          <w:color w:val="auto"/>
        </w:rPr>
        <w:t>Our cybersecurity and information assurance products and services provide advanced, high-speed IP-based “Type 1” and High Assurance Internet Protocol Encryption (HAIPE</w:t>
      </w:r>
      <w:r>
        <w:rPr>
          <w:rFonts w:ascii="Arial" w:cs="Arial" w:eastAsia="Arial" w:hAnsi="Arial"/>
          <w:sz w:val="10"/>
          <w:szCs w:val="10"/>
          <w:color w:val="auto"/>
        </w:rPr>
        <w:t>®</w:t>
      </w:r>
      <w:r>
        <w:rPr>
          <w:rFonts w:ascii="Arial" w:cs="Arial" w:eastAsia="Arial" w:hAnsi="Arial"/>
          <w:sz w:val="16"/>
          <w:szCs w:val="16"/>
          <w:color w:val="auto"/>
        </w:rPr>
        <w:t>)-compliant encryption solutions that enable military and government users to communicate information securely over networks, and that secure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satellite communication systems and products.</w:t>
      </w:r>
    </w:p>
    <w:p>
      <w:pPr>
        <w:spacing w:after="0" w:line="39" w:lineRule="exact"/>
        <w:rPr>
          <w:rFonts w:ascii="Arial" w:cs="Arial" w:eastAsia="Arial" w:hAnsi="Arial"/>
          <w:sz w:val="16"/>
          <w:szCs w:val="16"/>
          <w:color w:val="auto"/>
        </w:rPr>
      </w:pPr>
    </w:p>
    <w:p>
      <w:pPr>
        <w:ind w:left="900" w:right="20" w:hanging="325"/>
        <w:spacing w:after="0" w:line="303"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Tactical Data Links. </w:t>
      </w:r>
      <w:r>
        <w:rPr>
          <w:rFonts w:ascii="Arial" w:cs="Arial" w:eastAsia="Arial" w:hAnsi="Arial"/>
          <w:sz w:val="15"/>
          <w:szCs w:val="15"/>
          <w:color w:val="auto"/>
        </w:rPr>
        <w:t>We develop and produce advanced tactical radio and information distribution systems that enable real-time collection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dissemination of video and data using secure, jam-resistant transmission links from manned aircraft, ground mobile vehicles and other remote platforms to networked communication and command centers. Key products in this category include our Battlefield Awareness and Targeting System</w:t>
      </w:r>
    </w:p>
    <w:p>
      <w:pPr>
        <w:spacing w:after="0" w:line="1" w:lineRule="exact"/>
        <w:rPr>
          <w:rFonts w:ascii="Arial" w:cs="Arial" w:eastAsia="Arial" w:hAnsi="Arial"/>
          <w:sz w:val="15"/>
          <w:szCs w:val="15"/>
          <w:color w:val="auto"/>
        </w:rPr>
      </w:pPr>
    </w:p>
    <w:p>
      <w:pPr>
        <w:jc w:val="both"/>
        <w:ind w:left="900"/>
        <w:spacing w:after="0" w:line="255" w:lineRule="auto"/>
        <w:rPr>
          <w:rFonts w:ascii="Arial" w:cs="Arial" w:eastAsia="Arial" w:hAnsi="Arial"/>
          <w:sz w:val="15"/>
          <w:szCs w:val="15"/>
          <w:color w:val="auto"/>
        </w:rPr>
      </w:pPr>
      <w:r>
        <w:rPr>
          <w:rFonts w:ascii="Arial" w:cs="Arial" w:eastAsia="Arial" w:hAnsi="Arial"/>
          <w:sz w:val="18"/>
          <w:szCs w:val="18"/>
          <w:color w:val="auto"/>
        </w:rPr>
        <w:t>— Dismounted (BATS-D) handheld link radios, as well as our Multifunctional Information Distribution System (MIDS) terminals for military fighter jets and their successor, MIDS Joint Tactical Radio System (MIDS-JTRS) terminals, “disposable” weapon data links and other portable small tactical terminals.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the following strengths position our business to capitalize on the attractive growth opportunities presented in our business segments:</w:t>
      </w:r>
    </w:p>
    <w:p>
      <w:pPr>
        <w:spacing w:after="0" w:line="113" w:lineRule="exact"/>
        <w:rPr>
          <w:sz w:val="20"/>
          <w:szCs w:val="20"/>
          <w:color w:val="auto"/>
        </w:rPr>
      </w:pPr>
    </w:p>
    <w:p>
      <w:pPr>
        <w:ind w:left="900" w:right="60" w:hanging="325"/>
        <w:spacing w:after="0" w:line="323"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Vertically Integrated End-to-End Platform of Leading Broadband Technologies</w:t>
      </w:r>
      <w:r>
        <w:rPr>
          <w:rFonts w:ascii="Arial" w:cs="Arial" w:eastAsia="Arial" w:hAnsi="Arial"/>
          <w:sz w:val="15"/>
          <w:szCs w:val="15"/>
          <w:color w:val="auto"/>
        </w:rPr>
        <w:t>. We believe our innovative ecosystem of high-capacity Ka-band</w:t>
      </w:r>
      <w:r>
        <w:rPr>
          <w:rFonts w:ascii="Arial" w:cs="Arial" w:eastAsia="Arial" w:hAnsi="Arial"/>
          <w:sz w:val="15"/>
          <w:szCs w:val="15"/>
          <w:i w:val="1"/>
          <w:iCs w:val="1"/>
          <w:color w:val="auto"/>
        </w:rPr>
        <w:t xml:space="preserve"> </w:t>
      </w:r>
      <w:r>
        <w:rPr>
          <w:rFonts w:ascii="Arial" w:cs="Arial" w:eastAsia="Arial" w:hAnsi="Arial"/>
          <w:sz w:val="15"/>
          <w:szCs w:val="15"/>
          <w:color w:val="auto"/>
        </w:rPr>
        <w:t>satellites, ground infrastructure and user terminals provides a vertically integrated end-to-end platform that uniquely positions us to cost-effectively deliver a diverse portfolio of high-speed, high-quality broadband solutions and applications to enterprises, consumers and government users. Our product, system and service offerings are often linked through common underlying technologies, customer applications and market relationships. We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94" w:lineRule="auto"/>
        <w:rPr>
          <w:sz w:val="20"/>
          <w:szCs w:val="20"/>
          <w:color w:val="auto"/>
        </w:rPr>
      </w:pPr>
      <w:r>
        <w:rPr>
          <w:rFonts w:ascii="Arial" w:cs="Arial" w:eastAsia="Arial" w:hAnsi="Arial"/>
          <w:sz w:val="16"/>
          <w:szCs w:val="16"/>
          <w:color w:val="auto"/>
        </w:rPr>
        <w:t>believe that many of the market segments in which we compete have significant barriers to entry relating to the complexity of technology and the amount of required investment, and that limited competition exists for broadband services at higher data speeds. We believe that our comprehensive and vertically integrated portfolio of satellites, products and services, combined with our ability to effectively cross-deploy technologies between government and commercial segments and across different geographic markets, provides us with a strong foundation to sustain and enhance our leadership in broadband technologies and services.</w:t>
      </w:r>
    </w:p>
    <w:p>
      <w:pPr>
        <w:spacing w:after="0" w:line="35" w:lineRule="exact"/>
        <w:rPr>
          <w:sz w:val="20"/>
          <w:szCs w:val="20"/>
          <w:color w:val="auto"/>
        </w:rPr>
      </w:pPr>
    </w:p>
    <w:p>
      <w:pPr>
        <w:ind w:left="900" w:right="40" w:hanging="325"/>
        <w:spacing w:after="0" w:line="28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Innovation of Next-Generation Satellite Technology. </w:t>
      </w:r>
      <w:r>
        <w:rPr>
          <w:rFonts w:ascii="Arial" w:cs="Arial" w:eastAsia="Arial" w:hAnsi="Arial"/>
          <w:sz w:val="16"/>
          <w:szCs w:val="16"/>
          <w:color w:val="auto"/>
        </w:rPr>
        <w:t>We have a long history of innovation in next-generation satellite technologies. Since our</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we have designed and produced advanced satellite communications systems and equipment. Our award-winning first-generation high-capacity Ka-band spot-beam satellite, ViaSat-1, was placed into service in January 2012. In February 2012, the Society of Satellite Professionals International bestowed an Industry Innovators Award on us in recognition of the development and launch of our ViaSat-1 satellite and, with its data throughput of approximately 140 Gigabits per second, in 2013 ViaSat-1 earned a Guinness World Records</w:t>
      </w:r>
      <w:r>
        <w:rPr>
          <w:rFonts w:ascii="Arial" w:cs="Arial" w:eastAsia="Arial" w:hAnsi="Arial"/>
          <w:sz w:val="10"/>
          <w:szCs w:val="10"/>
          <w:color w:val="auto"/>
        </w:rPr>
        <w:t>®</w:t>
      </w:r>
      <w:r>
        <w:rPr>
          <w:rFonts w:ascii="Arial" w:cs="Arial" w:eastAsia="Arial" w:hAnsi="Arial"/>
          <w:sz w:val="16"/>
          <w:szCs w:val="16"/>
          <w:color w:val="auto"/>
        </w:rPr>
        <w:t xml:space="preserve"> title as the highest-capacity communications satellite in the world. In May 2013, we entered into a satellite construction contract for our ViaSat-2 satellite, our second-generation high-capacity Ka-band satellite design, which we expect will be launched during fiscal year 2017. We expect that our ViaSat-2 satellite will significantly expand our data throughput capacity, enabling us to improve the speed, availability and geographic coverage area of our broadband services. In addition, construction has commenced on two ViaSat-3 class satellites, our third-generation high-capacity Ka-band satellite design, pursuant to a limited authorization to proceed, and we anticipate that our ViaSat-3 class satellites will be launched in late 2019 or 2020. Our ViaSat-3 class satellites are designed to further expand our data throughput capacity and geographic coverage area and to support the flexible allocation of capacity to dynamically respond to changing capacity demands, thereby improving the speed, availability and cost-efficiency of our proprietary Ka-band satellite network. Our market-leading Exede in the Air in-flight broadband service has received numerous awards and accolades, including the Crystal Cabin Award for the best Passenger Comfort System in April 2015 and the Excellence in Avionics Award for In-Flight Connectivity Innovation in July 2015. We believe that our innovative satellite technologies and investments in the associated ground infrastructure will enable us to provide greater capacity and faster broadband speeds. We believe our history of developing proprietary and innovative satellite technologies spanning spacecraft, ground infrastructure, user terminals and network design demonstrates that we possess the expertise and credibility required to serve the evolving technology needs of our customers.</w:t>
      </w:r>
    </w:p>
    <w:p>
      <w:pPr>
        <w:spacing w:after="0" w:line="51" w:lineRule="exact"/>
        <w:rPr>
          <w:rFonts w:ascii="Arial" w:cs="Arial" w:eastAsia="Arial" w:hAnsi="Arial"/>
          <w:sz w:val="16"/>
          <w:szCs w:val="16"/>
          <w:color w:val="auto"/>
        </w:rPr>
      </w:pPr>
    </w:p>
    <w:p>
      <w:pPr>
        <w:ind w:left="900" w:hanging="325"/>
        <w:spacing w:after="0" w:line="289"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Diversification of Business Model</w:t>
      </w:r>
      <w:r>
        <w:rPr>
          <w:rFonts w:ascii="Arial" w:cs="Arial" w:eastAsia="Arial" w:hAnsi="Arial"/>
          <w:sz w:val="16"/>
          <w:szCs w:val="16"/>
          <w:color w:val="auto"/>
        </w:rPr>
        <w:t>. Our business is highly diversified, ranging from the provision of broadband services to consumers, enterprises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airlines in the United States, to the worldwide sale of complex satellite communication systems and products to communications service providers and enterprises, to the sale of advanced wireless communications systems, secure networking systems and cybersecurity and information assurance products and services to government users and defense contractors. This diversification in product and service offerings, customer base and market segment helps to reduce our exposure to fluctuations in any of the individual markets we serve. In addition, the flexibility in our business model allows us to allocate our satellite capacity to markets where bandwidth usage demands and returns are highest. During fiscal years 2016, 2015 and 2014, our satellite services segment generated 39%, 36% and 29% of total revenues, our commercial networks segment generated 18%, 25% and 29% of total revenues, and our government systems segment generated 43%, 39% and 42% of total revenues, respectively.</w:t>
      </w:r>
    </w:p>
    <w:p>
      <w:pPr>
        <w:spacing w:after="0" w:line="37" w:lineRule="exact"/>
        <w:rPr>
          <w:rFonts w:ascii="Arial" w:cs="Arial" w:eastAsia="Arial" w:hAnsi="Arial"/>
          <w:sz w:val="16"/>
          <w:szCs w:val="16"/>
          <w:color w:val="auto"/>
        </w:rPr>
      </w:pPr>
    </w:p>
    <w:p>
      <w:pPr>
        <w:ind w:left="900" w:right="360" w:hanging="325"/>
        <w:spacing w:after="0" w:line="303"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Blue-Chip Customer Base and Favorable Consumer Contract Terms. </w:t>
      </w:r>
      <w:r>
        <w:rPr>
          <w:rFonts w:ascii="Arial" w:cs="Arial" w:eastAsia="Arial" w:hAnsi="Arial"/>
          <w:sz w:val="15"/>
          <w:szCs w:val="15"/>
          <w:color w:val="auto"/>
        </w:rPr>
        <w:t>Our customers include the DoD, large defense contractors, allied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governments, civil agencies, satellite network integrators, large communications service providers, commercial airlines and enterprises requiring complex communications and networking solutions and services. We believe that the credit strength of our key customers, including the</w:t>
      </w:r>
    </w:p>
    <w:p>
      <w:pPr>
        <w:spacing w:after="0" w:line="1" w:lineRule="exact"/>
        <w:rPr>
          <w:rFonts w:ascii="Arial" w:cs="Arial" w:eastAsia="Arial" w:hAnsi="Arial"/>
          <w:sz w:val="15"/>
          <w:szCs w:val="15"/>
          <w:color w:val="auto"/>
        </w:rPr>
      </w:pPr>
    </w:p>
    <w:p>
      <w:pPr>
        <w:ind w:left="900" w:right="220"/>
        <w:spacing w:after="0" w:line="261" w:lineRule="auto"/>
        <w:rPr>
          <w:rFonts w:ascii="Arial" w:cs="Arial" w:eastAsia="Arial" w:hAnsi="Arial"/>
          <w:sz w:val="15"/>
          <w:szCs w:val="15"/>
          <w:color w:val="auto"/>
        </w:rPr>
      </w:pPr>
      <w:r>
        <w:rPr>
          <w:rFonts w:ascii="Arial" w:cs="Arial" w:eastAsia="Arial" w:hAnsi="Arial"/>
          <w:sz w:val="18"/>
          <w:szCs w:val="18"/>
          <w:color w:val="auto"/>
        </w:rPr>
        <w:t>U.S. government, leading aerospace and defense prime contractors and commercial airlines, as well as our favorable consumer broadband contract terms, help support more consistent financial performance.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325"/>
        <w:spacing w:after="0" w:line="305"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Experienced Management Team. </w:t>
      </w:r>
      <w:r>
        <w:rPr>
          <w:rFonts w:ascii="Arial" w:cs="Arial" w:eastAsia="Arial" w:hAnsi="Arial"/>
          <w:sz w:val="15"/>
          <w:szCs w:val="15"/>
          <w:color w:val="auto"/>
        </w:rPr>
        <w:t>Our Chief Executive Officer, Mark Dankberg, and our Chief Technology Officers have been with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since its inception in 1986. Mr. Dankberg is considered to be a leading expert in the field of satellite and wireless communications. In 2008,</w:t>
      </w:r>
    </w:p>
    <w:p>
      <w:pPr>
        <w:ind w:left="900" w:right="120"/>
        <w:spacing w:after="0" w:line="254" w:lineRule="auto"/>
        <w:rPr>
          <w:rFonts w:ascii="Arial" w:cs="Arial" w:eastAsia="Arial" w:hAnsi="Arial"/>
          <w:sz w:val="15"/>
          <w:szCs w:val="15"/>
          <w:color w:val="auto"/>
        </w:rPr>
      </w:pPr>
      <w:r>
        <w:rPr>
          <w:rFonts w:ascii="Arial" w:cs="Arial" w:eastAsia="Arial" w:hAnsi="Arial"/>
          <w:sz w:val="18"/>
          <w:szCs w:val="18"/>
          <w:color w:val="auto"/>
        </w:rPr>
        <w:t>Mr. Dankberg received the prestigious AIAA Aerospace International Communication award, which recognized him for “shepherding ViaSat into a leading satellite communications company through outstanding leadership and technical expertise.” In 2013, Mr. Dankberg received the Innovator Award from the Arthur C. Clarke Foundation. In 2015, Mr. Dankberg was inducted into the Society of Satellite Professionals Hall of Fame for his leadership and visionary role in satellite communications.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business strategy is to be a leading provider of high-speed and cost-effective broadband and advanced communications products and services, utilizing our leading satellite technologies. The principal elements of our strategy include:</w:t>
      </w:r>
    </w:p>
    <w:p>
      <w:pPr>
        <w:spacing w:after="0" w:line="51" w:lineRule="exact"/>
        <w:rPr>
          <w:sz w:val="20"/>
          <w:szCs w:val="20"/>
          <w:color w:val="auto"/>
        </w:rPr>
      </w:pPr>
    </w:p>
    <w:p>
      <w:pPr>
        <w:jc w:val="both"/>
        <w:ind w:left="900" w:right="240" w:hanging="325"/>
        <w:spacing w:after="0" w:line="335"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Maintain Focus on Technology Leadership. </w:t>
      </w:r>
      <w:r>
        <w:rPr>
          <w:rFonts w:ascii="Arial" w:cs="Arial" w:eastAsia="Arial" w:hAnsi="Arial"/>
          <w:sz w:val="15"/>
          <w:szCs w:val="15"/>
          <w:color w:val="auto"/>
        </w:rPr>
        <w:t>We will continue to focus on research and development to maintain our leadership position in satellite</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technologies and services. Innovative satellite and product development has been one of our hallmarks and continues to be critical to our success. Our research and development efforts are supported by an employee base of over 1,900 engineers and a culture that deeply values innovation.</w:t>
      </w:r>
    </w:p>
    <w:p>
      <w:pPr>
        <w:spacing w:after="0" w:line="7" w:lineRule="exact"/>
        <w:rPr>
          <w:rFonts w:ascii="Arial" w:cs="Arial" w:eastAsia="Arial" w:hAnsi="Arial"/>
          <w:sz w:val="15"/>
          <w:szCs w:val="15"/>
          <w:color w:val="auto"/>
        </w:rPr>
      </w:pPr>
    </w:p>
    <w:p>
      <w:pPr>
        <w:ind w:left="900" w:right="180" w:hanging="325"/>
        <w:spacing w:after="0" w:line="290"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Continue to Expand our Addressable Markets. </w:t>
      </w:r>
      <w:r>
        <w:rPr>
          <w:rFonts w:ascii="Arial" w:cs="Arial" w:eastAsia="Arial" w:hAnsi="Arial"/>
          <w:sz w:val="16"/>
          <w:szCs w:val="16"/>
          <w:color w:val="auto"/>
        </w:rPr>
        <w:t>We focus on designing and developing high-capacity satellite technologies. As the capacity, data</w:t>
      </w:r>
      <w:r>
        <w:rPr>
          <w:rFonts w:ascii="Arial" w:cs="Arial" w:eastAsia="Arial" w:hAnsi="Arial"/>
          <w:sz w:val="16"/>
          <w:szCs w:val="16"/>
          <w:i w:val="1"/>
          <w:iCs w:val="1"/>
          <w:color w:val="auto"/>
        </w:rPr>
        <w:t xml:space="preserve"> </w:t>
      </w:r>
      <w:r>
        <w:rPr>
          <w:rFonts w:ascii="Arial" w:cs="Arial" w:eastAsia="Arial" w:hAnsi="Arial"/>
          <w:sz w:val="16"/>
          <w:szCs w:val="16"/>
          <w:color w:val="auto"/>
        </w:rPr>
        <w:t>throughput speeds and geographic coverage areas of our satellite systems continue to increase (with each generation of our high-capacity Ka-band satellite designs), we expect the addressable market for our broadband technologies, products and services (whether consumer, enterprise, commercial airline or government) to similarly expand. Higher capacity, more flexible satellites allow us to offer cost-effective broadband services that allow greater data usage at faster speeds, thereby enabling us to better compete against other broadband technologies (including terrestrial technologies) over large geographic areas. As the speed of our broadband offerings increases, we expect the number of companies able to provide competing broadband offerings at equivalent speeds to decrease.</w:t>
      </w:r>
    </w:p>
    <w:p>
      <w:pPr>
        <w:spacing w:after="0" w:line="37" w:lineRule="exact"/>
        <w:rPr>
          <w:rFonts w:ascii="Arial" w:cs="Arial" w:eastAsia="Arial" w:hAnsi="Arial"/>
          <w:sz w:val="16"/>
          <w:szCs w:val="16"/>
          <w:color w:val="auto"/>
        </w:rPr>
      </w:pPr>
    </w:p>
    <w:p>
      <w:pPr>
        <w:ind w:left="900" w:right="200" w:hanging="325"/>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Drive Cost Efficiencies. </w:t>
      </w:r>
      <w:r>
        <w:rPr>
          <w:rFonts w:ascii="Arial" w:cs="Arial" w:eastAsia="Arial" w:hAnsi="Arial"/>
          <w:sz w:val="18"/>
          <w:szCs w:val="18"/>
          <w:color w:val="auto"/>
        </w:rPr>
        <w:t>We continue to drive cost efficiencies in our businesses through our development of leading, vertically integrated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We optimize our satellite network systems through our development of an end-to-end platform of next-generation Ka-band satellites, ground networking equipment and user terminals that enable the provision of high-speed broadband services. Our ViaSat-3 class satellites are expected to further drive cost efficiencies through their ability to efficiently and dynamically match supply and demand through the flexible allocation of capacity within the satellite footprint.</w:t>
      </w:r>
    </w:p>
    <w:p>
      <w:pPr>
        <w:spacing w:after="0" w:line="61" w:lineRule="exact"/>
        <w:rPr>
          <w:rFonts w:ascii="Arial" w:cs="Arial" w:eastAsia="Arial" w:hAnsi="Arial"/>
          <w:sz w:val="18"/>
          <w:szCs w:val="18"/>
          <w:color w:val="auto"/>
        </w:rPr>
      </w:pPr>
    </w:p>
    <w:p>
      <w:pPr>
        <w:ind w:left="900" w:hanging="325"/>
        <w:spacing w:after="0" w:line="287"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Focus on International Opportunities. </w:t>
      </w:r>
      <w:r>
        <w:rPr>
          <w:rFonts w:ascii="Arial" w:cs="Arial" w:eastAsia="Arial" w:hAnsi="Arial"/>
          <w:sz w:val="16"/>
          <w:szCs w:val="16"/>
          <w:color w:val="auto"/>
        </w:rPr>
        <w:t>We believe that international markets represent an attractive opportunity for our business. As worldwide</w:t>
      </w:r>
      <w:r>
        <w:rPr>
          <w:rFonts w:ascii="Arial" w:cs="Arial" w:eastAsia="Arial" w:hAnsi="Arial"/>
          <w:sz w:val="16"/>
          <w:szCs w:val="16"/>
          <w:i w:val="1"/>
          <w:iCs w:val="1"/>
          <w:color w:val="auto"/>
        </w:rPr>
        <w:t xml:space="preserve"> </w:t>
      </w:r>
      <w:r>
        <w:rPr>
          <w:rFonts w:ascii="Arial" w:cs="Arial" w:eastAsia="Arial" w:hAnsi="Arial"/>
          <w:sz w:val="16"/>
          <w:szCs w:val="16"/>
          <w:color w:val="auto"/>
        </w:rPr>
        <w:t>demand for broadband connectivity and services continues to grow, we expect that our comprehensive offering of next-generation Ka-band satellites, advanced end-to-end communication systems and ground networking equipment and products, and their ability to enable cost-effective, high-speed broadband services, will be increasingly attractive internationally. Following launch, our ViaSat-2 satellite currently under construction is expected to provide seven times the geographic coverage of ViaSat-1, and our ViaSat-3 class satellites currently under construction are expected to provide broadband services over the Americas and over Europe, the Middle East and Africa, respectively, thereby making our cost-effective, high-speed broadband service offerings available to new markets. We anticipate that our ViaSat-2 satellite will be launched during fiscal year 2017 and that our ViaSat-3 class satellites will be launched in late 2019 or 2020. In addition, in February 2016, we entered into a Framework Agreement with Eutelsat, pursuant to which we have agreed to enter into a strategic partnering arrangement with Eutelsat to own and operate satellite broadband infrastructure and equipment and provide broadband internet services in the European region.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8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Pursue Growth Through Strategic Alliances, Partnering Arrangements and Relationships. </w:t>
      </w:r>
      <w:r>
        <w:rPr>
          <w:rFonts w:ascii="Arial" w:cs="Arial" w:eastAsia="Arial" w:hAnsi="Arial"/>
          <w:sz w:val="16"/>
          <w:szCs w:val="16"/>
          <w:color w:val="auto"/>
        </w:rPr>
        <w:t>We actively seek strategic relationships and joint ventures</w:t>
      </w:r>
      <w:r>
        <w:rPr>
          <w:rFonts w:ascii="Arial" w:cs="Arial" w:eastAsia="Arial" w:hAnsi="Arial"/>
          <w:sz w:val="16"/>
          <w:szCs w:val="16"/>
          <w:i w:val="1"/>
          <w:iCs w:val="1"/>
          <w:color w:val="auto"/>
        </w:rPr>
        <w:t xml:space="preserve"> </w:t>
      </w:r>
      <w:r>
        <w:rPr>
          <w:rFonts w:ascii="Arial" w:cs="Arial" w:eastAsia="Arial" w:hAnsi="Arial"/>
          <w:sz w:val="16"/>
          <w:szCs w:val="16"/>
          <w:color w:val="auto"/>
        </w:rPr>
        <w:t>with companies whose financial, marketing, operational or technological resources can accelerate the introduction of new technologies and the penetration of new markets, such as our proposed European expansion in our satellite services segment contemplated by the Framework Agreement with Eutelsat. In our government systems segment, we regularly enter into teaming arrangements with other government contractors to more effectively capture complex government programs. We have also engaged in strategic relationships with companies that have innovative technologies and products, highly skilled personnel, market presence, or customer relationships and distribution channels that complement our strategy. We may continue to evaluate acquisitions of, or investments in, complementary companies, businesses, products or technologies to supplement our internal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customer base is highly diversified. Customers in our satellite services segment include residential customers, commercial airlines, small businesses and other enterprise customers of our broadband services. The customers of our government systems and commercial networks segments include the DoD, U.S. National Security Agency, the U.S. Department of Homeland Security, allied foreign governments, select other U.S. federal, state and local government agencies,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prime contractors. In our commercial networks segment, we also act as both a prime contractor and subcontractor for the sale of equipment and services.</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Revenues from the U.S. government as an individual customer comprised approximately 24%, 23% and 21% of total revenues for fiscal years 2016, 2015 and 2014, respectively. None of our commercial customers comprised 10% or more of total revenues in fiscal years 2016, 2015 and 2014.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technical capabilities in special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multiple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for a fixed price and, accordingly, realize the benefit or detriment to the extent that the actual cost of performing the work differs from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contract price. In fiscal year 2016, approximately 13% of our total government revenues was generated from cost-reimbursement contracts with the federal government or our prime contractors, approximately 1% from time-and-materials contracts and approximately 86% from fixed-price contracts.</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allowable federal government contract costs and fees are subject to audit and review by the Defense Contracting Management Agency (DCMA) and the Defense Contract Audit Agency (DCAA), as discussed below under “— Regulatory Environment — Other Regulations.”</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federal government contracts may be terminated, in whole or in part, at the convenience of the U.S. government. If a termination for convenience occurs, the U.S. government generally is obligated to pay the cost incurred by us under the contract plus a pro rata fee based upon the work completed.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9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 In our experience, options are exercised more often than not.</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innovative satellite technologies and new and enhanced products and services, is a significant factor in maintaining or improving our competitive position and our prospects for growth. Therefore, we continue to make significant investments in next-generation satellite technologies and product development.</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 the majority of our research and product development activities in-house and have a research and development and engineering staff, which includes over 1,900 engineers. Our product development activities focus on products that we consider viable revenue opportunities to support all of our business segments. A significant portion of our research and development efforts for our products have generally been conducted in direct response to the specific requirements of a customer’s order and, accordingly, these amounts are included in the cost of sales when incurred and the related funding is included in revenues at that time.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portion of our contract revenues which includes research and development funded by government and commercial customers was approximately 20%, 23% and 31% during fiscal years 2016, 2015 and 2014, respectively, of our total revenues. In addition, we incurred $77.2 million, $46.7 million and $60.7 million during fiscal years 2016, 2015 and 2014, respectively, on independent research and development (IR&amp;D) expenses, which comprises research and development not directly funded by a third party. Funded research and development contains a profit component and is therefore not directly comparable to IR&amp;D. As a U.S. government contractor, we also are able to recover a portion of our IR&amp;D expenses, consisting primarily of salaries and other personnel-related expenses, supplies and prototype materials related to research and development programs.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seek to establish and maintain our proprietary rights in our technology and products through a combination of patents, copyrights, trademarks, trade secret laws and contractual rights. We also seek to maintain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against competitive products in any particular jurisdiction. Although we believe the 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a sales presence in various domestic and foreign locations, and we sell our products and services both directly and indirectly through channel partners, as described below:</w:t>
      </w:r>
    </w:p>
    <w:p>
      <w:pPr>
        <w:spacing w:after="0" w:line="51" w:lineRule="exact"/>
        <w:rPr>
          <w:sz w:val="20"/>
          <w:szCs w:val="20"/>
          <w:color w:val="auto"/>
        </w:rPr>
      </w:pPr>
    </w:p>
    <w:p>
      <w:pPr>
        <w:ind w:left="900" w:right="120" w:hanging="325"/>
        <w:spacing w:after="0" w:line="318"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Satellite Services Sales Organization. </w:t>
      </w:r>
      <w:r>
        <w:rPr>
          <w:rFonts w:ascii="Arial" w:cs="Arial" w:eastAsia="Arial" w:hAnsi="Arial"/>
          <w:sz w:val="15"/>
          <w:szCs w:val="15"/>
          <w:color w:val="auto"/>
        </w:rPr>
        <w:t>Our satellite services sales organization for our broadband internet services sells directly to residential</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customers in our retail channel through our Exede website, sales call centers and through over 1,000 active retailer dealers (including DirecTV), In addition, subscribers for our broadband internet services are also acquired through our wholesale distribution relationships with DISH Network and the National Rural Telecommunications Cooperative. Our satellite services sales organization also includes direct sales and business development personnel who work with enterprises and commercial airlines to identify business opportunities and develop solutions for customers’ needs.</w:t>
      </w:r>
    </w:p>
    <w:p>
      <w:pPr>
        <w:spacing w:after="0" w:line="18" w:lineRule="exact"/>
        <w:rPr>
          <w:rFonts w:ascii="Arial" w:cs="Arial" w:eastAsia="Arial" w:hAnsi="Arial"/>
          <w:sz w:val="15"/>
          <w:szCs w:val="15"/>
          <w:color w:val="auto"/>
        </w:rPr>
      </w:pPr>
    </w:p>
    <w:p>
      <w:pPr>
        <w:ind w:left="900" w:hanging="325"/>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Commercial Networks Sales Organization. </w:t>
      </w:r>
      <w:r>
        <w:rPr>
          <w:rFonts w:ascii="Arial" w:cs="Arial" w:eastAsia="Arial" w:hAnsi="Arial"/>
          <w:sz w:val="16"/>
          <w:szCs w:val="16"/>
          <w:color w:val="auto"/>
        </w:rPr>
        <w:t>Our commercial networks sales organization consists of sales managers and sales engineers, who act 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primary interface to establish account relationships and determine technical requirements for customer networks. In addition to our sales force, we maintain a highly trained service staff to provide technical product and service support to our customers. The sales cycle in the commercial network market is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34"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Government Systems Sales Organization. </w:t>
      </w:r>
      <w:r>
        <w:rPr>
          <w:rFonts w:ascii="Arial" w:cs="Arial" w:eastAsia="Arial" w:hAnsi="Arial"/>
          <w:sz w:val="18"/>
          <w:szCs w:val="18"/>
          <w:color w:val="auto"/>
        </w:rPr>
        <w:t>Our government systems sales organization consists of both direct sales personnel who sell our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business development personnel who work with engineers, program managers, marketing managers and contract managers to identify business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335" w:lineRule="auto"/>
        <w:rPr>
          <w:sz w:val="20"/>
          <w:szCs w:val="20"/>
          <w:color w:val="auto"/>
        </w:rPr>
      </w:pPr>
      <w:r>
        <w:rPr>
          <w:rFonts w:ascii="Arial" w:cs="Arial" w:eastAsia="Arial" w:hAnsi="Arial"/>
          <w:sz w:val="15"/>
          <w:szCs w:val="15"/>
          <w:color w:val="auto"/>
        </w:rPr>
        <w:t>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spacing w:after="0" w:line="7" w:lineRule="exact"/>
        <w:rPr>
          <w:sz w:val="20"/>
          <w:szCs w:val="20"/>
          <w:color w:val="auto"/>
        </w:rPr>
      </w:pPr>
    </w:p>
    <w:p>
      <w:pPr>
        <w:ind w:left="900" w:right="12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Strategic Partners. </w:t>
      </w:r>
      <w:r>
        <w:rPr>
          <w:rFonts w:ascii="Arial" w:cs="Arial" w:eastAsia="Arial" w:hAnsi="Arial"/>
          <w:sz w:val="16"/>
          <w:szCs w:val="16"/>
          <w:color w:val="auto"/>
        </w:rPr>
        <w:t>To augment our direct sales efforts, we seek to develop key strategic relationships to market and sell our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marketing team works closely with our sales, research and product development organizations and our customers to increase the awareness of the ViaSat brand through a mix of positive program performance and our customers’ recommendation as well as public relations, advertising, trade show participation and conference speaking engagements by providing communications that keep the market current on our products and features. Our marketing team also identifies and sizes new target markets for our products and services, creates awareness of our company and our portfolio of offerings, and generates contacts and leads within these targeted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markets in which we compete are characterized by rapid change, converging technologies and a migration to solutions that offer higher capacity and speed and other superior advantages. These market factors represent both an opportunity and a competitive threat to us. In many cases our competitors can also be our customers or partners. Accordingly, maintaining an open and cooperative relationship is important. The overall number of our competitors may increase, and the identity and composition of competitors may change. As we continue to expand our business globally, we may see new competition in different geographic regions.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compete, we emphasize: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high-speed, high-quality and broad geographic availability of our broadband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proven designs and network integration services for complex, customized network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increased bandwidth efficiency offered by our networks,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innovative and flexible features integrated into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network management experience;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end-to-end network implementation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distinct advantages of satellite data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advantages and advanced features of our antenna systems as compared to our competitors’ offerings;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cost-effectiveness of our communications systems, products and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While we believe we compete successfully on each of these factors, we expect to continue to face intense competition in each of our markets.</w:t>
      </w:r>
    </w:p>
    <w:p>
      <w:pPr>
        <w:spacing w:after="0" w:line="194"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In our satellite services segment, we face competition for consumer and enterprise broadband services both from existing competitors and emerging technologies. Our residential and other fixed broadband service offerings compete with broadband service offerings from wireline and wireless telecommunications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cable companies, satellite companies and internet service providers.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In addition, the broadband services market continues to see industry consolidation and vertical integration, which may enable our competitors to provide competing services to broader customer segments. New entrants, some with significant financial resources, and new emerging technologies (including 5G and advanced fiber) may compete with our broadband service offerings. For example, Google has launched high-speed internet and video services in a limited number of areas and has announced plans to expand in more areas. Our in-flight broadband service offerings compete against air-to-ground mobile services and other satellite-based services, such as the services offered by Global Eagle and Gogo. We believe that our Ka-band satellite-based in-flight broadband services offer a competitive combination of high-speed and data throughput capacity, that enable commercial airlines and business jets to offer more passengers on more flights the ability to enjoy high-speed broadband services such as streaming video.</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commercial networks segment, we compete with numerous other providers of satellite and terrestrial communications systems, products and equipment, including: ASC Signal, Astrium, Comtech, General Dynamics, Gilat, EchoStar (Hughes Network Systems), iDirect Technologies, L-3 Communications, Newtec, Panasonic, Space Systems/Loral, Thales and Zodiac Data Systems. In addition, some of our customers continuously evaluate whether to develop and manufacture their own products and could elect to compete with us at any time.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Within our government systems segment, we generally compete with manufacturers of defense electronics products, systems or subsystems, such as BAE Systems, General Dynamics, Harris, Inmarsat, L-3 Communications, Rockwell Collins and similar companies. We may also occasionally compete directly with the largest defense prime contractors, including Boeing, Lockheed Martin, Northrop Grumman and Raytheon Systems. In many cases we partner with our competitors, and therefore maintaining an open and cooperative relationship is important.</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Many of our competitors in our commercial networks and government systems segments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Contract manufacturers produce products for many different customers and are able to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Benchmark, CyberTAN, Davida Technology Partners, EADS, Flextronics, Harris, IEC Electronics Corporation, Microelectronics Technology (MTI), NeoTech, Plexus and Regal Technology Partners.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capability for standard products has been, and is expected to continue to be, very limited and we intend to continue to rely on contract manufacturers for large-scale manufacturing.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required to comply with the laws and regulations of, and often obtain approvals from, national and local authorities in connection with the services that we provide. In particular, we provide a number of services that rely on the use of radio-frequency spectrum, and the provision of such services is highly regulated. National authorities generally require that the satellites they authorize be operated in a manner consistent with the regulations and procedures of the International Telecommunication Union (ITU), which require the coordination of the operation of satellite systems in certain circumstances, and more generally are intended to avoid the occurrence of harmful interference among different users of the radio spectrum.</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w:t>
      </w:r>
    </w:p>
    <w:p>
      <w:pPr>
        <w:spacing w:after="0" w:line="224" w:lineRule="exact"/>
        <w:rPr>
          <w:sz w:val="20"/>
          <w:szCs w:val="20"/>
          <w:color w:val="auto"/>
        </w:rPr>
      </w:pPr>
    </w:p>
    <w:p>
      <w:pPr>
        <w:jc w:val="right"/>
        <w:ind w:right="7720"/>
        <w:spacing w:after="0"/>
        <w:rPr>
          <w:sz w:val="20"/>
          <w:szCs w:val="20"/>
          <w:color w:val="auto"/>
        </w:rPr>
      </w:pPr>
      <w:r>
        <w:rPr>
          <w:rFonts w:ascii="Arial" w:cs="Arial" w:eastAsia="Arial" w:hAnsi="Arial"/>
          <w:sz w:val="15"/>
          <w:szCs w:val="15"/>
          <w:b w:val="1"/>
          <w:bCs w:val="1"/>
          <w:i w:val="1"/>
          <w:iCs w:val="1"/>
          <w:color w:val="auto"/>
        </w:rPr>
        <w:t>Radio-frequency and Communications Regulation</w:t>
      </w:r>
    </w:p>
    <w:p>
      <w:pPr>
        <w:spacing w:after="0" w:line="125" w:lineRule="exact"/>
        <w:rPr>
          <w:sz w:val="20"/>
          <w:szCs w:val="20"/>
          <w:color w:val="auto"/>
        </w:rPr>
      </w:pPr>
    </w:p>
    <w:p>
      <w:pPr>
        <w:jc w:val="right"/>
        <w:ind w:right="7740"/>
        <w:spacing w:after="0"/>
        <w:rPr>
          <w:sz w:val="20"/>
          <w:szCs w:val="20"/>
          <w:color w:val="auto"/>
        </w:rPr>
      </w:pPr>
      <w:r>
        <w:rPr>
          <w:rFonts w:ascii="Arial" w:cs="Arial" w:eastAsia="Arial" w:hAnsi="Arial"/>
          <w:sz w:val="16"/>
          <w:szCs w:val="16"/>
          <w:b w:val="1"/>
          <w:bCs w:val="1"/>
          <w:i w:val="1"/>
          <w:iCs w:val="1"/>
          <w:color w:val="auto"/>
        </w:rPr>
        <w:t>International Telecommunication Union (ITU)</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orbital location and frequencies for our satellites are subject to the ITU’s frequency registration and coordination procedures. Those procedures are specified in the ITU Radio Regulations and seek to facilitate shared international use of limited spectrum and orbital resources in a manner that avoids harmful interference. Among other things, the ITU procedures establish procedures for establishing international priority with respect to the use of such resources, deadlines for bringing satellite networks into use in order to maintain such priority, and coordination rights and obligations with respect to other networks, which vary depending on whether such networks have higher or lower ITU priority. On our behalf, various countries have made and may in the future make additional filings for the frequency assignments at particular orbital locations that are used or to be used by our current satellite networks and potential future satellite networks we may build or acquire. In the event that any international coordination process that is triggered by such an ITU filing is not successfully completed, we may be compelled to accept more limited or suboptimal orbital and spectrum rights, to operate the applicable satellite(s) on a non-interference basis, or to cease operating such satellite(s) altogether.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Regulation</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commercial use of radio-frequency spectrum in the United States is subject to the jurisdiction of the Federal Communications Commission (FCC) under the Communications Act of 1934, as amended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(Communications Act). The FCC is responsible for licensing the operation of satellite earth stations and spacecraft, and for regulating the technical and other aspects of the operation of these facilities.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Earth Stations. </w:t>
      </w:r>
      <w:r>
        <w:rPr>
          <w:rFonts w:ascii="Arial" w:cs="Arial" w:eastAsia="Arial" w:hAnsi="Arial"/>
          <w:sz w:val="16"/>
          <w:szCs w:val="16"/>
          <w:color w:val="auto"/>
        </w:rPr>
        <w:t>The Communications Act requires a license for the operation of transmitting satellite earth station facilities and certain receiving satellite</w:t>
      </w:r>
      <w:r>
        <w:rPr>
          <w:rFonts w:ascii="Arial" w:cs="Arial" w:eastAsia="Arial" w:hAnsi="Arial"/>
          <w:sz w:val="16"/>
          <w:szCs w:val="16"/>
          <w:i w:val="1"/>
          <w:iCs w:val="1"/>
          <w:color w:val="auto"/>
        </w:rPr>
        <w:t xml:space="preserve"> </w:t>
      </w:r>
      <w:r>
        <w:rPr>
          <w:rFonts w:ascii="Arial" w:cs="Arial" w:eastAsia="Arial" w:hAnsi="Arial"/>
          <w:sz w:val="16"/>
          <w:szCs w:val="16"/>
          <w:color w:val="auto"/>
        </w:rPr>
        <w:t>earth station facilities in the United States. We currently hold licenses authorizing us to operate various earth stations within the United States, including but not limited to user terminals, facilities that aggregate traffic and interconnect with the internet backbone and network hubs. These licenses typically are granted for 10 to 15 year terms, and typically are renewed in the ordinary course. Material changes in these operations would require prior approval by the FCC. The operation of our earth stations is subject to various license conditions, as well as the technical and operational requirements of the FCC’s rules and regulations.</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Space Stations. </w:t>
      </w:r>
      <w:r>
        <w:rPr>
          <w:rFonts w:ascii="Arial" w:cs="Arial" w:eastAsia="Arial" w:hAnsi="Arial"/>
          <w:sz w:val="18"/>
          <w:szCs w:val="18"/>
          <w:color w:val="auto"/>
        </w:rPr>
        <w:t>In the United States, the FCC authorizes the launch and operation of commercial spacecraft, and also authorizes non-U.S.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spacecraft to be used to serve the United States. The FCC has authorized the use of the ViaSat-1, WildBlue-1 and Anik F2 spacecraft to serve the United States. The FCC also has granted us the right to use certain future spacecraft to serve the United States, as long as we implement those spacecraft by certain deadlines. The use of these spacecraft in our business is subject to various conditions in the underlying authorizations, as well as the technical and operational requirements of the FCC’s rules and regulations.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Universal Service. </w:t>
      </w:r>
      <w:r>
        <w:rPr>
          <w:rFonts w:ascii="Arial" w:cs="Arial" w:eastAsia="Arial" w:hAnsi="Arial"/>
          <w:sz w:val="16"/>
          <w:szCs w:val="16"/>
          <w:color w:val="auto"/>
        </w:rPr>
        <w:t>Certain of our services may constitute the provision of telecommunications to, from or within the United States, and may require us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17.9%. Current FCC rules permit us to pass this universal service contribution through to our customers. For example, the FCC has established a new universal service funding mechanism to support the provision of voice and broadband services in certain high-cost areas of the United States, known as the Connect America Fund (the CAF). Among other things, the new CAF mechanism provides support to incumbent wireline carriers on a preferential basis, with those incumbents consequently securing the vast majority of available support, to the exclusion of competitive service providers, including satellite broadband providers. The FCC still is in the process of finalizing rules governing how much more limited support for competitive service providers will be distributed, and it is possible that those new rules would restrict the ability of satellite broadband providers to compete against terrestrial providers for even that more limited support, which would place us at a competitive disadvantage in the provision of broadband services those additional areas receiving CAF support. It is uncertain how and when the CAF will be implemented fully, and how such implementation could impact satellite broadband providers. Depending on the extent to which the CAF, as implemented, gives incumbents a competitive advantage in providing broadband services in supported areas, or terrestrial technologies a competitive advantage over satellite technologies, the CAF could have a material adverse effect on our business, financial condition and results of operations.</w:t>
      </w:r>
    </w:p>
    <w:p>
      <w:pPr>
        <w:spacing w:after="0" w:line="121"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providers and broadband internet access providers to ensure that law enforcement agencies are able to conduct lawfully-authorized surveillance of users of their services.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Net Neutrality. </w:t>
      </w:r>
      <w:r>
        <w:rPr>
          <w:rFonts w:ascii="Arial" w:cs="Arial" w:eastAsia="Arial" w:hAnsi="Arial"/>
          <w:sz w:val="16"/>
          <w:szCs w:val="16"/>
          <w:color w:val="auto"/>
        </w:rPr>
        <w:t>In February 2015, the FCC adopted new rules intended to preserve the openness of the internet, a concept generally referred to as “net</w:t>
      </w:r>
      <w:r>
        <w:rPr>
          <w:rFonts w:ascii="Arial" w:cs="Arial" w:eastAsia="Arial" w:hAnsi="Arial"/>
          <w:sz w:val="16"/>
          <w:szCs w:val="16"/>
          <w:i w:val="1"/>
          <w:iCs w:val="1"/>
          <w:color w:val="auto"/>
        </w:rPr>
        <w:t xml:space="preserve"> </w:t>
      </w:r>
      <w:r>
        <w:rPr>
          <w:rFonts w:ascii="Arial" w:cs="Arial" w:eastAsia="Arial" w:hAnsi="Arial"/>
          <w:sz w:val="16"/>
          <w:szCs w:val="16"/>
          <w:color w:val="auto"/>
        </w:rPr>
        <w:t>neutrality” or “open internet.” The FCC previously had attempted to adopt rules of this type but they were vacated in large part by the U.S. Court of Appeals for the District of Columbia Circuit, which concluded that the FCC had failed to establish the legal authority for and otherwise justify its actions. In adopting its new rules (which are similar in many respects to its old rules, and also broader in some respects), the FCC relied on Title II of the Communications Act, which authorizes the FCC to regulate telecommunications common carriers. More specifically, the FCC reclassified mass-market retail broadband internet access service as a “telecommunications service” subject to common-carrier regulation under Title II,</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reversing longstanding precedent classifying broadband as a lightly regulated “information service” </w:t>
      </w:r>
      <w:r>
        <w:rPr>
          <w:rFonts w:ascii="Arial" w:cs="Arial" w:eastAsia="Arial" w:hAnsi="Arial"/>
          <w:sz w:val="16"/>
          <w:szCs w:val="16"/>
          <w:i w:val="1"/>
          <w:iCs w:val="1"/>
          <w:color w:val="auto"/>
        </w:rPr>
        <w:t>not</w:t>
      </w:r>
      <w:r>
        <w:rPr>
          <w:rFonts w:ascii="Arial" w:cs="Arial" w:eastAsia="Arial" w:hAnsi="Arial"/>
          <w:sz w:val="16"/>
          <w:szCs w:val="16"/>
          <w:color w:val="auto"/>
        </w:rPr>
        <w:t xml:space="preserve"> subject to such regulation. The FCC then took the further step of forbearing from applying most Title II requirements to internet service providers (ISPs). As a result, ISPs that provide mass-market, retail service offerings are subject to specific “net neutrality” rules and general common-carrier obligations (</w:t>
      </w:r>
      <w:r>
        <w:rPr>
          <w:rFonts w:ascii="Arial" w:cs="Arial" w:eastAsia="Arial" w:hAnsi="Arial"/>
          <w:sz w:val="16"/>
          <w:szCs w:val="16"/>
          <w:i w:val="1"/>
          <w:iCs w:val="1"/>
          <w:color w:val="auto"/>
        </w:rPr>
        <w:t>e.g.,</w:t>
      </w:r>
      <w:r>
        <w:rPr>
          <w:rFonts w:ascii="Arial" w:cs="Arial" w:eastAsia="Arial" w:hAnsi="Arial"/>
          <w:sz w:val="16"/>
          <w:szCs w:val="16"/>
          <w:color w:val="auto"/>
        </w:rPr>
        <w:t xml:space="preserve"> those requiring rates, terms, and conditions of service to be “just and reasonable”) but are not subject to many of the specific common-carrier requirements found in the Communications Act and the FCC’s rules.</w:t>
      </w:r>
    </w:p>
    <w:p>
      <w:pPr>
        <w:spacing w:after="0" w:line="11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FCC’s new “net neutrality” rules, among other things, prohibit ISPs from: (i) blocking access to legal content, applications, services, or non-harmful devices (subject to an exception for “reasonable network management”); (ii) impairing or degrading lawful internet traffic on the basis of content, applications, services, or non-harmful devices (subject to the same exception); (iii) favoring some lawful internet traffic over other lawful traffic in exchange for consideration of any kind whatsoever; and (iv) unreasonably interfering with or unreasonably disadvantaging the ability of end users to access content or the ability of content providers to access end users (again subject to the exception for “reasonable network management”). ISPs also are obligated to make certain disclosures to consumers with respect to their network management policies. A number of parties already have sought judicial review and/or stay of the FCC’s actions, including the leading trade associations for the cable, wireline, and wireless industries. More recently, the FCC has proposed to impose broadband-specific requirements intended to protect customer privacy and reduce the potential for data breaches. It is unclear what impact the new “net neutrality” rules or proposed customer privacy rules if adopted, will have on ViaSat’s business; because many of the rules are vague, much of the law in this area likely will develop in the future, on a case-by-case basis, in response to complaints filed at the FCC.</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Satellite Spectrum</w:t>
      </w:r>
      <w:r>
        <w:rPr>
          <w:rFonts w:ascii="Arial" w:cs="Arial" w:eastAsia="Arial" w:hAnsi="Arial"/>
          <w:sz w:val="16"/>
          <w:szCs w:val="16"/>
          <w:color w:val="auto"/>
        </w:rPr>
        <w:t>. The space stations and ground network we use to provide our Exede broadband services operate using Ka-band spectrum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for use on a primary basis for the types of satellite services we provide, as well as additional Ka-band spectrum that is designated primarily for fixed terrestrial wireless and other uses but that we are authorized to use on a secondary or non-interference basis. The FCC has commenced a rulemaking proceeding in which it is considering the use of the portion of the Ka-band designated for fixed terrestrial wireless use, as well as other bands above 24 GHz, for future “5G” wireless mobile broadband services. In this proceeding, the FCC has introduced proposals that may allow certain of our existing earth stations that we use to aggregate traffic and interconnect with the internet backbone to operate unimpeded by future 5G deployment. However, the FCC’s proposals do not currently contemplate that the same protection would be afforded to all such earth stations or to earth stations that will be deployed in the future using this spectrum. If the FCC adopts rules for 5G spectrum that would require satellite operators to protect 5G networks from interference in Ka-band spectrum, we may be unable to utilize this spectrum as planned to expand our satellite network capacity. Similarly, if the FCC does not adopt and enforce suitable limits on 5G operations, 5G transmissions could cause harmful interference into our satellite receivers and prevent our satellites from working as intended. We are actively participating in this proceeding and have put forth proposals that we believe would enable terrestrial wireless and satellite operations to share this spectrum successfully. We cannot predict the outcome of this proceeding. The adoption of rules that would limit protection for satellite operations or constrain or prohibit the types of uses we have planned for this spectrum could have a material adverse effect on our business, financial condition and results of operations.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Licensing</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spacecraft we use in our business are subject to the regulatory authority of, and conditions imposed by, foreign governments, as well as contractual arrangements with third parties and the rules and procedures of the ITU.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is expected to operate under the authority of the United Kingdom.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In the United States, certain equipment that we manufacture must comply with applicable technical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The FCC requires that equipment be tested either by the manufacturer or by a private testing organization to ensure compliance with the applicable technical requirements. For other classes of device, the FCC requires submission of an application, which must be approved by the FCC, or in some instances may be approved by a private testing organization.</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 U.S. government and other agency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also subject to a variety of U.S. and international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satellite services segment, historically subscriber activity for our consumer broadband services has been influenced by seasonal effects related to traditional retail selling periods, with new sales activity generally anticipated to be higher in the second half of the calendar year. However, sales activity and churn can be strongly affected by other factors which may either offset or magnify any anticipated seasonal effects, including availability of capacity, promotional and subscriber retention efforts, changes in our resellers, distributors and wholesalers, changes in the competitive landscape, economic conditions, changes in credit check and subscriber approval processes and satellite beam congestion.</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commercial networks segment is not generally affected by seasonal impacts. In our government systems segment, our results are impacted by various factors including the timing of contract awards and the timing and availability of U.S. Government funding, as well as the timing of product deliveries and customer acceptance.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any materials filed with the SEC may be read and copied by the public at the SEC’s Public Reference Room at 100 F Street, NE, Washington, DC 20549. The public may obtain information on the operation of the Public Reference Room by calling the SEC at 1-800-SEC-0330. The information on our website is not part of this report or any other report that we furnish to or file with the SEC.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March 31, 2016, we employed approximately 3,800 individuals worldwide. We consider the relationships with our employees to be positive. Competition for technical personnel in our industry is intense. We believe our future success depends in part on our continued ability to hire, assimilate and retain qualified personnel. To date, we believe we have been successful in recruiting qualified employees, but there is no assurance we will continue to be successful in the future.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concerning our executive officers and their ages as of March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Age</w:t>
            </w:r>
          </w:p>
        </w:tc>
        <w:tc>
          <w:tcPr>
            <w:tcW w:w="4040" w:type="dxa"/>
            <w:vAlign w:val="bottom"/>
            <w:vMerge w:val="restart"/>
          </w:tcPr>
          <w:p>
            <w:pPr>
              <w:ind w:left="160"/>
              <w:spacing w:after="0"/>
              <w:rPr>
                <w:sz w:val="20"/>
                <w:szCs w:val="20"/>
                <w:color w:val="auto"/>
              </w:rPr>
            </w:pPr>
            <w:r>
              <w:rPr>
                <w:rFonts w:ascii="Arial" w:cs="Arial" w:eastAsia="Arial" w:hAnsi="Arial"/>
                <w:sz w:val="18"/>
                <w:szCs w:val="18"/>
                <w:color w:val="auto"/>
                <w:w w:val="95"/>
              </w:rPr>
              <w:t>Chairman of the Board and Chief Executive Officer</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Position</w:t>
            </w:r>
          </w:p>
        </w:tc>
        <w:tc>
          <w:tcPr>
            <w:tcW w:w="0" w:type="dxa"/>
            <w:vAlign w:val="bottom"/>
          </w:tcPr>
          <w:p>
            <w:pPr>
              <w:spacing w:after="0"/>
              <w:rPr>
                <w:sz w:val="1"/>
                <w:szCs w:val="1"/>
                <w:color w:val="auto"/>
              </w:rPr>
            </w:pP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Mark</w:t>
            </w:r>
          </w:p>
        </w:tc>
        <w:tc>
          <w:tcPr>
            <w:tcW w:w="2220" w:type="dxa"/>
            <w:vAlign w:val="bottom"/>
          </w:tcPr>
          <w:p>
            <w:pPr>
              <w:ind w:left="60"/>
              <w:spacing w:after="0" w:line="201" w:lineRule="exact"/>
              <w:rPr>
                <w:sz w:val="20"/>
                <w:szCs w:val="20"/>
                <w:color w:val="auto"/>
              </w:rPr>
            </w:pPr>
            <w:r>
              <w:rPr>
                <w:rFonts w:ascii="Arial" w:cs="Arial" w:eastAsia="Arial" w:hAnsi="Arial"/>
                <w:sz w:val="18"/>
                <w:szCs w:val="18"/>
                <w:color w:val="auto"/>
              </w:rPr>
              <w:t>Dankberg</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7"/>
                <w:szCs w:val="17"/>
                <w:color w:val="auto"/>
              </w:rPr>
            </w:pPr>
          </w:p>
        </w:tc>
        <w:tc>
          <w:tcPr>
            <w:tcW w:w="4040" w:type="dxa"/>
            <w:vAlign w:val="bottom"/>
            <w:vMerge w:val="continue"/>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Melinda Del Toro</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rPr>
              <w:t>Senior Vice President — Human Resources</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Bruce Dirks</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w w:val="87"/>
              </w:rPr>
              <w:t>Senior Vice President — Treasury and Corporate Development</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Kevin Harkenrider</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rPr>
              <w:t>Senior Vice President — Commercial Networks</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Steven Hart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Technical Officer</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w w:val="91"/>
              </w:rPr>
              <w:t>Executive Vice President — General Counsel and Secretary</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Mark Miller</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Technical Officer</w:t>
            </w:r>
          </w:p>
        </w:tc>
        <w:tc>
          <w:tcPr>
            <w:tcW w:w="0" w:type="dxa"/>
            <w:vAlign w:val="bottom"/>
          </w:tcPr>
          <w:p>
            <w:pPr>
              <w:spacing w:after="0"/>
              <w:rPr>
                <w:sz w:val="1"/>
                <w:szCs w:val="1"/>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rPr>
              <w:t>Senior Vice President — Government Systems</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Mark Dankberg </w:t>
      </w:r>
      <w:r>
        <w:rPr>
          <w:rFonts w:ascii="Arial" w:cs="Arial" w:eastAsia="Arial" w:hAnsi="Arial"/>
          <w:sz w:val="16"/>
          <w:szCs w:val="16"/>
          <w:color w:val="auto"/>
        </w:rPr>
        <w:t>is a founder of ViaSat and has served as Chairman of the Board and Chief Executive Officer of ViaSat since its inception in May 1986.</w:t>
      </w:r>
      <w:r>
        <w:rPr>
          <w:rFonts w:ascii="Arial" w:cs="Arial" w:eastAsia="Arial" w:hAnsi="Arial"/>
          <w:sz w:val="16"/>
          <w:szCs w:val="16"/>
          <w:i w:val="1"/>
          <w:iCs w:val="1"/>
          <w:color w:val="auto"/>
        </w:rPr>
        <w:t xml:space="preserve"> </w:t>
      </w:r>
      <w:r>
        <w:rPr>
          <w:rFonts w:ascii="Arial" w:cs="Arial" w:eastAsia="Arial" w:hAnsi="Arial"/>
          <w:sz w:val="16"/>
          <w:szCs w:val="16"/>
          <w:color w:val="auto"/>
        </w:rPr>
        <w:t>Mr. Dankberg provides our Board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serves as a director of TrellisWare Technologies, Inc. (TrellisWare), a majority-owned subsidiary of ViaSat that develops advanced signal processing technologies for communication applications, and serves on the board of Minnetronix, Inc., a privately-held medical device and design company. In addition, Mr. Dankberg was elected to the Rice University Board of Trustees in 2013, and was a member of the board of directors of REMEC, Inc. from 1999 to 2010.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2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i w:val="1"/>
          <w:iCs w:val="1"/>
          <w:color w:val="auto"/>
        </w:rPr>
        <w:t xml:space="preserve">Richard Baldridge </w:t>
      </w:r>
      <w:r>
        <w:rPr>
          <w:rFonts w:ascii="Arial" w:cs="Arial" w:eastAsia="Arial" w:hAnsi="Arial"/>
          <w:sz w:val="16"/>
          <w:szCs w:val="16"/>
          <w:color w:val="auto"/>
        </w:rPr>
        <w:t>joined ViaSat in April 1999, serving as our Executive Vice President, Chief Financial Officer and Chief Operating Officer from 2000</w:t>
      </w:r>
      <w:r>
        <w:rPr>
          <w:rFonts w:ascii="Arial" w:cs="Arial" w:eastAsia="Arial" w:hAnsi="Arial"/>
          <w:sz w:val="16"/>
          <w:szCs w:val="16"/>
          <w:i w:val="1"/>
          <w:iCs w:val="1"/>
          <w:color w:val="auto"/>
        </w:rPr>
        <w:t xml:space="preserve"> </w:t>
      </w:r>
      <w:r>
        <w:rPr>
          <w:rFonts w:ascii="Arial" w:cs="Arial" w:eastAsia="Arial" w:hAnsi="Arial"/>
          <w:sz w:val="16"/>
          <w:szCs w:val="16"/>
          <w:color w:val="auto"/>
        </w:rPr>
        <w:t>and as our Executive Vice President and Chief Operating Officer from 2002. Mr. Baldridge assumed his current role as President and Chief Operating Officer in 2003. In addition, Mr. Baldridge serves as a director of Ducommun Incorporated,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1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 xml:space="preserve">Melinda Del Toro </w:t>
      </w:r>
      <w:r>
        <w:rPr>
          <w:rFonts w:ascii="Arial" w:cs="Arial" w:eastAsia="Arial" w:hAnsi="Arial"/>
          <w:sz w:val="15"/>
          <w:szCs w:val="15"/>
          <w:color w:val="auto"/>
        </w:rPr>
        <w:t>joined ViaSat in 2001 as Manager of Learning and Development. In 2003 she began to assume a broader role with the Human Resources</w:t>
      </w:r>
      <w:r>
        <w:rPr>
          <w:rFonts w:ascii="Arial" w:cs="Arial" w:eastAsia="Arial" w:hAnsi="Arial"/>
          <w:sz w:val="15"/>
          <w:szCs w:val="15"/>
          <w:i w:val="1"/>
          <w:iCs w:val="1"/>
          <w:color w:val="auto"/>
        </w:rPr>
        <w:t xml:space="preserve"> </w:t>
      </w:r>
      <w:r>
        <w:rPr>
          <w:rFonts w:ascii="Arial" w:cs="Arial" w:eastAsia="Arial" w:hAnsi="Arial"/>
          <w:sz w:val="15"/>
          <w:szCs w:val="15"/>
          <w:color w:val="auto"/>
        </w:rPr>
        <w:t>organization. In 2008 she was appointed Director of Human Resources and in 2011 was appointed Vice President — Human Resources. She assumed her current position of Senior Vice President — Human Resources in April 2016. Ms. Del Toro started her career teaching at San Diego State University within the School of Communication. Prior to joining ViaSat she held roles in corporate learning and organizational development for Nicholas-Applegate Capital Management, Qualcomm Personal Electronics and Sony Electronics. Ms. Del Toro holds B.A. and M.A. degrees in Communication from San Diego State University.</w:t>
      </w:r>
    </w:p>
    <w:p>
      <w:pPr>
        <w:spacing w:after="0" w:line="10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i w:val="1"/>
          <w:iCs w:val="1"/>
          <w:color w:val="auto"/>
        </w:rPr>
        <w:t xml:space="preserve">Bruce Dirks </w:t>
      </w:r>
      <w:r>
        <w:rPr>
          <w:rFonts w:ascii="Arial" w:cs="Arial" w:eastAsia="Arial" w:hAnsi="Arial"/>
          <w:sz w:val="18"/>
          <w:szCs w:val="18"/>
          <w:color w:val="auto"/>
        </w:rPr>
        <w:t>joined ViaSat in April 2013 as Vice President and Chief Financial Officer. He assumed his current position as Senior Vice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and Corporate Development in June 2014. Prior to joining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ViaSat, Mr. Dirks served as a portfolio manager at Fidelity Management &amp; Research Company from 2000 to April 2013, and was Vice President — Investments at TRW Investment Management Company from 1993 to 2000. Mr. Dirks began his career at Raytheon Company as a financial analyst and also worked on the corporate finance team at General Dynamics Corporation. Mr. Dirks earned a B.A. degree in Economics from Amherst College and an M.B.A. degree from the University of Chicago.</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Shawn Duffy </w:t>
      </w:r>
      <w:r>
        <w:rPr>
          <w:rFonts w:ascii="Arial" w:cs="Arial" w:eastAsia="Arial" w:hAnsi="Arial"/>
          <w:sz w:val="16"/>
          <w:szCs w:val="16"/>
          <w:color w:val="auto"/>
        </w:rPr>
        <w:t>joined ViaSat in 2005 as Corporate Controller. In 2009, she was appointed ViaSat’s Vice President and Corporate Controller and in 2012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Vice President — Corporate Controller and Chief Accounting Officer. From August 2012 until April 2013, Ms. Duffy also served as interim Chief Financial Officer. She assumed her current position as Senior Vice President and Chief Financial Officer in June 2014.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Kevin Harkenrider </w:t>
      </w:r>
      <w:r>
        <w:rPr>
          <w:rFonts w:ascii="Arial" w:cs="Arial" w:eastAsia="Arial" w:hAnsi="Arial"/>
          <w:sz w:val="16"/>
          <w:szCs w:val="16"/>
          <w:color w:val="auto"/>
        </w:rPr>
        <w:t>joined ViaSat in October 2006 as Director — Operations, served as Vice President — Operations from January 2007 until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2009, served as Vice President of ViaSat and Chief Operating Officer of ViaSat Communications Inc. from December 2009 to April 2011, as Senior Vice President — Infrastructure Operations from April 2011 to May 2012, and as Senior Vice President — Broadband Services from May 2012 to May 2015, when he assumed his current position as Senior Vice President — Commercial Networks. Prior to joining ViaSat, Mr. Harkenrider served as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Steven Hart </w:t>
      </w:r>
      <w:r>
        <w:rPr>
          <w:rFonts w:ascii="Arial" w:cs="Arial" w:eastAsia="Arial" w:hAnsi="Arial"/>
          <w:sz w:val="16"/>
          <w:szCs w:val="16"/>
          <w:color w:val="auto"/>
        </w:rPr>
        <w:t>is a founder of ViaSat and served as Vice President of Engineering and Chief Technical Officer from March 1993 to June 2014, when he</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his current position as Executive Vice President and Chief Technical Officer. From 1986 through 1993, Mr. Hart served as Engineering Manager. Prior to joining ViaSat, Mr. Hart was a Staff Engineer and Manager at M/A-COM Linkabit from 1982 to 1986. Mr. Hart holds a B.S. degree in Mathematics from the University of Nevada, Las Vegas and a M.A. degree in Mathematics from the University of California, San Diego.</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Keven Lippert </w:t>
      </w:r>
      <w:r>
        <w:rPr>
          <w:rFonts w:ascii="Arial" w:cs="Arial" w:eastAsia="Arial" w:hAnsi="Arial"/>
          <w:sz w:val="18"/>
          <w:szCs w:val="18"/>
          <w:color w:val="auto"/>
        </w:rPr>
        <w:t>joined ViaSat in May 2000 as Associate General Counsel and Assistant Secretary. In April 2007, he was appointed ViaSat’s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and Secretary and in 2012 was appointed Senior Vice President — General Counsel and Secretary. He assumed his current position as Executive Vice President — General Counsel and Secretary in June 2014.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Mark Miller </w:t>
      </w:r>
      <w:r>
        <w:rPr>
          <w:rFonts w:ascii="Arial" w:cs="Arial" w:eastAsia="Arial" w:hAnsi="Arial"/>
          <w:sz w:val="18"/>
          <w:szCs w:val="18"/>
          <w:color w:val="auto"/>
        </w:rPr>
        <w:t>is a founder of ViaSat and served as Vice President and Chief Technical Officer of ViaSat from March 1993 to June 2014, when he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his current position as Executive Vice President and Chief Technical Officer. From 1986 through 1993, Mr. Miller served as Engineering Manager. Prior to joining ViaSat, Mr. Miller was a Staff Engineer at M/A-COM Linkabit from 1983 to 1986. Mr. Miller holds a B.S.E.E. degree from the University of California, San Diego and an M.S.E.E. degree from the University of California, Los Angeles.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Ken Peterman </w:t>
      </w:r>
      <w:r>
        <w:rPr>
          <w:rFonts w:ascii="Arial" w:cs="Arial" w:eastAsia="Arial" w:hAnsi="Arial"/>
          <w:sz w:val="16"/>
          <w:szCs w:val="16"/>
          <w:color w:val="auto"/>
        </w:rPr>
        <w:t>joined ViaSat in April 2013 as Vice President — Government Systems. In June 2014, he was appointed Senior Vice President —</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Systems. Mr. Peterman has over 30 years of experience in general management, systems engineering, strategic planning, portfolio management, and business leadership in the aerospace and defense industries. From July 2012 to April 2013, Mr. Peterman served as President and Chief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Executive Officer of SpyGlass Group, a company he co-founded which provides executive strategic advisory services to the aerospace and defense industries. From 2011 to July 2012, Mr. Peterman served as President of Exelis Communications and Force Protection Systems, and from 2007 to 2011, he served as President of ITT Communications Systems, which are both developers and providers of command, control, communications, computers, intelligence, surveillance and reconnaissance products and systems. Previously, Mr. Peterman was Vice President and General Manager of Rockwell Collins Government System’s Integrated C3 Systems and Rockwell Collins Displays and Awareness Systems. Mr. Peterman earned a B.S.E.E. degree from Tri-State University (now Trine).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Are Difficult to Predict</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The factors that cause our quarter-to-quarter operating results to be unpredictable include:</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varying subscriber addition and churn rates for our broadband internet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wholesale and retail subscriber additions in our broadband internet business;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investments in the construction or acquisition of satellites, and the impact of any construction or launch delays, operational or launch failures or other disruptions to our satellites;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complex and lengthy procurement process for most of our commercial networks and government systems customers and potential customers;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levels of research and development spending, including the effects of associated tax credits;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overruns on fixed-price development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difficulty in estimating costs over the life of a contract, which may require adjustment in future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quantity and mix of products and services sold;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discounts given to some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and the timing of availability of our new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customer payments for significant contracts;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one-time charges to operating income arising from items such as acquisition expenses, impairment of assets and write-offs of assets related to customer non-payments or obsolescence;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to receive an expected order or a deferral of an order to a later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Any of the foregoing factors, or any other factors discussed elsewhere herein, could have a material adverse effect on our business, financial condition and results of operations that could adversely affect our stock price. In addition, it is likely that in one or more future quarters our results may fall below the expectations of analysts and investors, which would likely cause the trading price of our common stock to decrease.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Failures or Degradations in Satellite Performance Could Affect Our Business, Financial Condition and Results of Operations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own two satellites: ViaSat-1 (our first-generation high-capacity Ka-band spot-beam satellite, which was placed into service in January 2012) and WildBlue-1 (which was placed into service in March 2007). In May 2013, we entered into a satellite construction contract for our ViaSat-2 satellite, our second-generation high-capacity Ka-band satellite design, and construction has commenced on two ViaSat-3 class satellites, our third-generation high-capacity Ka-band satellite design, pursuant to a limited authorization to proceed. In addition, we have an exclusive prepaid lifetime capital lease of Ka-band capacity over the contiguous United States on Telesat Canada’s Anik F2 satellite (which was placed into service in April 2005). We utilize capacity primarily on our ViaSat-1 and WildBlue-1 satellites to support our broadband services in the United States. We also lease capacity on multiple satellites related to the provision of our international mobile broadband services to commercial and government customers. We may construct, acquire or use additional satellites in the future.</w:t>
      </w:r>
    </w:p>
    <w:p>
      <w:pPr>
        <w:spacing w:after="0" w:line="11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Satellites utilize highly complex technology and operate in the harsh environment of space and, accordingly, are subject to significant operational risks while in orbit. These risks include malfunctions (commonly referred to as anomalies), interference from electrostatic storms, and collisions with meteoroids, decommissioned spacecraft or other space debris. Our satellites have experienced various anomalies in the past and we will likely experience anomalies in the future. Anomalies can occur as a result of various factors, such as:</w:t>
      </w:r>
    </w:p>
    <w:p>
      <w:pPr>
        <w:spacing w:after="0" w:line="62" w:lineRule="exact"/>
        <w:rPr>
          <w:sz w:val="20"/>
          <w:szCs w:val="20"/>
          <w:color w:val="auto"/>
        </w:rPr>
      </w:pPr>
    </w:p>
    <w:p>
      <w:pPr>
        <w:ind w:left="900" w:right="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satellite manufacturer error, whether due to the use of new or largely unproven technology or due to a design, manufacturing or assembly defect that was not discovered before launch;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with the power sub-system of the satellite;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with the control sub-system of the satellite;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failures resulting from operating satellites in the harsh space environment, such as premature component failure or wear.</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single anomaly or series of anomalies, or other operational failure or degradation, on any of the satellites we own and operate or use could have a material adverse effect on our operations and revenues and our relationships with current customers and distributors, as well as our ability to attract new customers for our satellite services. Anomalies may also reduce the expected useful life of a satellite, thereby creating additional expense due to the need to provide replacement or backup capacity and potentially reducing revenues if service is interrupted or degraded on the satellites we utilize. We may not be able to obtain backup capacity or a replacement satellite on reasonable economic terms, a reasonable schedule or at all. In addition, anomalies may also cause a reduction of the revenues generated by the applicable satellite or the recognition of an impairment loss, and in some circumstances could lead to claims from third parties for damages, for example, if a satellite experiencing an anomaly were to cause physical damage to another satellite, create interference to the transmissions on another satellite or cause another satellite operator to incur expenses to avoid such physical damage or interference. Finally, the occurrence of anomalies may adversely affect our ability to insure our satellites at commercially reasonable premiums or terms, if at all. While some anomalies are covered by insurance policies, others are not or may not be covered, or may be subject to large deductibles.</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 Have a Finite Useful Life, and Their Actual Operational Life May Be Shorter than Their Design Life</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ability to earn revenues from our satellite services depends on the continued operation of ViaSat-1, WildBlue-1 and any other satellite we may acquire or use in the future, such as our ViaSat-2 and ViaSat-3 class satellites. Each satellite has a limited useful life, referred to as its design life. There can be no assurance as to the actual operational life of a satellite, which may be shorter than its design life. A number of factors affect the useful lives of the satellites, including, among other things, the quality of their design and construction, the durability of their component parts and back-up units, the ability to continue to maintain proper orbit and control over the satellite’s functions, the efficiency of the launch vehicle used, consumption of remaining on-board fuel following orbit insertion, degradation and durability of solar panels, the actual space environment experienced compared to the assumed space environment for which the satellites were designed and tested, and the occurrence of any anomaly or series of anomalies or other in-orbit risks affecting the satellite. In addition, continued improvements in satellite technology may make obsolete our existing satellites or any other satellite we may own or acquire in the future prior to the end of its life.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or Proposed Satellites Are Subject to Significant Risks Related to Construction and Launch that Could Limit Our Ability to Utilize these Satellites</w:t>
      </w:r>
    </w:p>
    <w:p>
      <w:pPr>
        <w:spacing w:after="0" w:line="11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May 2013, we entered into a satellite construction contract for our ViaSat-2 satellite, which is currently under construction. In addition, construction has commenced on two ViaSat-3 class satellites, our third-generation high-capacity Ka-band satellite design, pursuant to a limited authorization to proceed. We expect to enter into two separate agreements with The Boeing Company (Boeing) for the construction and purchase of the two ViaSat-3 class satellites and the integration of our payload technologies into the satellites, which contracts will replace and supersede the existing limited authorization to proceed, but there can be no assurance that these construction contracts will be entered into with Boeing on the terms we expect or at all. If we are unable to enter into construction contracts with Boeing with respect to our ViaSat-3 class satellites on the terms we expect or at all, our ViaSat-3 satellite program may be materially delayed and we may incur significant additional costs. We may construct and launch additional satellites in the future. The design and construction of satellites require significant investments of capital and management time. Satellite construction and launch are also subject to significant risks, including construction delays, cost overruns, regulatory conditions or delays, unavailability of launch opportunities, launch failure, damage or destruction during launch and improper orbital placement. Unlike our ViaSat-1 and ViaSat-2 satellites, which were or are being constructed in their entirety by the satellite manufacturer, we are for the first time constructing the payload for our ViaSat-3 class satellites ourselves at our own facilities, and expect Boeing to integrate the completed payload into the satellite bus at their facilities. Moreover, the technologies in our ViaSat-3 satellite design are very complex, and there can be no assurance that the technologies will work as we expect or that we will realize any or all of the anticipated benefits of our ViaSat-3 satellite design. Difficulties or delays in the construction or integration of the payload for our ViaSat-3 class satellites or the implementation of our ViaSat-3 satellite design could adversely affect our business plan for these satellites and result in significant additional cost. We have in the past experienced delays in satellite construction and launch which have adversely affected our operations. Future delays may have the same effect. A significant delay in the delivery of any satellite may also adversely affect our business plan for the satellite. If satellite construction schedules are not met, a launch opportunity may not be available at the time the satellite is ready to be launched. The failure to implement our satellite deployment plan on schedule could have a material adverse effect on our business, financial condition and results of operations.</w:t>
      </w:r>
    </w:p>
    <w:p>
      <w:pPr>
        <w:spacing w:after="0" w:line="20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Launch Failure or Other Satellite Damage or Destruction During Launch, or the Failure of a New Satellite to Achieve its Designated Orbital Location After Launch Could Result in a Total or Partial Satellite Loss</w:t>
      </w:r>
    </w:p>
    <w:p>
      <w:pPr>
        <w:spacing w:after="0" w:line="4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Satellites are subject to certain risks related to failed launches. Launch failures result in significant delays in the deployment of satellites because of the need both to construct replacement satellites, which can take up to 36 months or longer, and to obtain other launch opportunities. Such significant delays could have a material adverse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 on our business, financial condition and results of operations. The overall historical loss rate in the satellite industry for all launches of commercial satellites in fixed orbits in the last five years is estimated by some industry participants to be approximately 5% but could at any time be higher. Launch vehicles may also under- perform, in which case the satellite may still be able to be placed into service by using its onboard propulsion systems to reach the desired orbital location, but this would cause a reduction in its useful life.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Satellite Losses May Not Be Fully Covered By Insurance, or at All</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currently hold in-orbit insurance for ViaSat-1, WildBlue-1 and Anik F2, and are in the process of placing launch insurance for our ViaSat-2 satellite. We intend to seek launch and in-orbit insurance for any satellite we may construct or acquire in the future. However, we may not be able to obtain insurance, or renew existing insurance, for our satellites on reasonable economic terms or at all. If we are able to obtain or renew our insurance, it may contain customary exclusions and exclusions for past satellite anomalies. A failure to obtain or renew our satellite insurance may also result in a default under our debt instruments. In addition, the occurrence of any anomalies on other satellites, including other Ka-band satellites, or any failures of a satellite using similar components or failures of a similar launch vehicle to any launch vehicle we intend to use for any future satellite (including our ViaSat-2 and ViaSat-3 class satellites), may materially adversely affect our ability to insure the satellites at commercially reasonable premiums or terms, if at all.</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policies covering our insured satellites will not cover the full cost of constructing and launching or replacing a satellite nor fully cover our losses in the event of a satellite failure or significant degradation. Moreover, such policies do not cover, and we do not have protection against, lost profits, business interruptions, fixed operating expenses, loss of business or similar losses. Our insurance contains customary exclusions, material change and other conditions that could limit recovery under those policies. Further, any insurance proceeds may not be received on a timely basis in order to launch a spare satellite or construct and launch a replacement satellite or take other remedial measures. In addition, the policies are subject to limitations involving uninsured losses, large satellite performance deductibles and policy limits.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in Which We Compete Are Highly Competitive and Our Competitors May Have Greater Resources than Us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markets in which we compete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business segments. In our satellite services segment, we face competition for consumer and enterprise broadband services both from existing competitors and emerging technologies. Our residential and other fixed broadband service offerings compete with broadband service offerings from wireline and wireless telecommunications companies, cable companies, satellite companies and internet service providers.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In addition, the broadband services market continues to see industry consolidation and vertical integration, which may enable our competitors to provide competing services to broader customer segments. New entrants, some with significant financial resources, and new emerging technologies (including 5G and advanced fiber) may compete with our broadband service offerings. For example, Google has launched high-speed internet and video services in a limited number of areas and has announced plans to expand in more areas. Our in-flight broadband service offerings compete against air-to-ground mobile services and other satellite-based services, such as the services offered by Global Eagle and Gogo. In our commercial networks segment, we compete with numerous other providers of satellite and terrestrial communications systems, products and equipment, including: ASC Signal, Astrium, Comtech, General Dynamics, Gilat, EchoStar (Hughes Network Systems), iDirect Technologies, L-3 Communications, Newtec, Panasonic, Space Systems/Loral, Thales and Zodiac Data Systems. In addition, some of our customers continuously evaluate whether to develop and manufacture their own products and could elect to compete with us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 any time. Within our government systems segment, we generally compete with manufacturers of defense electronics products, systems or subsystems, such as BAE Systems, General Dynamics, Harris, Inmarsat, L-3 Communications, Rockwell Collins and similar companies. We may also occasionally compete directly with the largest defense prime contractors, including Boeing, Lockheed Martin, Northrop Grumman and Raytheon Systems. Many of our competitors in our commercial networks and government systems segments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Our ability to compete in each of our segments may also be adversely affected by limits on our capital resources and our ability to invest in maintaining and expanding our market share.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Broadband Services Business Strategy May Not Succeed in the Long Term</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major element of our broadband services business strategy is to utilize our proprietary high-capacity Ka-band satellites and any additional satellites we may construct or acquire in the future to continue to expand our provision of high-speed broadband services around the globe. We may be unsuccessful in implementing our business plan for our broadband services business, or we may not be able to achieve the revenues that we expect from our broadband services business. Any failure to realize our anticipated benefits of our high-capacity Ka-band satellites, to attract a sufficient number of distributors or customers for our broadband services, to expand our broadband services business internationally or to grow our consumer and enterprise customer base for broadband services as quickly as we anticipate, may have a material adverse effect on our business, financial condition or results of operations.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we believe the launch and roll-out of our ViaSat-2 and ViaSat-3 class satellites and related ground infrastructure will impact our financial results in our satellite services segment in future periods, although we expect the relative impact to be less than we experienced in relation to the launch and roll-out of our ViaSat-1 satellite and related ground infrastructure. During the period from late fiscal year 2012 until early fiscal year 2015, we incurred higher operating costs in connection with the launch and roll-out of our ViaSat-1 satellite, related ground infrastructure and Exede broadband services, as well as higher interest expense as we capitalized a lower amount of the interest expense on our outstanding debt. These higher operating costs included costs associated with depreciation, earth station connectivity, subscriber acquisition costs, logistics, customer care and various support systems. These operating costs negatively impacted income from operations during that period. In addition, our IR&amp;D investments in our ViaSat-3 class satellites and related ground infrastructure are expected to continue to negatively impact our financial results in our commercial networks segment. We also expect to continue to invest in subscriber acquisition costs during fiscal year 2017 as we further expand our subscriber base as well as make additional investments relating to our ViaSat-2 and ViaSat-3 class satellites. If our business strategy for our satellite services segment does not succeed, we may be unable to recover our significant investments in our high-capacity Ka-band satellites, which could have a material adverse impact on our business, financial condition or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Or Maintain Required Authorizations or Contractual Arrangements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Governmental authorizations are required in connection with the products and services that we provide. In order to maintain these authorizations, including rights to operate at certain orbital slots in certain radio frequencies, compliance with specific conditions of those authorizations, certain laws and regulations, and the payment of annual regulatory fees may be required. Failure to comply with such requirements, or comply in a timely manner, could lead to the loss of such authorizations and could have a material adverse impact on our business, financial condition or results of operations. We currently hold authorizations to, among other things,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operate various satellite earth stations (including but not limited to user terminals, facilities that interconnect with the internet backbone, and network hubs) and operate satellite space stations and/or use those space stations to provide service to certain jurisdictions. While we anticipate that these authorizations will be renewed in the ordinary course to the extent that they otherwise would expire, or replaced by authorizations covering more advanced facilities, we can provide no assurance that this will be the case. Our inability to timely obtain or maintain such authorizations could delay or preclude our operation of such satellites or our provision of products and services that rely upon such satellites. Further, changes to the regulations under which we operate could adversely affect our ability to obtain or maintain authorizations. Any of these circumstances could have a material adverse impact on our business, financial condition and results of operations.</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spacecraft we use in our business are subject to the regulatory authority of, and conditions imposed by, foreign governments, as well as contractual arrangements with third parties and the rules and procedures of the ITU governing access to orbital and spectrum rights and the international coordination of satellite networks.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is expected to operate under the authority of the United Kingdom.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 Any failure to meet these types of requirements, maintain our contractual arrangements, obtain or maintain our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 and could have a material adverse impact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Joint Ventures and Other Strategic Alliances May Have an Adverse Effect on Our Business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order to position ourselves to take advantage of growth opportunities, from time to time we make strategic acquisitions and enter into joint ventures and other strategic alliances that involve significant risks and uncertainties. For example, in February 2016, we entered into the Framework Agreement with Eutelsat, pursuant to which we have agreed to enter into a strategic partnering arrangement with Eutelsat to own and operate satellite broadband infrastructure and equipment and provide broadband services and products in the European region. Risks and uncertainties relating to acquisitions, joint ventures and other strategic alliances include:</w:t>
      </w:r>
    </w:p>
    <w:p>
      <w:pPr>
        <w:spacing w:after="0" w:line="62" w:lineRule="exact"/>
        <w:rPr>
          <w:sz w:val="20"/>
          <w:szCs w:val="20"/>
          <w:color w:val="auto"/>
        </w:rPr>
      </w:pPr>
    </w:p>
    <w:p>
      <w:pPr>
        <w:ind w:left="900" w:right="4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difficulty in integrating and managing newly acquired businesses or any businesses of a joint venture or strategic alliance in an efficient and effective manner;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such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of diverting our resources and the attention of our senior management from the operations of our business;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demands on management related to the increase in the size and scope of our company following an acquisition or to the complexities of a joint venture or strategic alliance;</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our markets do not evolve as anticipated and the technologies acquired or the joint venture or strategic alliance entered into do not prove to be those needed to be successful in those markets;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combining or managing different corporate cultures;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key employees and in maintaining relationships with present and potential customers, distributors and suppliers of an acquired business;</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unilateral control over a joint venture or strategic alliance and the risk that joint venture or strategic partners have business goals and interests that are not aligned with ours;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a joint venture or strategic partner to satisfy its obligations or the bankruptcy or malfeasance of such person or entity;</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 of an acquired business or with respect to any joint venture or strategic alliance;</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technologies and infrastructure to support the combined business, joint venture or strategic alliance, as well as maintaining uniform standards, controls (including internal accounting controls), procedures and policies;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we do not realize a satisfactory return on our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funding requirements may be significantly greater than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of entering markets in which we have less experience;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of potential disputes concerning indemnities and other obligations that could result in substantial costs.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connection with the Eutelsat strategic partnering arrangement and any future acquisitions, joint ventures or strategic alliances, we may incur debt, issue equity securities, assume contingent liabilities or have amortization expenses and write-downs of acquired assets, which could cause our earnings per share to decline. Mergers, acquisitions, joint ventures and strategic alliances are inherently risky and subject to many factors outside of our control, and we cannot be certain that our previous or future acquisitions, joint ventures and strategic alliances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Our International Sales and Operations Are Subject to Applicable Laws Relating to Trade, Export Controls and Foreign Corrupt Practices, the Violation of Which Could Adversely Affect Our Operations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must comply with all applicable export control laws and regulations of the United States and other countries. U.S. laws and regulations applicable to us include the Arms Export Control Act, the International Traffic in Arms Regulations (ITAR), the Export Administration Regulations (EAR) and the trade sanctions laws and regulations administered by the U.S. Department of the Treasury’s Office of Foreign Assets Control (OFAC). The export of certain satellite hardware, services and technical data relating to satellites is regulated by the U.S. Department of State under ITAR. Other items are controlled for export by the U.S. Department of Commerce under the EAR. We cannot provide services to certain countries subject to U.S. trade sanctions unless we first obtain the necessary authorizations from OFAC. In addition, we are subject to the Foreign Corrupt Practices Act, which generally bars bribes or unreasonable gifts to foreign governments or officials. Violations of these laws or regulations could result in significant additional sanctions including fines, more onerous compliance requirements, more extensive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the Regulatory Environment Could Have a Material Adverse Impact on Our Competitive Position, Growth and Financial Performance</w:t>
      </w:r>
    </w:p>
    <w:p>
      <w:pPr>
        <w:spacing w:after="0" w:line="11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business is highly regulated. We are subject to the regulatory authority of the jurisdictions in which we operate, including the United States and other jurisdictions around the world. Those authorities regulate, among other things, the launch and operation of satellites, the use of radio spectrum, the licensing of earth stations and other radio transmitters, the provision of communications services, and the design, manufacture and marketing of communications systems and networking infrastructure. We cannot predict when or whether applicable laws or regulations may come into effect or change, or what the cost and time necessary to comply with such new or updated laws or regulations may be. Failure to comply with applicable laws or regulations could result in the imposition of financial penalties against us, the adverse modification or cancellation of required authorizations, or other material adverse actions.</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Laws and regulations affecting our business are subject to change in response to industry developments, new technology, and political considerations. Legislators and regulatory authorities in various countries are considering, and may in the future adopt, new laws, policies and regulations, as well as changes to existing regulations, regarding a variety of matters that could, directly or indirectly, affect our operations or the operations of our distribution partners, increase the cost of providing our products and services and make our products and services less competitive in our core markets. For example, the FCC has established a new universal service funding mechanism to support the provision of voice and broadband services in certain high-cost areas of the United States, known as the CAF. For further information, see “Regulatory Environment — Radio-frequency and Communications Regulation — US Regulation — Universal Service” in Item 1 of this report. Depending on the extent to which the CAF, as implemented, gives incumbents a competitive advantage in providing broadband services in supported areas, or terrestrial technologies a competitive advantage over satellite technologies, the CAF could have a material adverse effect on our business, financial condition and results of operations.</w:t>
      </w:r>
    </w:p>
    <w:p>
      <w:pPr>
        <w:spacing w:after="0" w:line="120"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The space stations and ground network we use to provide our Exede broadband services operate using Ka-band spectrum that is designated for use on a primary basis for the types of satellite services we provide, as well as additional Ka-band spectrum that is designated primarily for fixed terrestrial wireless and other uses but that we are authorized to use on a secondary or non-interference basis. The FCC has commenced a rulemaking proceeding in which it is considering allowing this spectrum we use on a secondary basis to be used for future “5G” wireless mobile broadband services. For further information, see “Regulatory Environment — Radio-frequency and Communications Regulation — US Regulation — Satellite Spectrum” in Item 1 of this report. If the FCC adopts rules for 5G spectrum that would require satellite operators to protect 5G networks from interference in Ka-band spectrum, we may be unable to utilize this spectrum as planned to expand our satellite network capacity. Similarly, if the FCC does not adopt and enforce suitable limits on 5G operations, 5G transmissions could cause harmful interference into our satellite receivers and prevent our satellites from working as intended. The adoption of rules that would limit protection for satellite operations or constrain or prohibit the types of uses we have planned for this spectrum could have a material adverse effect on our business, financial condition and results of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to laws and regulations could materially harm our business by (1) affecting our ability to obtain or retain required governmental authorizations,</w:t>
      </w:r>
    </w:p>
    <w:p>
      <w:pPr>
        <w:spacing w:after="0" w:line="38" w:lineRule="exact"/>
        <w:rPr>
          <w:sz w:val="20"/>
          <w:szCs w:val="20"/>
          <w:color w:val="auto"/>
        </w:rPr>
      </w:pPr>
    </w:p>
    <w:p>
      <w:pPr>
        <w:jc w:val="both"/>
        <w:ind w:right="60" w:firstLine="8"/>
        <w:spacing w:after="0" w:line="302"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Changes in, or our failure to comply with, applicable laws and regulations could materially harm our business and impair the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U.S. Government Contracts Exposes Us to Significant Risks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government systems segment revenues were approximately 43%, 39% and 42% of our total revenues in fiscal years 2016, 2015 and 2014, respectively, and were derived primarily from U.S. government applications.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Therefore, any significant disruption or deterioration of our relationship with the U.S. government would significantly reduce our revenues. U.S. government business exposes us to various risks, including:</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governmental procurement legislation and regulations and other policies, which may reflect military and political developments;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contract or project terminations or suspensions;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unpredictable order placements, reductions or cancellations;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reductions or delays in government funds available for our projects due to government policy changes, budget cuts or delays, changes in available funding, reductions in government defense expenditures and contract adjustments;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competitors to protest contractual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penalties arising from post-award contract audits;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reduction in the value of our contracts as a result of the routine audit and investigation of our costs by U.S. government agencies;</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profitability from cost-reimbursement contracts under which the amount of profit is limited to a specified amount;</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unpredictable cash collections of unbilled receivables that may be subject to acceptance of contract deliverables by the customer and contract close-out procedures, including government approval of final indirect rates;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intense competition for available U.S. government business necessitating increases in time and investment for design and development.</w:t>
      </w:r>
    </w:p>
    <w:p>
      <w:pPr>
        <w:spacing w:after="0" w:line="19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 For example, in March 2016, our majority-owned subsidiary TrellisWare was informed by the Civil Division of the U.S. Attorney’s Office for the Southern District of California that it is investigating TrellisWare’s eligibility for certain prior government contracts and whether TrellisWare’s conduct in connection therewith violated the False Claims Act. At this time, we cannot determine whether the government will initiate a case and, if so, whether TrellisWare would be liable for any damages or penalties, or in what amount. Although the outcome of any investigation is difficult to predict, an unfavorable resolution could negatively affect us.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a Negative Audit by the U.S. Government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18"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w:t>
      </w:r>
    </w:p>
    <w:p>
      <w:pPr>
        <w:spacing w:after="0" w:line="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11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incurred cost audits by the DCAA have not been concluded for fiscal year 2016 and subsequent fiscal years. As of March 31, 2016, the DCAA had completed its incurred cost audit for fiscal year 2004 and approved our incurred cost claims for fiscal years 2005 through 2015 without further audit. Although we have recorded contract revenues subsequent to fiscal year 2015 based upon an estimate of costs that we believe will be approved upon final audit or review, we do not know the outcome of any ongoing or future audits or reviews and adjustments, and if future adjustments exceed our estimates, our profitability would be adversely affected. For example, in the fourth quarter of fiscal year 2011, based on communications with the DCMA, changes in the regulatory environment for federal government contractors, the status of current government audits and other events, we recorded an additional $5.0 million in contract-related reserves for our estimate of potential refunds to customers for possible cost adjustments on several multi-year U.S. government cost reimbursable contracts. There can be no assurance that audits or reviews of our incurred costs and cost accounting systems for other fiscal years will not be subject to further audit, review or scrutiny by the DCAA or other government agencies.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Success Depends on the Investment in and Development of New Broadband Technologies and Advanced Communications and Secure Networking Systems, Products and Services, as well as their Market Acceptance</w:t>
      </w:r>
    </w:p>
    <w:p>
      <w:pPr>
        <w:spacing w:after="0" w:line="4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Broadband, advanced communications and secure networking markets are subject to rapid technological change, frequent new and enhanced product and service introductions, product obsolescence and changes in user requirements. Our ability to compete successfully in these markets depends on our success in applying our expertise and technology to existing and emerging broadband, advanced communications and secure networking markets, as well as our ability to successfully develop, introduce and sell new products and services on a timely and cost-effective basis that respond to ever-changing customer requirements, which depends on several factors, including:</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continue to develop leading satellite technologies, including the design of market-leading high-capacity Ka-band satellites;</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enhance our product and service offerings by continuing to increase satellite capacity, bandwidth cost-efficiencies and service quality and adding innovative features that differentiate our offerings from those of our competitors;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integration of various elements of our complex technologies and system architectures;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completion and introduction of new system and product designs;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achievement of acceptable product and service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and efficient implementation of our manufacturing and assembly processes and cost reduction efforts;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close working relationships with major customers for the design of their new communications and secure networking systems incorporating our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 of competitive products, services and technologies by existing and new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marketing and pricing strategies of our competitors with respect to competitive products and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our new products and services.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our new technology, product or service offerings will be successful or that any of the new technologies, products or services we offer will achieve sufficient market acceptance. The period of time from conception through satellite launch for a new satellite design may be three or four years or longer, thereby delaying our ability to realize the benefits of our investments in new satellite designs and technologies. We may experience difficulties that could delay or prevent us from successfully selecting, developing, manufacturing or marketing new technologies, products or services, and these efforts could divert our attention and resources from other projects. We cannot be sure that such efforts and expenditures will ultimately lead to the timely development of new offerings and technologies. Any delays could result in increased costs of development or divert resources from other projects. In addition, defects may be found in our products after we begin deliveries that could result in degradation of service quality, and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we believe that significant investments in next-generation broadband satellites and associated infrastructure will continue to be required as demand for broadband services and satellite systems with higher capacity and higher speed continues to grow. We are constantly evaluating the opportunities and investments related to the development of these next-generation broadband systems. The development of these capital-intensive next-generation systems may require us to undertake debt financing and/or the issuance of additional equity, which could expose us to increased risks and impair the value of our common stock. In addition, if we are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unable to effectively or profitably design, manufacture, integrate and market such next-generation technologies, it could materially harm our business, financial condition and results of operations, and impair the value of our common stock.</w:t>
      </w:r>
    </w:p>
    <w:p>
      <w:pPr>
        <w:spacing w:after="0" w:line="207"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4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which in some cases may include over a million users.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revenues, reduction in backlog and market share, increased service and warranty costs, diversion of development resources, legal actions by our customers, product returns or recalls, issuance of credit to customers and increased insurance costs. Further, due to the high volume nature of our consumer broadband business, defects of products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Reputation and Business Could Be Materially Harmed as a Result of Data Breaches, Data Theft, Unauthorized Access or Hacking</w:t>
      </w:r>
    </w:p>
    <w:p>
      <w:pPr>
        <w:spacing w:after="0" w:line="119"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Our success depends, in part, on the secure and uninterrupted performance of our information technology systems. An increasing number of companies have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unauthorized parties gain access to our information technology systems, they may be able to misappropriate assets or sensitive information (such as personally identifiable information of our customers, business partners and employees), cause interruption in our operations, corruption of data or computers, or otherwise damage our reputation and business. In such circumstances, we could be held liable to our customers or other parties, or be subject to regulatory or other actions for breaching privacy rules. Any compromise of our security could result in a loss of confidence in our security measures, and subject us to litigation, civil or criminal penalties, and negative publicity that could adversely affect our financial condition and results of operations.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 small number of our contracts account for a significant percentage of our revenues. Our five largest contracts generated approximately 19%, 21% and 26% of our total revenues in fiscal years 2016, 2015 and 2014, respectively. Our largest revenue-producing contracts are related to our government satellite communication systems and services and tactical data links products.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and strategic partners that provide satellite-based services (including Xplornet and Eutelsat) could be materially affected by a satellite failure as well as by partial satellite failure, satellite performance degradation, satellite manufacturing errors and other failures resulting from operating satellites in the harsh environment of space. We cannot assure you that our customers will be successful in managing these risks. If our customers do not successfully manage these types of risks, it could impair our ability to generate revenues and collect amounts due from these customers and materially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w:t>
      </w:r>
    </w:p>
    <w:p>
      <w:pPr>
        <w:spacing w:after="0" w:line="9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are often party to government and commercial contracts involving the development of new products. We derived approximately 20%, 23% and 31% of our total revenues in fiscal years 2016, 2015 and 2014, respectively,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Losses from Our Fixed-Price Contracts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Of our total government systems and commercial networks segments revenues, approximately 90%, 90% and 92% were derived from contracts with fixed prices in fiscal years 2016, 2015 and 2014, respectively.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For example, 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Because many of these contracts involve new technologies and applications and can last for years, unforeseen events, such as technological difficulties, fluctuations in the price of raw materials,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in our government systems and commercial networks segments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Reliance on a Limited Number of Third Parties to Manufacture and Supply Our Products and the Components Contained therein Exposes Us to Various Risks</w:t>
      </w:r>
    </w:p>
    <w:p>
      <w:pPr>
        <w:spacing w:after="0" w:line="4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expect our internal manufacturing capacity to be limited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capacity has been, and is expected to continue to be, very limited and we intend to continue to rely on contract manufacturers to produce the majority of our products. In addition, some components, subassemblies and services necessary for the manufacture of our products are obtained from a sole source supplier or a limited group of suppliers.</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19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significant amount of indebtedness. As of March 31, 2016, the aggregate principal amount of our total outstanding indebtedness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$973.7 million, which comprised $575.0 million in principal amount of 6.875% Senior Notes due 2020 (2020 Notes), $180.0 million in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borrowings under our revolving credit facility (the Revolving Credit Facility), $197.2 million in principal amount of outstanding borrowings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direct loan facility with the Export-Import Bank of the United States for ViaSat-2 (the Ex-Im Credit Facility and, together with the Revolving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Credit Facilities), and $0.6 million of other obligations. In addition, as of March 31, 2016 we had accrued $21.0 million in completion exposure fees expected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financed under the Ex-Im Credit Facility.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high level of indebtedness could have important consequences. For example, it could:</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from operations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to the extent we make borrowings under our Revolving Credit Facility, which bear interest at a variable rate;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which Could Further Increase the Risks Associated with Our Leverage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significant additional indebtedness in the future, which may include financing relating to future satellites, potential acquisitions, joint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ventures and strategic alliances, working capital, capital expenditures or general corporate purposes. For example, we may incur additional indebtedness to fund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our investments in our ViaSat-3 class satellites and may finance all or a portion of the €132.5 million purchase price for the 49% interest in the Eutelsat subsidiary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our proposed strategic partnering arrangement with Eutelsat using borrowings under the Revolving Credit Facility. As of March 31, 2016, we had undrawn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availability of $277.2 million under our Revolving Credit Facility and an undrawn commitment for ViaSat-2 related costs and the completion exposure fee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$168.5 million under our Ex-Im Credit Facility (excluding $21.0 million of accrued completion exposure fees), of which $151.9 million was available to finance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ViaSat-2 related costs once incurred. On May 24, 2016, we amended our Revolving Credit Facility to, among other matters, increase the size of the revolving 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credit under the Revolving Credit Facility from $500.0 million to $800.0 million. In addition, our Credit Facilities and the indenture governing the 2020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 us, subject to specified limitations, to incur additional indebtedness. In February 2016, we filed a universal shelf registration statement with the SEC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future sale of an unlimited amount of debt securities, common stock, preferred stock, depositary shares, warrants and rights. The securities may be offered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separately or together, directly by us, by selling security holders, or through underwriters, dealers and agents at amounts, prices, interest 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terms to be determined at the time of the offering. If our level of indebtedness increases significantly, the related risks that we now face would intensify.</w:t>
      </w:r>
    </w:p>
    <w:p>
      <w:pPr>
        <w:spacing w:after="0" w:line="263" w:lineRule="exact"/>
        <w:rPr>
          <w:sz w:val="20"/>
          <w:szCs w:val="20"/>
          <w:color w:val="auto"/>
        </w:rPr>
      </w:pPr>
    </w:p>
    <w:p>
      <w:pPr>
        <w:ind w:right="300"/>
        <w:spacing w:after="0" w:line="338" w:lineRule="auto"/>
        <w:rPr>
          <w:sz w:val="20"/>
          <w:szCs w:val="20"/>
          <w:color w:val="auto"/>
        </w:rPr>
      </w:pPr>
      <w:r>
        <w:rPr>
          <w:rFonts w:ascii="Arial" w:cs="Arial" w:eastAsia="Arial" w:hAnsi="Arial"/>
          <w:sz w:val="16"/>
          <w:szCs w:val="16"/>
          <w:b w:val="1"/>
          <w:bCs w:val="1"/>
          <w:color w:val="auto"/>
        </w:rPr>
        <w:t>We May Not Be Able to Generate Sufficient Cash to Service All of Our Indebtedness and Fund Our Working Capital and Capital Expenditures, and May Be Forced to Take Other Actions to Satisfy Our Obligations under Our Indebtedness, which May Not Be Successful</w:t>
      </w:r>
    </w:p>
    <w:p>
      <w:pPr>
        <w:spacing w:after="0" w:line="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ability to make scheduled payments on or to refinance our indebtedness will depend upon our future operating performance and on our ability to generate cash flow in the future, which is subject to general economic, financial, business, competitive, legislative, regulatory and other factors that are beyond our control. We cannot assure you that our business will generate sufficient cash flow from operations, or that future borrowings, including borrowings under our Credit Facilities, will be available to us in an amount sufficient to enable us to pay our indebtedness, or to fund our other liquidity needs. If our cash flows and capital resources are insufficient to fund our debt service obligations, we could face substantial liquidity problems and could be forced to reduce or delay investment and capital expenditures or to dispose of material assets or operations, seek additional debt or equity capital or restructure or refinance our indebtedness. We may not be able to effect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such alternative measures, if necessary, on commercially reasonable terms or at all and, even if successful, such alternative actions may not allow us to meet our scheduled debt service obligations. Our Credit Facilities and the indenture governing the 2020 Notes restrict our ability to dispose of assets and use the proceeds from the disposition, and may also restrict our ability to raise debt or equity capital to repay or service our indebtedness. If we cannot make scheduled payments on our debt, we will be in default and, as a result, the lenders under our Credit Facilities and the holders of the 2020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Refinance Our Indebtedness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need to refinance all or a portion of our indebtedness before maturity, including the 2020 Notes and any indebtedness under our Credit Facilities. There can be no assurance that we will be able to obtain sufficient funds to enable us to repay or refinance our debt obligations on commercially reasonable terms, or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Debt Agreements Restrict Our Business and Could Limit Our Ability to Implement Our Business Plan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Credit Facilities and the indenture governing the 2020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our Credit Facilities, our ability to borrow under our Credit Facilities may be restricted. The Credit Facilities and the indenture governing the 2020 Notes include covenants restricting, among other things, our ability to do the following:</w:t>
      </w:r>
    </w:p>
    <w:p>
      <w:pPr>
        <w:spacing w:after="0" w:line="3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assume or guarantee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 or incur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make distributions, or redeem or repurchase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our satellite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our Credit Facilities require us to comply with certain financial covenants, including a maximum total leverage ratio and minimum interest coverage ratio. Our Revolving Credit Facility is secured by first-priority liens on substantially all of the assets of our company, including the stock of our significant subsidiaries, and the assets of the subsidiary guarantors under our Revolving Credit Facility. Our Ex-Im Credit Facility is guaranteed by ViaSat and is secured by first-priority liens on the ViaSat-2 satellite and related assets, as well as the stock of our foreign subsidiary that will own the ViaSat-2 satellite.</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we default under our Credit Facilities or the indenture governing the 2020 Notes because of a covenant breach or otherwise, all outstanding amounts thereunder could become immediately due and payable. In the past we have violated the covenants in our former revolving credit facilities and received waivers for these violations. We cannot assure you that we will be able to comply with our financial or other covenants under our Credit Facilities or the indenture governing the 2020 Notes or that any covenant violations will be waived in the future.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Facility, require any outstanding letters of credit to be collateralized by an interest bearing cash account, any or all of which could have a material adverse effect on our business, financial condition and results of operations. We cannot assure you that we would have sufficient funds to repay all the outstanding amounts under our Credit Facilities or the indenture governing the 2020 Notes, and any acceleration of amounts due would have a material adverse effect on our liquidity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Chairman of the Board and Chief Executive Officer, Mark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in order to attract and retain such employees, or could experience difficulties in performing under our contracts if our needs for such employees were unmet.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Global Business Environment and Economic Conditions Could Negatively Affect Our Business, Financial Condition and Results of Operations</w:t>
      </w:r>
    </w:p>
    <w:p>
      <w:pPr>
        <w:spacing w:after="0" w:line="11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business and operating results are affected by the global business environment and economic conditions, including changes in interest rates, consumer credit conditions, consumer debt levels, consumer confidence, rates of inflation, unemployment rates, energy costs, geopolitical issues and other macro-economic factors. For example, high unemployment levels or energy costs may impact our consumer customer base in our satellite services segment by reducing consumers’ discretionary income and affecting their ability to subscribe for our broadband services. Our commercial networks segment similarly depends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difficulty obtaining financing or insolvency. Existing or potential customers may reduce or postpone spending in response to tighter credit, negative financial news or declines in income or asset values, which could have a material negative effect on the demand for our products and services. Any of these factors could result in reduced demand for, and pricing pressure on, our products and services, which could lead to a reduction in our revenues and adversely affect our business, financial condition and results of operations.</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p>
    <w:p>
      <w:pPr>
        <w:spacing w:after="0" w:line="21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Because We Conduct Business Internationally, We Face Additional Risks Related to Global Political and Economic Conditions, Changes in Regulation and Currency Fluctuations</w:t>
      </w:r>
    </w:p>
    <w:p>
      <w:pPr>
        <w:spacing w:after="0" w:line="4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Approximately 15%, 17% and 23% of our total revenues in fiscal years 2016, 2015 and 2014, respectively, were derived from international sales. Many of our international sales may be denominated in foreign currencies. Because we do not currently engage in, nor do we anticipate engaging in, material foreign currency hedging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risks in conducting business internationally, including:</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unexpected changes in laws, policies and regulatory requirements, including but not limited to regulations related to import-export control;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 of localizing systems in foreign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sales and marketing and research and development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suitable export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and availability of export licenses;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taxes, tariffs, embargoes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economic instability or issues related to the political relationship between the United States and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 foreign exchange controls and restrictions on cash repatriation;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a variety of international laws and U.S. laws affecting the activities of U.S. companies abroad;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 staffing and managing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distributors;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for additional liquidity to fund our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ineffective legal protection of our intellectual property rights in certain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difficulty in making adequate payment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difficulty in collecting accounts receivable.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success depends significantly on our ability to protect our proprietary rights to the technologies we use in our products and services. We generally rely on a combination of patents, copyrights, trademarks and trade secret laws and contractual rights to protect our proprietary rights in our technology and products. We also enter into confidentiality agreements with our employees, consultants and corporate partners, and control access to and distribution of our proprietary information. Despite our efforts to protect our proprietary rights, unauthorized parties may attempt to copy or otherwise obtain and use our products or technology.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or to determine the validity and scope of the proprietary rights of others. For example, in February 2012 we successfully sued SS/L</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and its former parent company Loral Space &amp; Communications, Inc. (Loral) for patent infringement and breach of contract relating to the manufacture of ViaSat-1 (see Note 12 to the consolidated financial statements). If we are unsuccessful in any such litigation in the future, our rights to enforce such intellectual property may be impaired or we could lose some or all of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certain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Involvement in Litigation Relating to Intellectual Property Claims May Have a Material Adverse Effect on Our Business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Availability of Third-Party Licenses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Lower Our Stock Price and Dilute Existing Stockholders</w:t>
      </w:r>
    </w:p>
    <w:p>
      <w:pPr>
        <w:spacing w:after="0" w:line="96" w:lineRule="exact"/>
        <w:rPr>
          <w:sz w:val="20"/>
          <w:szCs w:val="20"/>
          <w:color w:val="auto"/>
        </w:rPr>
      </w:pPr>
    </w:p>
    <w:p>
      <w:pPr>
        <w:jc w:val="both"/>
        <w:ind w:right="300" w:firstLine="456"/>
        <w:spacing w:after="0" w:line="335" w:lineRule="auto"/>
        <w:rPr>
          <w:sz w:val="20"/>
          <w:szCs w:val="20"/>
          <w:color w:val="auto"/>
        </w:rPr>
      </w:pPr>
      <w:r>
        <w:rPr>
          <w:rFonts w:ascii="Arial" w:cs="Arial" w:eastAsia="Arial" w:hAnsi="Arial"/>
          <w:sz w:val="15"/>
          <w:szCs w:val="15"/>
          <w:color w:val="auto"/>
        </w:rPr>
        <w:t>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may also issue additional shares of common stock to finance future acquisitions through the use of equity. For example, during the third quarter of fiscal year 2010 we issued approximately 4.29 million shares of our common stock to former equity and debt holders of WildBlue Holding, Inc. (WildBlue) in connection with our acquisition of WildBlue. Additionally, a substantial number of shares of our common stock are available for future sale pursuant to stock options, warrants or issuance pursuant to our 1996 Equity Participation Plan of ViaSat, Inc. and the ViaSat, Inc. Employee Stock Purchase Plan.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 In addition, these sales may be dilutive to existing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Our Stock Price to Be Volatile, and You May Lose All or Some of Your Investment</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market price of our common stock has been volatile in the past. For example, since April 1, 2012 the market price of our common stock has ranged from $33.09 to $79.15, and since April 1, 2015, the market price of our common stock has ranged from $56.02 to $79.15. Trading prices may continue to fluctuate in response to a number of events and factors, including the following:</w:t>
      </w:r>
    </w:p>
    <w:p>
      <w:pPr>
        <w:spacing w:after="0" w:line="5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operating results and announcements of innovations;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relating to the acquisition, construction and launch of satellites;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products, services and strategic developments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distributors, suppliers and joint venture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revenues, expense levels or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satellite and wireless communications and secure networking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economy.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Utilize All of Our Deferred Tax Assets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currently believe that we are likely to have sufficient taxable income in the future to realize the benefit of all of our net deferred tax assets (consisting primarily of net operating loss and tax credit carryforwards, reserves and accruals that are not currently deductible for tax purposes).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therefore adversely affect our results of operations and tangible net worth in the period in which it is recorded.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Moreover, our ability to utilize our net operating loss and tax credit carryforwards to offset future taxable income and reduce future cash tax liabilities would be negatively impacted if we were to experience an “ownership change,” as defined in Section 382 of the Internal Revenue Code (the Code). In general terms, an “ownership change” can occur whenever one or more “5% stockholders” collectively change the ownership of a company by more than 50 percentage points within a three-year period. The determination of whether an ownership change has occurred for purposes of Section 382 of the Code is complex and requires significant judgment. Moreover, the number of shares of our common stock outstanding at any particular time for purposes of Section 382 of the Code may differ from the number of shares that we report as outstanding in our filings with the SEC. In the event that an ownership change occurs, our ability to utilize our net operating loss and tax credit carryforwards would be negatively impacted, which could have a material adverse effect on our business, financial condition and results of operations.</w:t>
      </w:r>
    </w:p>
    <w:p>
      <w:pPr>
        <w:spacing w:after="0" w:line="193"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Our Executive Officers and Directors Own a Large Percentage of Our Common Stock and Exert Significant Influence over Matters Requiring Stockholder Approval</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2016, our executive officers and directors and their affiliates beneficially owned an aggregate of approximately 10% of our common stock. Accordingly, these stockholders may be able to substantially influence all matters requiring approval by our stockholders, including the election of directors and the approval of mergers or other business combination transactions. Circumstances may arise in which the interests of these stockholders could conflict with the interests of our other stockholders. These stockholders could delay or prevent a change in control of ViaSat even if such a transaction would be beneficial to our other stockholders.</w:t>
      </w:r>
    </w:p>
    <w:p>
      <w:pPr>
        <w:spacing w:after="0" w:line="218"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Provisions in Our Certificate of Incorporation and Bylaws, under Delaware Law and in Our Credit Facilities May Discourage, Delay or Prevent a Change in Control or Prevent an Acquisition of Our Business at a Premium Price</w:t>
      </w:r>
    </w:p>
    <w:p>
      <w:pPr>
        <w:spacing w:after="0" w:line="4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w:t>
      </w:r>
    </w:p>
    <w:p>
      <w:pPr>
        <w:spacing w:after="0" w:line="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 the board of directors to increase its own size and fill the resulting vacancies;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in one or more series;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are also subject to Section 203 of the Delaware General Corporation Law, which imposes restrictions on mergers and other business combinations between us and any holder of 15% or more of our common stock. In addition, under the indenture governing the 2020 Notes, if certain “change of control” events occur, each holder of 2020 Notes may require us to repurchase all of such holder’s 2020 Notes at a purchase price equal to 101% of the principal amount of such notes. Additionally, our Credit Facilities provide for an event of default upon the occurrence of certain specified “change of control” events.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400" w:firstLine="456"/>
        <w:spacing w:after="0" w:line="286" w:lineRule="auto"/>
        <w:rPr>
          <w:sz w:val="20"/>
          <w:szCs w:val="20"/>
          <w:color w:val="auto"/>
        </w:rPr>
      </w:pPr>
      <w:r>
        <w:rPr>
          <w:rFonts w:ascii="Arial" w:cs="Arial" w:eastAsia="Arial" w:hAnsi="Arial"/>
          <w:sz w:val="16"/>
          <w:szCs w:val="16"/>
          <w:color w:val="auto"/>
        </w:rPr>
        <w:t>Our worldwide headquarters are located at our Carlsbad, California campus, consisting of approximately 695,000 square feet under various leases. In addition to our Carlsbad campus, we have facilities under various leases consisting of approximately: (1) 4,000 square feet in San Diego, California,</w:t>
      </w:r>
    </w:p>
    <w:p>
      <w:pPr>
        <w:ind w:firstLine="8"/>
        <w:spacing w:after="0" w:line="312" w:lineRule="auto"/>
        <w:tabs>
          <w:tab w:leader="none" w:pos="249" w:val="left"/>
        </w:tabs>
        <w:numPr>
          <w:ilvl w:val="0"/>
          <w:numId w:val="27"/>
        </w:numPr>
        <w:rPr>
          <w:rFonts w:ascii="Arial" w:cs="Arial" w:eastAsia="Arial" w:hAnsi="Arial"/>
          <w:sz w:val="15"/>
          <w:szCs w:val="15"/>
          <w:color w:val="auto"/>
        </w:rPr>
      </w:pPr>
      <w:r>
        <w:rPr>
          <w:rFonts w:ascii="Arial" w:cs="Arial" w:eastAsia="Arial" w:hAnsi="Arial"/>
          <w:sz w:val="15"/>
          <w:szCs w:val="15"/>
          <w:color w:val="auto"/>
        </w:rPr>
        <w:t>125,000 square feet in Englewood, Colorado, (3) 188,000 square feet in Duluth, Georgia, (4) 71,000 square feet in Germantown, Maryland, (5) 116,000 square feet in Tempe, Arizona, (6) 34,000 square feet in Cleveland, Ohio and (7) 6,000 square feet in San Jose, CA. We also maintain offices or a sales presence in Washington, D.C., Boston (Massachusetts), Linthicum Heights and Aberdeen (Maryland), Tampa (Florida), Bryan and College Station (Texas), Southern Pines (North Carolina), Australia, China, India, Israel, Italy, Switzerland and the United Kingdom, and operate twenty-three earth station locations to support our satellite broadband services business across the United States and Canada. Although we believe that our existing facilities are suitable and adequate for our present purposes, we anticipate operating additional regional sales offices in fiscal year 2017 and beyond. Each of our segments uses each of these facilities.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of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“VSAT.” The following table sets forth, for the periods indicated, the range of high and low sales prices of our common stock as reported by Nasdaq.</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2015</w:t>
            </w:r>
          </w:p>
        </w:tc>
        <w:tc>
          <w:tcPr>
            <w:tcW w:w="27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$68.50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68.84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Fiscal Year 2016</w:t>
            </w: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65.22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00" w:type="dxa"/>
            <w:vAlign w:val="bottom"/>
            <w:shd w:val="clear" w:color="auto" w:fill="CCEEFF"/>
          </w:tcPr>
          <w:p>
            <w:pPr>
              <w:spacing w:after="0"/>
              <w:rPr>
                <w:sz w:val="18"/>
                <w:szCs w:val="18"/>
                <w:color w:val="auto"/>
              </w:rPr>
            </w:pPr>
          </w:p>
        </w:tc>
      </w:tr>
      <w:tr>
        <w:trPr>
          <w:trHeight w:val="222"/>
        </w:trPr>
        <w:tc>
          <w:tcPr>
            <w:tcW w:w="42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76.58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May 13, 2016, there were approximately 664 holders of record of our common stock. A substantially greater number of holders of ViaSat common stock are “street name” or beneficial holders, whose shares are held of record by banks, brokers and other financial institutions.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 governing our 2020 Notes restrict our ability to declare or pay dividends on our common stock.</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following table provides our selected financial information for each of the fiscal years in the five-year period ended March 31, 2016. The data as of and for each of the fiscal years in the five-year period ended March 31, 2016 have been derived from our audited consolidated financial statements, except as otherwise noted. You should consider the financial statement data provided below in conjunction with “Management’s Discussion and Analysis of Financial Condition and Results of Operations” and the consolidated financial statements and notes which are included elsewhere in this Annual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Fiscal Years Ended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April 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April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9"/>
              </w:rPr>
              <w:t>March 29,</w:t>
            </w:r>
          </w:p>
        </w:tc>
        <w:tc>
          <w:tcPr>
            <w:tcW w:w="80" w:type="dxa"/>
            <w:vAlign w:val="bottom"/>
          </w:tcPr>
          <w:p>
            <w:pPr>
              <w:spacing w:after="0"/>
              <w:rPr>
                <w:sz w:val="11"/>
                <w:szCs w:val="11"/>
                <w:color w:val="auto"/>
              </w:rPr>
            </w:pPr>
          </w:p>
        </w:tc>
        <w:tc>
          <w:tcPr>
            <w:tcW w:w="72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March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gridSpan w:val="10"/>
          </w:tcPr>
          <w:p>
            <w:pPr>
              <w:jc w:val="center"/>
              <w:ind w:right="50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 revenues</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664,821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728,074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785,738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664,417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542,064</w:t>
            </w:r>
          </w:p>
        </w:tc>
        <w:tc>
          <w:tcPr>
            <w:tcW w:w="0" w:type="dxa"/>
            <w:vAlign w:val="bottom"/>
          </w:tcPr>
          <w:p>
            <w:pPr>
              <w:spacing w:after="0"/>
              <w:rPr>
                <w:sz w:val="1"/>
                <w:szCs w:val="1"/>
                <w:color w:val="auto"/>
              </w:rPr>
            </w:pPr>
          </w:p>
        </w:tc>
      </w:tr>
      <w:tr>
        <w:trPr>
          <w:trHeight w:val="216"/>
        </w:trPr>
        <w:tc>
          <w:tcPr>
            <w:tcW w:w="5480" w:type="dxa"/>
            <w:vAlign w:val="bottom"/>
          </w:tcPr>
          <w:p>
            <w:pPr>
              <w:ind w:left="880"/>
              <w:spacing w:after="0"/>
              <w:rPr>
                <w:sz w:val="20"/>
                <w:szCs w:val="20"/>
                <w:color w:val="auto"/>
              </w:rPr>
            </w:pPr>
            <w:r>
              <w:rPr>
                <w:rFonts w:ascii="Arial" w:cs="Arial" w:eastAsia="Arial" w:hAnsi="Arial"/>
                <w:sz w:val="18"/>
                <w:szCs w:val="18"/>
                <w:color w:val="auto"/>
              </w:rPr>
              <w:t>Service 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752,610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654,461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565,724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455,273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321,563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1,417,431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1,382,535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1,351,462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1,119,690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863,627</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Cost of product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519,483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571,855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402,794</w:t>
            </w:r>
          </w:p>
        </w:tc>
        <w:tc>
          <w:tcPr>
            <w:tcW w:w="0" w:type="dxa"/>
            <w:vAlign w:val="bottom"/>
          </w:tcPr>
          <w:p>
            <w:pPr>
              <w:spacing w:after="0"/>
              <w:rPr>
                <w:sz w:val="1"/>
                <w:szCs w:val="1"/>
                <w:color w:val="auto"/>
              </w:rPr>
            </w:pPr>
          </w:p>
        </w:tc>
      </w:tr>
      <w:tr>
        <w:trPr>
          <w:trHeight w:val="216"/>
        </w:trPr>
        <w:tc>
          <w:tcPr>
            <w:tcW w:w="5480" w:type="dxa"/>
            <w:vAlign w:val="bottom"/>
          </w:tcPr>
          <w:p>
            <w:pPr>
              <w:ind w:left="880"/>
              <w:spacing w:after="0"/>
              <w:rPr>
                <w:sz w:val="20"/>
                <w:szCs w:val="20"/>
                <w:color w:val="auto"/>
              </w:rPr>
            </w:pPr>
            <w:r>
              <w:rPr>
                <w:rFonts w:ascii="Arial" w:cs="Arial" w:eastAsia="Arial" w:hAnsi="Arial"/>
                <w:sz w:val="18"/>
                <w:szCs w:val="18"/>
                <w:color w:val="auto"/>
              </w:rPr>
              <w:t>Cost of service 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495,099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444,431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419,425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363,188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233,187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270,841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281,533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240,859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181,728</w:t>
            </w:r>
          </w:p>
        </w:tc>
        <w:tc>
          <w:tcPr>
            <w:tcW w:w="0" w:type="dxa"/>
            <w:vAlign w:val="bottom"/>
          </w:tcPr>
          <w:p>
            <w:pPr>
              <w:spacing w:after="0"/>
              <w:rPr>
                <w:sz w:val="1"/>
                <w:szCs w:val="1"/>
                <w:color w:val="auto"/>
              </w:rPr>
            </w:pPr>
          </w:p>
        </w:tc>
      </w:tr>
      <w:tr>
        <w:trPr>
          <w:trHeight w:val="216"/>
        </w:trPr>
        <w:tc>
          <w:tcPr>
            <w:tcW w:w="5480" w:type="dxa"/>
            <w:vAlign w:val="bottom"/>
          </w:tcPr>
          <w:p>
            <w:pPr>
              <w:ind w:left="880"/>
              <w:spacing w:after="0"/>
              <w:rPr>
                <w:sz w:val="20"/>
                <w:szCs w:val="20"/>
                <w:color w:val="auto"/>
              </w:rPr>
            </w:pPr>
            <w:r>
              <w:rPr>
                <w:rFonts w:ascii="Arial" w:cs="Arial" w:eastAsia="Arial" w:hAnsi="Arial"/>
                <w:sz w:val="18"/>
                <w:szCs w:val="18"/>
                <w:color w:val="auto"/>
              </w:rPr>
              <w:t>Independent research and development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77,184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46,670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60,736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35,448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24,992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18,732</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83,144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3,299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(20,362)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(43,820)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(8,247)</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(26,501)</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(90,683)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13,827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(25,947)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(50,054)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(13,651)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08"/>
        </w:trPr>
        <w:tc>
          <w:tcPr>
            <w:tcW w:w="5480" w:type="dxa"/>
            <w:vAlign w:val="bottom"/>
          </w:tcPr>
          <w:p>
            <w:pPr>
              <w:ind w:left="440"/>
              <w:spacing w:after="0"/>
              <w:rPr>
                <w:sz w:val="20"/>
                <w:szCs w:val="20"/>
                <w:color w:val="auto"/>
              </w:rPr>
            </w:pPr>
            <w:r>
              <w:rPr>
                <w:rFonts w:ascii="Arial" w:cs="Arial" w:eastAsia="Arial" w:hAnsi="Arial"/>
                <w:sz w:val="18"/>
                <w:szCs w:val="18"/>
                <w:color w:val="auto"/>
                <w:w w:val="93"/>
              </w:rPr>
              <w:t>Less: Net income (loss) attributable to noncontrolling interest, net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66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8"/>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ViaSat, Inc.</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(41,172)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Arial" w:cs="Arial" w:eastAsia="Arial" w:hAnsi="Arial"/>
                <w:sz w:val="18"/>
                <w:szCs w:val="18"/>
                <w:color w:val="auto"/>
                <w:w w:val="90"/>
              </w:rPr>
              <w:t>Basic net income (loss) per share attributable to ViaSat, Inc. common</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660"/>
              <w:spacing w:after="0"/>
              <w:rPr>
                <w:sz w:val="20"/>
                <w:szCs w:val="20"/>
                <w:color w:val="auto"/>
              </w:rPr>
            </w:pPr>
            <w:r>
              <w:rPr>
                <w:rFonts w:ascii="Arial" w:cs="Arial" w:eastAsia="Arial" w:hAnsi="Arial"/>
                <w:sz w:val="18"/>
                <w:szCs w:val="18"/>
                <w:color w:val="auto"/>
              </w:rPr>
              <w:t>stockholders</w:t>
            </w:r>
          </w:p>
        </w:tc>
        <w:tc>
          <w:tcPr>
            <w:tcW w:w="26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net income (loss) per share attributable to ViaSat, Inc.</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stockholders</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Shares used in computing basic net income (loss) per share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47,139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45,744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42,325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used in computing diluted net income (loss) per share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44,226</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172,583</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Working capital (1)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243,345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223,414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219,083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272,660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306,794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 (1)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2,405,846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2,158,378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1,960,115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1,794,072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1,727,153</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Senior notes,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581,374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582,657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583,861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584,993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547,791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debt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223,736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105,900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39,995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48,893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52,640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50,353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1,129,103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1,038,582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941,012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903,001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887,975</w:t>
            </w:r>
          </w:p>
        </w:tc>
        <w:tc>
          <w:tcPr>
            <w:tcW w:w="0" w:type="dxa"/>
            <w:vAlign w:val="bottom"/>
          </w:tcPr>
          <w:p>
            <w:pPr>
              <w:spacing w:after="0"/>
              <w:rPr>
                <w:sz w:val="1"/>
                <w:szCs w:val="1"/>
                <w:color w:val="auto"/>
              </w:rPr>
            </w:pPr>
          </w:p>
        </w:tc>
      </w:tr>
      <w:tr>
        <w:trPr>
          <w:trHeight w:val="363"/>
        </w:trPr>
        <w:tc>
          <w:tcPr>
            <w:tcW w:w="5480" w:type="dxa"/>
            <w:vAlign w:val="bottom"/>
          </w:tcPr>
          <w:p>
            <w:pPr>
              <w:spacing w:after="0"/>
              <w:rPr>
                <w:sz w:val="24"/>
                <w:szCs w:val="24"/>
                <w:color w:val="auto"/>
              </w:rPr>
            </w:pPr>
          </w:p>
        </w:tc>
        <w:tc>
          <w:tcPr>
            <w:tcW w:w="980" w:type="dxa"/>
            <w:vAlign w:val="bottom"/>
            <w:gridSpan w:val="3"/>
          </w:tcPr>
          <w:p>
            <w:pPr>
              <w:jc w:val="center"/>
              <w:ind w:right="434"/>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98"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November 2015, the Financial Accounting Standards Board (FASB) issued Accounting Standards Update 2015-17, Income Taxes (Topic 740): Balance Sheet Classification of Deferred Taxes (ASU 2015-17), which simplifies the presentation of deferred income taxes by requiring deferred tax assets and liabilities be classified as non-current on the balance sheet. We early adopted this standard retrospectively and reclassified all of our current deferred tax assets to non-current deferred tax assets on our consolidated balance sheets for all periods presented.</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fiscal year 2013 information presented reflects the repurchase and redemption of our former 8.875% Senior Notes due 2016 and the associated $26.5 million loss on extinguishment of debt. Our fiscal year 2015 information presented reflects the amounts realized under our settlement agreement with SS/L and Loral (the Settlement Agreement) of $53.7 million, of which $33.0 million was recognized as product revenues in our satellite services segment, $18.7 million was recognized as a reduction to selling, general and administrative (SG&amp;A) expenses in our satellite services segment, and $2.0 million was recognized as interest income in the consolidated financial statements. Our fiscal year 2016 reflects the amounts realized under our settlement agreement with the Settlement Agreement of $27.5 million, of which $25.3 million was recognized as product revenues in our satellite services segment, and $2.2 million was recognized as interest income in the consolidated financial statements. Refer to Note 12 to the consolidated financial statements for discussion of the amounts realized under the Settlement Agreement.</w:t>
      </w:r>
    </w:p>
    <w:p>
      <w:pPr>
        <w:spacing w:after="0" w:line="193" w:lineRule="exact"/>
        <w:rPr>
          <w:sz w:val="20"/>
          <w:szCs w:val="20"/>
          <w:color w:val="auto"/>
        </w:rPr>
      </w:pPr>
    </w:p>
    <w:p>
      <w:pPr>
        <w:ind w:right="1900"/>
        <w:spacing w:after="0" w:line="34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Company Overview</w:t>
      </w:r>
    </w:p>
    <w:p>
      <w:pPr>
        <w:spacing w:after="0" w:line="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operates in three segments: satellite services, commercial networks and government systems.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satellite services segment provides satellite-based high-speed broadband services to consumers, enterprises, commercial airlines and mobile broadband customers primarily in the United States. Our Exede broadband services offer high-speed, high-quality broadband internet access across the contiguous United States. We also offer similar services for a growing number of commercial and business aircraft both in the United States and abroad. Our satellite services business also provides a platform for the provision of network management services to domestic and international satellite service providers. Our satellite services business uses our proprietary technology platform to provide broadband services with multiple applications. Our proprietary Ka-band satellites are at the core of our technology platform. In May 2013, we entered into a satellite construction contract for our ViaSat-2 satellite, our second-generation high-capacity Ka-band satellite design. In addition, construction has commenced on two ViaSat-3 class satellites, our third-generation high-capacity Ka-band satellite design, pursuant to a limited authorization to proceed.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right="1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Fixed broadband services under the Exede and WildBlue brands offered to consumers and businesses primarily in the United States, which provide users with high-speed broadband internet access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VoIP services. As of March 31, 2016, we provided broadband internet services to approximately 697,000 consumer and small business subscribers.</w:t>
      </w:r>
    </w:p>
    <w:p>
      <w:pPr>
        <w:spacing w:after="0" w:line="113" w:lineRule="exact"/>
        <w:rPr>
          <w:sz w:val="20"/>
          <w:szCs w:val="20"/>
          <w:color w:val="auto"/>
        </w:rPr>
      </w:pPr>
    </w:p>
    <w:p>
      <w:pPr>
        <w:ind w:left="900" w:right="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In-flight broadband services including our flagship Exede in the Air service. As of March 31, 2016, 476 commercial aircraft were in service utilizing our Exede in-flight broadband services.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Mobile broadband services under the Yonder brand, which provide global network management and high-speed internet connectivity services for customers using airborne, maritime and ground-mobile satellite systems.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Enterprise broadband services, which include business connectivity, live on-line event streaming, oil and natural gas data gathering services and high-definition satellite news gathering.</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February 2016, we entered into the Framework Agreement with Eutelsat, pursuant to which we have agreed to enter into a strategic partnering arrangement with Eutelsat to own and operate satellite broadband infrastructure and equipment and provide satellite-based broadband internet services in the European region. The arrangement will consist of two entities coordinating efforts to expand the European broadband market: an entity to be owned 51% by Eutelsat and 49% by ViaSat following the closing will own and operate Eutelsat’s KA-SAT satellite and related assets and offer wholesale satellite capacity services in the European region; and an entity to be owned 51% by ViaSat and 49% by Eutelsat following the closing will purchase wholesale satellite capacity services and offer retail satellite-based broadband internet services in the European region. At the closing under the Framework Agreement, Eutelsat will contribute and transfer assets relating to Eutelsat’s existing wholesale satellite broadband business (including its KA-SAT satellite) to a newly formed subsidiary of Eutelsat in exchange for the issuance of new shares in such subsidiary, and following such contribution and issuance, we will purchase 49% of the issued shares of Eutelsat’s subsidiary from Eutelsat for €132.5 million and, similarly, Eutelsat will purchase 49% of the issued shares of a second newly formed subsidiary of ViaSat for an immaterial amount. Also at the closing, we and Eutelsat will enter into shareholders’ agreements and other ancillary agreements with respect to the ownership, management and operation of the two entities. The closing of the transactions under the Framework Agreement is subject to customary conditions, including the receipt of required regulatory approvals and third-party consents. We currently anticipate that the closing will occur in the second quarter of fiscal year 2017.</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September 2014, we entered into the Settlement Agreement with SS/L and Loral, pursuant to which SS/L and Loral are required to pay us a total of $108.7 million, inclusive of interest, over a two and a half year period from the date of settlement. In exchange, we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 We record payments under the Settlement Agreement as product revenues and as a reduction of SG&amp;A expenses in our satellite services segment, and as interest income. For further information, see Note 12 to the consolidated financial statements.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Our commercial networks segment develops and produces a variety of advanced end-to-end satellite and wireless communication systems, ground networking equipment and space-to-earth connectivity systems. We design and build customized fixed and mobile satellite communication systems capable of serving a variety of markets and applications. In addition, we offer an array of ground networking equipment and products, including CPE, satellite modems, antenna technologies, earth stations and satellite networking hubs. Our communication systems, networking equipment and products are generally developed through a combination of customer and discretionary internal research and development funding, are utilized to provide services through our satellite services segment and are also sold to commercial networks customers.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communication systems, ground networking equipment and products include:</w:t>
      </w:r>
    </w:p>
    <w:p>
      <w:pPr>
        <w:spacing w:after="0" w:line="90" w:lineRule="exact"/>
        <w:rPr>
          <w:sz w:val="20"/>
          <w:szCs w:val="20"/>
          <w:color w:val="auto"/>
        </w:rPr>
      </w:pPr>
    </w:p>
    <w:p>
      <w:pPr>
        <w:ind w:left="900" w:right="2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government systems segment develops and produces network-centric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DoD, allied foreign governments, domestic and allied armed forces, public safety first-responders and remote government employees.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4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w:t>
      </w:r>
    </w:p>
    <w:p>
      <w:pPr>
        <w:spacing w:after="0" w:line="50"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ISR and C2 missions, satellite networking services, network management systems for Wi-Fi and other internet access networks and global mobile broadband capability, and include products designed for manpacks, aircraft, UAVs, seagoing vessels, ground-mobile vehicles and fixed applications.</w:t>
      </w:r>
    </w:p>
    <w:p>
      <w:pPr>
        <w:spacing w:after="0" w:line="31" w:lineRule="exact"/>
        <w:rPr>
          <w:rFonts w:ascii="Arial" w:cs="Arial" w:eastAsia="Arial" w:hAnsi="Arial"/>
          <w:sz w:val="16"/>
          <w:szCs w:val="16"/>
          <w:color w:val="auto"/>
        </w:rPr>
      </w:pPr>
    </w:p>
    <w:p>
      <w:pPr>
        <w:ind w:left="900" w:right="22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HAIPE-compliant encryption solutions that enable military and government users to communicate information securely over networks, and that secure data stored on computers and storage devices.</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Tactical data links, including our BATS-D handheld link radios, MIDS terminals for military fighter jets and their successor, MIDS-JTRS terminals, “disposable” weapon data links and other portable small tactical terminals.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satellite services segment revenues are primarily derived from our domestic broadband services business and from our worldwide managed network services.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90%, 90% and 92% of our total revenues for these segments for fiscal years 2016, 2015 and 2014,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and-materials contracts (which reimburse us for the number of labor hours expended at an established hourly rate negotiated in the contract, plus the cost of materials utilized in providing such products or services).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a significant portion of our revenues in our commercial networks and government systems segments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20%, 23% and 31% of our total revenues during fiscal years 2016, 2015 and 2014, respectively.</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5%, 3% and 5% of total revenues in fiscal years 2016, 2015 and 2014, respectively. As a government contractor, we are able to recover a portion of our IR&amp;D expenses pursuant to our government contracts.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Approximately 15%, 17% and 23% of our total revenues in fiscal years 2016, 2015 and 2014, respectively, were derived from international sales. Doing business internationally creates additional risks related to global political and economic conditions and other factors identified under the heading “Risk Factors” in Item 1A and elsewhere in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fiscal years 2016, 2015 and 2014, we recorded losses of approximately $5.1 million, $0.6 million and $3.3 million, respectively, related to loss contracts.</w:t>
      </w:r>
    </w:p>
    <w:p>
      <w:pPr>
        <w:spacing w:after="0" w:line="1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March 31, 2016 would change our income before income taxes by approximately $0.4 million.</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60" w:firstLine="8"/>
        <w:spacing w:after="0" w:line="288" w:lineRule="auto"/>
        <w:tabs>
          <w:tab w:leader="none" w:pos="2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FASB codification, for substantially all of the arrangements with multiple deliverables, we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allocate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2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own two satellites: ViaSat-1 (our first-generation high-capacity Ka-band spot-beam satellite, which was placed into service in January 2012) and WildBlue-1 (which was placed into service in March 2007). In May 2013, we entered into a satellite construction contract for our ViaSat-2 satellite, our second-generation high-capacity Ka-band satellite design. In addition, construction has commenced on two ViaSat-3 class satellites, our third-generation high-capacity Ka-band satellite design, pursuant to a limited authorization to proceed.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fiscal years 2016, 2015 and 2014.</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our qualitative assessment performed during the fourth quarter of fiscal year 2016, we concluded that it was more likely than not that the estimated fair value of our reporting units exceeded their carrying value as of March 31, 2016 and, therefore, determined it was not necessary to perform the two-step goodwill impairment test.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$15.6 million at April 3, 2015 to $17.1 million at March 31, 2016. The valuation allowance primarily relates to state net operating loss carryforwards and research and development tax credit carryforwards available to reduce state income taxes.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3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w w:val="91"/>
              </w:rPr>
              <w:t>Fiscal Years Ended</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9"/>
              </w:rPr>
              <w:t>March 31,</w:t>
            </w:r>
          </w:p>
        </w:tc>
        <w:tc>
          <w:tcPr>
            <w:tcW w:w="480" w:type="dxa"/>
            <w:vAlign w:val="bottom"/>
          </w:tcPr>
          <w:p>
            <w:pPr>
              <w:spacing w:after="0"/>
              <w:rPr>
                <w:sz w:val="11"/>
                <w:szCs w:val="11"/>
                <w:color w:val="auto"/>
              </w:rPr>
            </w:pPr>
          </w:p>
        </w:tc>
        <w:tc>
          <w:tcPr>
            <w:tcW w:w="116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8"/>
              </w:rPr>
              <w:t>April 3,</w:t>
            </w: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April 4,</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6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46.9</w:t>
            </w:r>
          </w:p>
        </w:tc>
        <w:tc>
          <w:tcPr>
            <w:tcW w:w="1640" w:type="dxa"/>
            <w:vAlign w:val="bottom"/>
            <w:gridSpan w:val="3"/>
          </w:tcPr>
          <w:p>
            <w:pPr>
              <w:jc w:val="right"/>
              <w:ind w:right="700"/>
              <w:spacing w:after="0"/>
              <w:rPr>
                <w:sz w:val="20"/>
                <w:szCs w:val="20"/>
                <w:color w:val="auto"/>
              </w:rPr>
            </w:pPr>
            <w:r>
              <w:rPr>
                <w:rFonts w:ascii="Arial" w:cs="Arial" w:eastAsia="Arial" w:hAnsi="Arial"/>
                <w:sz w:val="18"/>
                <w:szCs w:val="18"/>
                <w:color w:val="auto"/>
              </w:rPr>
              <w:t>52.7</w:t>
            </w:r>
          </w:p>
        </w:tc>
        <w:tc>
          <w:tcPr>
            <w:tcW w:w="460" w:type="dxa"/>
            <w:vAlign w:val="bottom"/>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16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47.3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16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Cost of service revenues</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34.9</w:t>
            </w:r>
          </w:p>
        </w:tc>
        <w:tc>
          <w:tcPr>
            <w:tcW w:w="1640" w:type="dxa"/>
            <w:vAlign w:val="bottom"/>
            <w:gridSpan w:val="3"/>
          </w:tcPr>
          <w:p>
            <w:pPr>
              <w:jc w:val="right"/>
              <w:ind w:right="700"/>
              <w:spacing w:after="0"/>
              <w:rPr>
                <w:sz w:val="20"/>
                <w:szCs w:val="20"/>
                <w:color w:val="auto"/>
              </w:rPr>
            </w:pPr>
            <w:r>
              <w:rPr>
                <w:rFonts w:ascii="Arial" w:cs="Arial" w:eastAsia="Arial" w:hAnsi="Arial"/>
                <w:sz w:val="18"/>
                <w:szCs w:val="18"/>
                <w:color w:val="auto"/>
              </w:rPr>
              <w:t>32.1</w:t>
            </w:r>
          </w:p>
        </w:tc>
        <w:tc>
          <w:tcPr>
            <w:tcW w:w="460" w:type="dxa"/>
            <w:vAlign w:val="bottom"/>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6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19.6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Independent research and development</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5.4</w:t>
            </w:r>
          </w:p>
        </w:tc>
        <w:tc>
          <w:tcPr>
            <w:tcW w:w="1640" w:type="dxa"/>
            <w:vAlign w:val="bottom"/>
            <w:gridSpan w:val="3"/>
          </w:tcPr>
          <w:p>
            <w:pPr>
              <w:jc w:val="right"/>
              <w:ind w:right="700"/>
              <w:spacing w:after="0"/>
              <w:rPr>
                <w:sz w:val="20"/>
                <w:szCs w:val="20"/>
                <w:color w:val="auto"/>
              </w:rPr>
            </w:pPr>
            <w:r>
              <w:rPr>
                <w:rFonts w:ascii="Arial" w:cs="Arial" w:eastAsia="Arial" w:hAnsi="Arial"/>
                <w:sz w:val="18"/>
                <w:szCs w:val="18"/>
                <w:color w:val="auto"/>
              </w:rPr>
              <w:t>3.4</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24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1640" w:type="dxa"/>
            <w:vAlign w:val="bottom"/>
            <w:gridSpan w:val="3"/>
          </w:tcPr>
          <w:p>
            <w:pPr>
              <w:jc w:val="right"/>
              <w:ind w:right="700"/>
              <w:spacing w:after="0"/>
              <w:rPr>
                <w:sz w:val="20"/>
                <w:szCs w:val="20"/>
                <w:color w:val="auto"/>
              </w:rPr>
            </w:pPr>
            <w:r>
              <w:rPr>
                <w:rFonts w:ascii="Arial" w:cs="Arial" w:eastAsia="Arial" w:hAnsi="Arial"/>
                <w:sz w:val="18"/>
                <w:szCs w:val="18"/>
                <w:color w:val="auto"/>
              </w:rPr>
              <w:t>6.0</w:t>
            </w: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2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6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7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2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6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2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7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6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363"/>
        </w:trPr>
        <w:tc>
          <w:tcPr>
            <w:tcW w:w="4060" w:type="dxa"/>
            <w:vAlign w:val="bottom"/>
          </w:tcPr>
          <w:p>
            <w:pPr>
              <w:spacing w:after="0"/>
              <w:rPr>
                <w:sz w:val="24"/>
                <w:szCs w:val="24"/>
                <w:color w:val="auto"/>
              </w:rPr>
            </w:pPr>
          </w:p>
        </w:tc>
        <w:tc>
          <w:tcPr>
            <w:tcW w:w="2400" w:type="dxa"/>
            <w:vAlign w:val="bottom"/>
          </w:tcPr>
          <w:p>
            <w:pPr>
              <w:jc w:val="right"/>
              <w:ind w:right="1492"/>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2016 Compared to Fiscal Year 2015</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ind w:left="30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80" w:type="dxa"/>
            <w:vAlign w:val="bottom"/>
          </w:tcPr>
          <w:p>
            <w:pPr>
              <w:spacing w:after="0"/>
              <w:rPr>
                <w:sz w:val="11"/>
                <w:szCs w:val="11"/>
                <w:color w:val="auto"/>
              </w:rPr>
            </w:pPr>
          </w:p>
        </w:tc>
        <w:tc>
          <w:tcPr>
            <w:tcW w:w="6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March 31,</w:t>
            </w: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8"/>
              </w:rPr>
              <w:t>April 3,</w:t>
            </w:r>
          </w:p>
        </w:tc>
        <w:tc>
          <w:tcPr>
            <w:tcW w:w="64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2"/>
                <w:szCs w:val="12"/>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8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664.8</w:t>
            </w: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728.1</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(63.3)</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752.6</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654.5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98.1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1,382.5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total revenues grew by $34.9 million as a result of a $98.1 million increase in service revenues, partially offset by a $63.3 million decrease in product revenues. The service revenue increase was comprised of an increase of $67.3 million in our satellite services segment, $24.8 million in our government systems segment and $6.0 million in our commercial networks segment. The product revenue decrease was comprised of decrease of $102.4 million in our commercial networks segment and $8.0 million in our satellite services segment (mainly related to the Settlement Agreement, which we entered into during the second quarter of fiscal year 2015 — see Note 12 to the consolidated financial statements), partially offset by an increase of $47.1 million in our government systems segment.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2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7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April 3,</w:t>
            </w:r>
          </w:p>
        </w:tc>
        <w:tc>
          <w:tcPr>
            <w:tcW w:w="72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2016</w:t>
            </w:r>
          </w:p>
        </w:tc>
        <w:tc>
          <w:tcPr>
            <w:tcW w:w="1220" w:type="dxa"/>
            <w:vAlign w:val="bottom"/>
            <w:gridSpan w:val="2"/>
          </w:tcPr>
          <w:p>
            <w:pPr>
              <w:jc w:val="right"/>
              <w:ind w:right="39"/>
              <w:spacing w:after="0" w:line="148" w:lineRule="exact"/>
              <w:rPr>
                <w:sz w:val="20"/>
                <w:szCs w:val="20"/>
                <w:color w:val="auto"/>
              </w:rPr>
            </w:pPr>
            <w:r>
              <w:rPr>
                <w:rFonts w:ascii="Arial" w:cs="Arial" w:eastAsia="Arial" w:hAnsi="Arial"/>
                <w:sz w:val="14"/>
                <w:szCs w:val="14"/>
                <w:b w:val="1"/>
                <w:bCs w:val="1"/>
                <w:color w:val="auto"/>
              </w:rPr>
              <w:t>2015</w:t>
            </w:r>
          </w:p>
        </w:tc>
        <w:tc>
          <w:tcPr>
            <w:tcW w:w="72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8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489.2</w:t>
            </w:r>
          </w:p>
        </w:tc>
        <w:tc>
          <w:tcPr>
            <w:tcW w:w="7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$519.5</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495.1</w:t>
            </w:r>
          </w:p>
        </w:tc>
        <w:tc>
          <w:tcPr>
            <w:tcW w:w="7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444.4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50.7</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984.3</w:t>
            </w: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$963.9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Cost of revenues increased by $20.4 million due to a $50.7 million increase in cost of service revenues, offset by a decrease in cost of product revenues of $30.2 million. The cost of service revenues increase was primarily due to increased service revenues, which generated a $66.7 million increase in cost of service revenues on a constant margin basis. This increase mainly related to our Exede broadband internet services and in-flight broadband services in our satellite services segment and the addition of our network management services for Wi-Fi and other internet access networks (relating to NetNearU) in June 2014 in our government systems segment. This increase was partially offset by improved margins from our Exede broadband services resulting from the higher number of Exede subscribers compared to the prior year period and resultant scale in revenues, as well as higher value service plan offerings. The cost of product revenues decrease was primarily due to decreased revenues, causing a $41.5 million decrease in cost of product revenues on a constant margin basis, prior to the effects of product revenues related to the implied license under the Settlement Agreement. This cost of product revenues decrease mainly related to our fixed satellite networks (driven by consumer broadband products) and our antenna systems products in our commercial networks segment, partially offset by lower margins in consumer broadband products in our commercial networks segment.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60" w:type="dxa"/>
            <w:vAlign w:val="bottom"/>
            <w:gridSpan w:val="4"/>
          </w:tcPr>
          <w:p>
            <w:pPr>
              <w:ind w:left="32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240" w:type="dxa"/>
            <w:vAlign w:val="bottom"/>
            <w:vMerge w:val="restart"/>
          </w:tcPr>
          <w:p>
            <w:pPr>
              <w:spacing w:after="0"/>
              <w:rPr>
                <w:sz w:val="11"/>
                <w:szCs w:val="11"/>
                <w:color w:val="auto"/>
              </w:rPr>
            </w:pPr>
          </w:p>
        </w:tc>
        <w:tc>
          <w:tcPr>
            <w:tcW w:w="1800" w:type="dxa"/>
            <w:vAlign w:val="bottom"/>
          </w:tcPr>
          <w:p>
            <w:pPr>
              <w:spacing w:after="0"/>
              <w:rPr>
                <w:sz w:val="11"/>
                <w:szCs w:val="11"/>
                <w:color w:val="auto"/>
              </w:rPr>
            </w:pPr>
          </w:p>
        </w:tc>
        <w:tc>
          <w:tcPr>
            <w:tcW w:w="6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6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6"/>
              </w:rPr>
              <w:t>April 3,</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40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2016</w:t>
            </w:r>
          </w:p>
        </w:tc>
        <w:tc>
          <w:tcPr>
            <w:tcW w:w="114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shd w:val="clear" w:color="auto" w:fill="CCEEFF"/>
          </w:tcPr>
          <w:p>
            <w:pPr>
              <w:spacing w:after="0"/>
              <w:rPr>
                <w:sz w:val="17"/>
                <w:szCs w:val="17"/>
                <w:color w:val="auto"/>
              </w:rPr>
            </w:pPr>
          </w:p>
        </w:tc>
        <w:tc>
          <w:tcPr>
            <w:tcW w:w="18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$ 298.3</w:t>
            </w:r>
          </w:p>
        </w:tc>
        <w:tc>
          <w:tcPr>
            <w:tcW w:w="6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$270.8</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27.5</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$27.5 million increase in selling, general and administrative (SG&amp;A) expenses was primarily attributable to higher support costs of $34.3 million mainly related to the recognition of $18.7 million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payments made under the Settlement Agreement as a reduction to SG&amp;A expenses in our satellite services segment during the second quarter of fiscal year 2015 and to an increase in support costs of $11.8 million in our commercial networks segment. This increase was partially offset by lower new business proposal costs of $4.0 million mainly in our government systems segment and lower selling costs primarily in our satellite services segment. SG&amp;A expenses consisted primarily of personnel costs and expenses for business development, marketing and sales, bid and proposal, facilities, finance, contract administration and general management.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vMerge w:val="restart"/>
          </w:tcPr>
          <w:p>
            <w:pPr>
              <w:spacing w:after="0"/>
              <w:rPr>
                <w:sz w:val="11"/>
                <w:szCs w:val="11"/>
                <w:color w:val="auto"/>
              </w:rPr>
            </w:pPr>
          </w:p>
        </w:tc>
        <w:tc>
          <w:tcPr>
            <w:tcW w:w="13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92"/>
              </w:rPr>
              <w:t>April 3,</w:t>
            </w:r>
          </w:p>
        </w:tc>
        <w:tc>
          <w:tcPr>
            <w:tcW w:w="700" w:type="dxa"/>
            <w:vAlign w:val="bottom"/>
          </w:tcPr>
          <w:p>
            <w:pPr>
              <w:spacing w:after="0"/>
              <w:rPr>
                <w:sz w:val="11"/>
                <w:szCs w:val="11"/>
                <w:color w:val="auto"/>
              </w:rPr>
            </w:pPr>
          </w:p>
        </w:tc>
        <w:tc>
          <w:tcPr>
            <w:tcW w:w="132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580" w:type="dxa"/>
            <w:vAlign w:val="bottom"/>
          </w:tcPr>
          <w:p>
            <w:pPr>
              <w:jc w:val="right"/>
              <w:ind w:right="87"/>
              <w:spacing w:after="0" w:line="148" w:lineRule="exact"/>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2"/>
                <w:szCs w:val="12"/>
                <w:color w:val="auto"/>
              </w:rPr>
            </w:pPr>
          </w:p>
        </w:tc>
        <w:tc>
          <w:tcPr>
            <w:tcW w:w="460" w:type="dxa"/>
            <w:vAlign w:val="bottom"/>
          </w:tcPr>
          <w:p>
            <w:pPr>
              <w:jc w:val="right"/>
              <w:ind w:right="26"/>
              <w:spacing w:after="0" w:line="148" w:lineRule="exact"/>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2"/>
                <w:szCs w:val="12"/>
                <w:color w:val="auto"/>
              </w:rPr>
            </w:pPr>
          </w:p>
        </w:tc>
        <w:tc>
          <w:tcPr>
            <w:tcW w:w="13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5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77.2</w:t>
            </w:r>
          </w:p>
        </w:tc>
        <w:tc>
          <w:tcPr>
            <w:tcW w:w="72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$ 46.7</w:t>
            </w:r>
          </w:p>
        </w:tc>
        <w:tc>
          <w:tcPr>
            <w:tcW w:w="7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30.5</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$30.5 million increase in IR&amp;D expenses was primarily the result of increased IR&amp;D efforts in our commercial networks segment of $33.9 million (primarily related to research increases in next-generation consumer broadband, mobile broadband satellite communication systems and next-generation satellite payload technologies for our ViaSat-3 class satellites), partially offset by a decrease in our government systems segment of $3.9 million (primarily due to a decrease in development of next-generation dual band mobility solutions).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$1.5 million decrease in amortization of acquired intangible assets in fiscal year 2016 compared to last fiscal year was primarily the result of certain customer relationship intangibles in our satellite services segment becoming fully amortized during the fourth quarter of fiscal year 2016. Expected amortization expense for acquired intangible assets for each of the following periods is as follows: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4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30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2021</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Thereafter</w:t>
            </w:r>
          </w:p>
        </w:tc>
        <w:tc>
          <w:tcPr>
            <w:tcW w:w="2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33,604</w:t>
            </w:r>
          </w:p>
        </w:tc>
        <w:tc>
          <w:tcPr>
            <w:tcW w:w="10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$0.2 million increase in interest income in fiscal year 2016 compared to fiscal year 2015 was due to an increase of $0.2 million in the amount of payments under the Settlement Agreement recognized as interest income during fiscal year 2016 compared to fiscal year 2015.</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$5.7 million decrease in interest expense year-over-year was primarily due to an increase of $13.9 million in the amount of interest capitalized during fiscal year 2016 compared to fiscal year 2015. This decrease was partially offset by increased interest expense due to the overall higher amount of outstanding borrowings during fiscal year 2016 compared to the prior year period. Capitalized interest expense during fiscal years 2016 and 2015 related to the construction of ViaSat-2 and other assets and in fiscal year 2016 also included interest expense related to the construction of our ViaSat-3 class satellites.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effective income tax benefit in fiscal year 2016 reflected the tax expense from our income before income taxes and the benefit from federal and state research tax credits. The Protecting Americans from Tax Hikes (PATH) Act of 2015 enacted on December 18, 2015 extended the federal research and development credit permanently, retroactive to January 2015. As a result, fiscal year 2016 includes fifteen months of federal research tax credit (comprising three months from fiscal year 2015 and twelve months from fiscal year 2016). Fiscal year 2016 also included an expense related to the increase in valuation allowance related primarily to state net operating loss carryforwards and research and development credit carryforwards available to reduce state income taxes. The effective income tax expense in fiscal year 2015 reflected the tax expense from the income before income taxes and the benefit from federal and state research tax credits. Fiscal year 2015 includes twelve months of federal research tax credit including three months from fiscal year 2014 and nine months from fiscal year 2015. Fiscal year 2015 also included an expense related to the increase in valuation allowance related primarily to state net operating loss carryforwards and research and development credit carryforwards available to reduce state income taxes.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2016 Compared to Fiscal Year 2015</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20" w:type="dxa"/>
            <w:vAlign w:val="bottom"/>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7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April 3,</w:t>
            </w:r>
          </w:p>
        </w:tc>
        <w:tc>
          <w:tcPr>
            <w:tcW w:w="72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2016</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7"/>
              <w:spacing w:after="0" w:line="148" w:lineRule="exact"/>
              <w:rPr>
                <w:sz w:val="20"/>
                <w:szCs w:val="20"/>
                <w:color w:val="auto"/>
              </w:rPr>
            </w:pPr>
            <w:r>
              <w:rPr>
                <w:rFonts w:ascii="Arial" w:cs="Arial" w:eastAsia="Arial" w:hAnsi="Arial"/>
                <w:sz w:val="14"/>
                <w:szCs w:val="14"/>
                <w:b w:val="1"/>
                <w:bCs w:val="1"/>
                <w:color w:val="auto"/>
                <w:w w:val="83"/>
              </w:rPr>
              <w:t>2015</w:t>
            </w:r>
          </w:p>
        </w:tc>
        <w:tc>
          <w:tcPr>
            <w:tcW w:w="72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8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25.6</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33.6</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533.6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w w:val="84"/>
              </w:rPr>
              <w:t>466.3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67.3</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94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4"/>
              </w:rPr>
              <w:t>499.9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satellite services segment revenues grew by $59.4 million as a result of a $67.3 million increase in service revenues, offset by a $8.0 million decrease in product revenues. The increase in service revenues was primarily driven by an increase in the number of Exede broadband internet subscribers compared to the prior year period, as well as higher average revenue per subscriber. Total subscribers of our broadband internet services grew from approximately 686,000 at April 3, 2015 to approximately 697,000 at March 31, 2016. The service revenue increase also reflected the expansion of our in-flight broadband services compared to the prior year period, with 476 commercial aircraft in service as of March 31, 2016 compared to approximately 330 commercial aircraft in service at the end of fiscal year 2015. The decrease in product revenues mainly related to the amounts recorded under the Settlement Agreement, which we entered into during the second quarter of fiscal year 2015.</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Pr>
          <w:p>
            <w:pPr>
              <w:spacing w:after="0"/>
              <w:rPr>
                <w:sz w:val="14"/>
                <w:szCs w:val="14"/>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40" w:type="dxa"/>
            <w:vAlign w:val="bottom"/>
            <w:vMerge w:val="restart"/>
          </w:tcPr>
          <w:p>
            <w:pPr>
              <w:spacing w:after="0"/>
              <w:rPr>
                <w:sz w:val="11"/>
                <w:szCs w:val="11"/>
                <w:color w:val="auto"/>
              </w:rPr>
            </w:pPr>
          </w:p>
        </w:tc>
        <w:tc>
          <w:tcPr>
            <w:tcW w:w="10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3,</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740" w:type="dxa"/>
            <w:vAlign w:val="bottom"/>
            <w:vMerge w:val="continue"/>
          </w:tcPr>
          <w:p>
            <w:pPr>
              <w:spacing w:after="0"/>
              <w:rPr>
                <w:sz w:val="12"/>
                <w:szCs w:val="12"/>
                <w:color w:val="auto"/>
              </w:rPr>
            </w:pPr>
          </w:p>
        </w:tc>
        <w:tc>
          <w:tcPr>
            <w:tcW w:w="600" w:type="dxa"/>
            <w:vAlign w:val="bottom"/>
          </w:tcPr>
          <w:p>
            <w:pPr>
              <w:jc w:val="right"/>
              <w:ind w:right="84"/>
              <w:spacing w:after="0" w:line="148"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740" w:type="dxa"/>
            <w:vAlign w:val="bottom"/>
            <w:gridSpan w:val="2"/>
          </w:tcPr>
          <w:p>
            <w:pPr>
              <w:jc w:val="right"/>
              <w:ind w:right="2"/>
              <w:spacing w:after="0" w:line="148"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81.8</w:t>
            </w:r>
          </w:p>
        </w:tc>
        <w:tc>
          <w:tcPr>
            <w:tcW w:w="4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$ 62.4</w:t>
            </w:r>
          </w:p>
        </w:tc>
        <w:tc>
          <w:tcPr>
            <w:tcW w:w="4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19.5</w:t>
            </w:r>
          </w:p>
        </w:tc>
        <w:tc>
          <w:tcPr>
            <w:tcW w:w="7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14.6%</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$19.5 million increase in operating profit for our satellite services segment was driven primarily by higher earnings contributions of $34.8 million, and was partially offset by the recognition of $18.7 million of payments made under the Settlement Agreement as a reduction to SG&amp;A expenses during the second quarter of fiscal year 2015. Continued growth in the size of the subscriber base for our Exede broadband internet services subscriber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 compared to the prior year period resulted in increased service revenues and improved margins. We have also experienced positive contributions from our in-flight broadband service.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20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04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March 31,</w:t>
            </w: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64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Pr>
          <w:p>
            <w:pPr>
              <w:spacing w:after="0"/>
              <w:rPr>
                <w:sz w:val="12"/>
                <w:szCs w:val="12"/>
                <w:color w:val="auto"/>
              </w:rPr>
            </w:pPr>
          </w:p>
        </w:tc>
        <w:tc>
          <w:tcPr>
            <w:tcW w:w="84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2"/>
                <w:szCs w:val="12"/>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0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228.7</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$331.1</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(102.4)</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22.0</w:t>
            </w: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6.0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250.7</w:t>
            </w:r>
          </w:p>
        </w:tc>
        <w:tc>
          <w:tcPr>
            <w:tcW w:w="1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commercial networks segment revenues decreased by $96.4 million, primarily due to the $102.4 million decrease in product revenues. Of this product revenue decrease, $48.5 million related to fixed satellite networks (reflecting the nearing of completion of our large scale Australian Ka-band infrastructure project, partially offset by increased revenues from our next-generation Ka-band system contract in Canada). In addition, our antenna systems products revenues decreased $29.3 million (as certain programs were completed or moved closer to completion), our mobile broadband satellite communication systems revenues decreased $10.2 million, our satellite payload technology development programs revenues decreased $7.4 million and our satellite networking development programs revenues decreased $7.2 million.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Fiscal Years Ended</w:t>
            </w:r>
          </w:p>
        </w:tc>
        <w:tc>
          <w:tcPr>
            <w:tcW w:w="26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vMerge w:val="restart"/>
          </w:tcPr>
          <w:p>
            <w:pPr>
              <w:spacing w:after="0"/>
              <w:rPr>
                <w:sz w:val="11"/>
                <w:szCs w:val="11"/>
                <w:color w:val="auto"/>
              </w:rPr>
            </w:pPr>
          </w:p>
        </w:tc>
        <w:tc>
          <w:tcPr>
            <w:tcW w:w="134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6"/>
              </w:rPr>
              <w:t>March 31,</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3,</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580" w:type="dxa"/>
            <w:vAlign w:val="bottom"/>
          </w:tcPr>
          <w:p>
            <w:pPr>
              <w:jc w:val="right"/>
              <w:ind w:right="84"/>
              <w:spacing w:after="0" w:line="148" w:lineRule="exact"/>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2"/>
                <w:szCs w:val="12"/>
                <w:color w:val="auto"/>
              </w:rPr>
            </w:pPr>
          </w:p>
        </w:tc>
        <w:tc>
          <w:tcPr>
            <w:tcW w:w="460" w:type="dxa"/>
            <w:vAlign w:val="bottom"/>
          </w:tcPr>
          <w:p>
            <w:pPr>
              <w:jc w:val="right"/>
              <w:ind w:right="22"/>
              <w:spacing w:after="0" w:line="148"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5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(111.3)</w:t>
            </w:r>
          </w:p>
        </w:tc>
        <w:tc>
          <w:tcPr>
            <w:tcW w:w="7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0"/>
              </w:rPr>
              <w:t>$ (33.6)</w:t>
            </w:r>
          </w:p>
        </w:tc>
        <w:tc>
          <w:tcPr>
            <w:tcW w:w="4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(77.7)</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(44.4)%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$77.7 million increase in operating loss for our commercial networks segment was driven by a $33.9 million increase in IR&amp;D expenses (primarily due to an increase in IR&amp;D efforts relating to next-generation consumer broadband, mobile broadband satellite communication systems and next-generation satellite payload technologies for our ViaSat-3 class satellites), lower earnings contributions of $29.8 million primarily due to the decrease in product revenues, and an increase of $14.0 million in support, new business proposal and selling costs.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040" w:type="dxa"/>
            <w:vAlign w:val="bottom"/>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6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96"/>
              </w:rPr>
              <w:t>2016</w:t>
            </w:r>
          </w:p>
        </w:tc>
        <w:tc>
          <w:tcPr>
            <w:tcW w:w="1140" w:type="dxa"/>
            <w:vAlign w:val="bottom"/>
            <w:gridSpan w:val="2"/>
          </w:tcPr>
          <w:p>
            <w:pPr>
              <w:jc w:val="right"/>
              <w:ind w:right="39"/>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0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410.5</w:t>
            </w:r>
          </w:p>
        </w:tc>
        <w:tc>
          <w:tcPr>
            <w:tcW w:w="6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$363.4</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47.1</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6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$535.5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government systems segment revenues increased by $71.9 million, due to a $47.1 million increase in product revenues and a $24.8 million increase in service revenues. The product revenue increase was primarily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due to a $54.3 million increase in government satellite communication systems (mainly attributable to global mobile broadband and command and control situational awareness), a $12.9 million increase in tactical data link products, and a $6.4 million increase in tactical satcom radio products (relating to our majority-owned subsidiary TrellisWare), partially offset by a $25.8 million decrease in cybersecurity and information assurance products. Of the service revenue increase, $16.0 million related to NetNearU, our subsidiary acquired in June 2014 and $4.3 million related to government satellite communication systems services.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Pr>
          <w:p>
            <w:pPr>
              <w:spacing w:after="0"/>
              <w:rPr>
                <w:sz w:val="14"/>
                <w:szCs w:val="14"/>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40" w:type="dxa"/>
            <w:vAlign w:val="bottom"/>
            <w:vMerge w:val="restart"/>
          </w:tcPr>
          <w:p>
            <w:pPr>
              <w:spacing w:after="0"/>
              <w:rPr>
                <w:sz w:val="11"/>
                <w:szCs w:val="11"/>
                <w:color w:val="auto"/>
              </w:rPr>
            </w:pPr>
          </w:p>
        </w:tc>
        <w:tc>
          <w:tcPr>
            <w:tcW w:w="10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3,</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740" w:type="dxa"/>
            <w:vAlign w:val="bottom"/>
            <w:vMerge w:val="continue"/>
          </w:tcPr>
          <w:p>
            <w:pPr>
              <w:spacing w:after="0"/>
              <w:rPr>
                <w:sz w:val="12"/>
                <w:szCs w:val="12"/>
                <w:color w:val="auto"/>
              </w:rPr>
            </w:pPr>
          </w:p>
        </w:tc>
        <w:tc>
          <w:tcPr>
            <w:tcW w:w="600" w:type="dxa"/>
            <w:vAlign w:val="bottom"/>
          </w:tcPr>
          <w:p>
            <w:pPr>
              <w:jc w:val="right"/>
              <w:ind w:right="84"/>
              <w:spacing w:after="0" w:line="148"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740" w:type="dxa"/>
            <w:vAlign w:val="bottom"/>
            <w:gridSpan w:val="2"/>
          </w:tcPr>
          <w:p>
            <w:pPr>
              <w:jc w:val="right"/>
              <w:ind w:right="2"/>
              <w:spacing w:after="0" w:line="148"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87.1</w:t>
            </w:r>
          </w:p>
        </w:tc>
        <w:tc>
          <w:tcPr>
            <w:tcW w:w="4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$ 72.3</w:t>
            </w:r>
          </w:p>
        </w:tc>
        <w:tc>
          <w:tcPr>
            <w:tcW w:w="4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14.7</w:t>
            </w:r>
          </w:p>
        </w:tc>
        <w:tc>
          <w:tcPr>
            <w:tcW w:w="7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$14.7 million increase in our government systems segment operating profit reflected higher earnings contributions of $9.5 million primarily due to the increase in revenue and a decrease of $3.9 million in IR&amp;D expenses (primarily due to lower spending in IR&amp;D efforts relating to development of next-generation dual band mobility solutions).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2015 Compared to Fiscal Year 2014</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ind w:left="30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w w:val="88"/>
              </w:rPr>
              <w:t>April 3,</w:t>
            </w: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8"/>
              </w:rPr>
              <w:t>April 4,</w:t>
            </w:r>
          </w:p>
        </w:tc>
        <w:tc>
          <w:tcPr>
            <w:tcW w:w="64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2"/>
              <w:spacing w:after="0" w:line="148" w:lineRule="exact"/>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8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728.1</w:t>
            </w: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785.7</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(57.7)</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654.5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565.7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88.7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1,351.5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total revenues grew by $31.1 million as a result of an $88.7 million increase in service revenues, offset by a $57.7 million decrease in product revenues. The service revenue increase was comprised primarily of $75.6 million in our satellite services segment and $14.0 million in our government systems segment. The product revenue decrease was driven by a decrease of $47.5 million in our commercial networks segment and $43.7 million in our government systems segment, offset by an increase of $33.5 million in our satellite services segment (related to the Settlement Agreement).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60" w:type="dxa"/>
            <w:vAlign w:val="bottom"/>
            <w:gridSpan w:val="4"/>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6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April 3,</w:t>
            </w:r>
          </w:p>
        </w:tc>
        <w:tc>
          <w:tcPr>
            <w:tcW w:w="6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April 4,</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660" w:type="dxa"/>
            <w:vAlign w:val="bottom"/>
            <w:gridSpan w:val="2"/>
          </w:tcPr>
          <w:p>
            <w:pPr>
              <w:jc w:val="right"/>
              <w:ind w:right="22"/>
              <w:spacing w:after="0" w:line="148" w:lineRule="exact"/>
              <w:rPr>
                <w:sz w:val="20"/>
                <w:szCs w:val="20"/>
                <w:color w:val="auto"/>
              </w:rPr>
            </w:pPr>
            <w:r>
              <w:rPr>
                <w:rFonts w:ascii="Arial" w:cs="Arial" w:eastAsia="Arial" w:hAnsi="Arial"/>
                <w:sz w:val="14"/>
                <w:szCs w:val="14"/>
                <w:b w:val="1"/>
                <w:bCs w:val="1"/>
                <w:color w:val="auto"/>
              </w:rPr>
              <w:t>2015</w:t>
            </w:r>
          </w:p>
        </w:tc>
        <w:tc>
          <w:tcPr>
            <w:tcW w:w="1140" w:type="dxa"/>
            <w:vAlign w:val="bottom"/>
            <w:gridSpan w:val="2"/>
          </w:tcPr>
          <w:p>
            <w:pPr>
              <w:jc w:val="right"/>
              <w:ind w:right="39"/>
              <w:spacing w:after="0" w:line="148"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4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$519.5</w:t>
            </w:r>
          </w:p>
        </w:tc>
        <w:tc>
          <w:tcPr>
            <w:tcW w:w="6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$571.9</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(52.4)</w:t>
            </w:r>
          </w:p>
        </w:tc>
        <w:tc>
          <w:tcPr>
            <w:tcW w:w="5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4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6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$991.3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Cost of revenues decreased by $27.4 million due to a $52.4 million cost of product revenues decrease, offset by a $25.0 million cost of service revenues increase. The cost of product revenues decrease was primarily due to decreased revenues, causing a $66.0 million decrease in cost of product revenues on a constant margin basis, prior to the effects of product revenues related to the implied license under the Settlement Agreement. This cost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product revenues decrease mainly related to our government satellite communications systems (driven by command and control situational awareness) in our government systems segment and fixed satellite networks (driven by consumer broadband products) in our commercial networks segment. The $66.0 million decrease in cost of product revenues on a constant margin basis was offset by lower margins from our commercial networks segment from fixed satellite networks (driven by consumer broadband products), mobile broadband satellite communication systems products and antenna systems products. The cost of service revenues increase was primarily due to increased service revenues, generating a $65.8 million increase in cost of service revenues on a constant margin basis. This increase mainly related to our Exede broadband services in our satellite services segment. However, as our Exede subscribers have continued to grow and related revenues scale, we have also experienced improved margins from our broadband services in our satellite services segment, which partially offset the cost of service growth. Additionally, the cost of service growth was partially offset by improved margins in our government systems segment related to our government satellite communication systems services (mainly due to global mobile broadband services) and the addition of our network management services for Wi-Fi and other internet access networks (relating to NetNearU).</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640" w:type="dxa"/>
            <w:vAlign w:val="bottom"/>
          </w:tcPr>
          <w:p>
            <w:pPr>
              <w:spacing w:after="0"/>
              <w:rPr>
                <w:sz w:val="15"/>
                <w:szCs w:val="15"/>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3"/>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320" w:type="dxa"/>
            <w:vAlign w:val="bottom"/>
            <w:vMerge w:val="restart"/>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Pr>
          <w:p>
            <w:pPr>
              <w:ind w:left="40"/>
              <w:spacing w:after="0" w:line="143" w:lineRule="exact"/>
              <w:rPr>
                <w:sz w:val="20"/>
                <w:szCs w:val="20"/>
                <w:color w:val="auto"/>
              </w:rPr>
            </w:pPr>
            <w:r>
              <w:rPr>
                <w:rFonts w:ascii="Arial" w:cs="Arial" w:eastAsia="Arial" w:hAnsi="Arial"/>
                <w:sz w:val="14"/>
                <w:szCs w:val="14"/>
                <w:b w:val="1"/>
                <w:bCs w:val="1"/>
                <w:color w:val="auto"/>
                <w:w w:val="92"/>
              </w:rPr>
              <w:t>April 3,</w:t>
            </w:r>
          </w:p>
        </w:tc>
        <w:tc>
          <w:tcPr>
            <w:tcW w:w="640" w:type="dxa"/>
            <w:vAlign w:val="bottom"/>
          </w:tcPr>
          <w:p>
            <w:pPr>
              <w:spacing w:after="0"/>
              <w:rPr>
                <w:sz w:val="12"/>
                <w:szCs w:val="12"/>
                <w:color w:val="auto"/>
              </w:rPr>
            </w:pPr>
          </w:p>
        </w:tc>
        <w:tc>
          <w:tcPr>
            <w:tcW w:w="114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April 4,</w:t>
            </w:r>
          </w:p>
        </w:tc>
        <w:tc>
          <w:tcPr>
            <w:tcW w:w="1160" w:type="dxa"/>
            <w:vAlign w:val="bottom"/>
            <w:gridSpan w:val="2"/>
          </w:tcPr>
          <w:p>
            <w:pPr>
              <w:jc w:val="center"/>
              <w:ind w:right="560"/>
              <w:spacing w:after="0" w:line="143"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340" w:type="dxa"/>
            <w:vAlign w:val="bottom"/>
            <w:gridSpan w:val="2"/>
          </w:tcPr>
          <w:p>
            <w:pPr>
              <w:jc w:val="right"/>
              <w:ind w:right="26"/>
              <w:spacing w:after="0" w:line="148" w:lineRule="exact"/>
              <w:rPr>
                <w:sz w:val="20"/>
                <w:szCs w:val="20"/>
                <w:color w:val="auto"/>
              </w:rPr>
            </w:pPr>
            <w:r>
              <w:rPr>
                <w:rFonts w:ascii="Arial" w:cs="Arial" w:eastAsia="Arial" w:hAnsi="Arial"/>
                <w:sz w:val="14"/>
                <w:szCs w:val="14"/>
                <w:b w:val="1"/>
                <w:bCs w:val="1"/>
                <w:color w:val="auto"/>
              </w:rPr>
              <w:t>2015</w:t>
            </w:r>
          </w:p>
        </w:tc>
        <w:tc>
          <w:tcPr>
            <w:tcW w:w="114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116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vMerge w:val="continue"/>
            <w:shd w:val="clear" w:color="auto" w:fill="CCEEFF"/>
          </w:tcPr>
          <w:p>
            <w:pPr>
              <w:spacing w:after="0"/>
              <w:rPr>
                <w:sz w:val="17"/>
                <w:szCs w:val="17"/>
                <w:color w:val="auto"/>
              </w:rPr>
            </w:pPr>
          </w:p>
        </w:tc>
        <w:tc>
          <w:tcPr>
            <w:tcW w:w="18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$270.8</w:t>
            </w:r>
          </w:p>
        </w:tc>
        <w:tc>
          <w:tcPr>
            <w:tcW w:w="6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$281.5</w:t>
            </w:r>
          </w:p>
        </w:tc>
        <w:tc>
          <w:tcPr>
            <w:tcW w:w="6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(10.7)</w:t>
            </w:r>
          </w:p>
        </w:tc>
        <w:tc>
          <w:tcPr>
            <w:tcW w:w="5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$10.7 million decrease in SG&amp;A expenses was primarily attributable to the recognition of $18.7 million of payments made under the Settlement Agreement as a reduction to SG&amp;A expenses and a decrease in legal expense as a result of the settlement of the litigation with SS/L and its former parent company Loral during the second quarter of fiscal year 2015. The decrease in SG&amp;A expenses was partially offset by an increase in new business proposal costs of $9.1 million (mainly due to our government systems segment) and an increase in other support costs (spread across our government systems and commercial networks segments). SG&amp;A expenses consisted primarily of personnel costs and expenses for business development, marketing and sales, bid and proposal, facilities, finance, contract administration and general management.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Fiscal Years Ended</w:t>
            </w:r>
          </w:p>
        </w:tc>
        <w:tc>
          <w:tcPr>
            <w:tcW w:w="640" w:type="dxa"/>
            <w:vAlign w:val="bottom"/>
          </w:tcPr>
          <w:p>
            <w:pPr>
              <w:spacing w:after="0"/>
              <w:rPr>
                <w:sz w:val="15"/>
                <w:szCs w:val="15"/>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3"/>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48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11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April 3,</w:t>
            </w:r>
          </w:p>
        </w:tc>
        <w:tc>
          <w:tcPr>
            <w:tcW w:w="11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April 4,</w:t>
            </w:r>
          </w:p>
        </w:tc>
        <w:tc>
          <w:tcPr>
            <w:tcW w:w="1160" w:type="dxa"/>
            <w:vAlign w:val="bottom"/>
            <w:gridSpan w:val="2"/>
          </w:tcPr>
          <w:p>
            <w:pPr>
              <w:jc w:val="center"/>
              <w:ind w:right="560"/>
              <w:spacing w:after="0" w:line="143"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2200" w:type="dxa"/>
            <w:vAlign w:val="bottom"/>
            <w:gridSpan w:val="2"/>
          </w:tcPr>
          <w:p>
            <w:pPr>
              <w:jc w:val="right"/>
              <w:ind w:right="26"/>
              <w:spacing w:after="0" w:line="148"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2"/>
                <w:szCs w:val="12"/>
                <w:color w:val="auto"/>
              </w:rPr>
            </w:pPr>
          </w:p>
        </w:tc>
        <w:tc>
          <w:tcPr>
            <w:tcW w:w="480" w:type="dxa"/>
            <w:vAlign w:val="bottom"/>
          </w:tcPr>
          <w:p>
            <w:pPr>
              <w:jc w:val="right"/>
              <w:ind w:right="26"/>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116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7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gridSpan w:val="2"/>
            <w:vMerge w:val="continue"/>
            <w:shd w:val="clear" w:color="auto" w:fill="CCEEFF"/>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$ 46.7</w:t>
            </w:r>
          </w:p>
        </w:tc>
        <w:tc>
          <w:tcPr>
            <w:tcW w:w="64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$ 60.7</w:t>
            </w:r>
          </w:p>
        </w:tc>
        <w:tc>
          <w:tcPr>
            <w:tcW w:w="6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(14.1)</w:t>
            </w:r>
          </w:p>
        </w:tc>
        <w:tc>
          <w:tcPr>
            <w:tcW w:w="5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$14.1 million decrease in IR&amp;D expenses reflected decreased IR&amp;D efforts in our government systems segment of $7.8 million (primarily due to a decrease in advancement of integrated government satellite communications platforms and development of next-generation dual band mobility solutions, offset by an increase in tactical data link development projects and information assurance projects) and a decrease in our commercial networks segment of $5.4 million (primarily due to a decrease in next-generation consumer broadband, offset by an increase in mobile broadband satellite communication systems).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ranging from two to ten years. The increase in amortization of acquired intangible assets of $3.4 million in fiscal year 2015 compared to last fiscal year was primarily the result of our acquisition of NetNearU in June 2014. Expected amortization expense for acquired intangible assets for each of the following periods is as follows: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4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60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7,821</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2020</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Thereafter</w:t>
            </w:r>
          </w:p>
        </w:tc>
        <w:tc>
          <w:tcPr>
            <w:tcW w:w="2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w:t>
            </w: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42,340</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$2.0 million increase in interest income in fiscal year 2015 compared to fiscal year 2014 was primarily due to the recognition of $2.0 million of payments made under the Settlement Agreement as interest income.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decrease in interest expense year-over-year of $6.5 million was primarily due to an increase of $8.1 million in the amount of interest capitalized. This decrease was partially offset by increased interest expense on outstanding borrowings under our Revolving Credit Facility during fiscal year 2015 due primarily to higher outstanding balances compared to the prior year period. Capitalized interest expense during the fiscal years ended 2015 and 2014 related to the construction of ViaSat-2 and other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effective income tax expense in fiscal year 2015 reflected the tax expense from the income before income taxes and the benefit from federal and state research tax credits. Fiscal year 2015 includes twelve months of federal research tax credit including three months from fiscal year 2014 and nine months from fiscal year 2015 as a result of the Tax Increase Prevention Act of 2014 enacted on December 19, 2014 which extended the federal research and development credit retroactively from January 1, 2014 to December 31, 2014. Fiscal year 2015 also included an expense related to the increase in valuation allowance related primarily to state net operating loss carryforwards and research and development credit carryforwards available to reduce state income taxes. The effective income tax benefit in fiscal year 2014 reflected the tax benefit from the loss before income taxes and the benefit from federal and state research tax credits. Due to the December 31, 2013 expiration of the federal research tax credit, fiscal year 2014 only included nine months of the federal research tax credit. Fiscal year 2014 also included a benefit related to the valuation allowance release related primarily to state net operating loss carryforwards as a result of the combination of the merger of ViaSat Communications, Inc. into ViaSat and changes in the apportioned state tax rates.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2015 Compared to Fiscal Year 2014</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14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40" w:type="dxa"/>
            <w:vAlign w:val="bottom"/>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April 3,</w:t>
            </w:r>
          </w:p>
        </w:tc>
        <w:tc>
          <w:tcPr>
            <w:tcW w:w="5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w w:val="92"/>
              </w:rPr>
              <w:t>April 4,</w:t>
            </w:r>
          </w:p>
        </w:tc>
        <w:tc>
          <w:tcPr>
            <w:tcW w:w="58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0"/>
              <w:spacing w:after="0" w:line="148" w:lineRule="exact"/>
              <w:rPr>
                <w:sz w:val="20"/>
                <w:szCs w:val="20"/>
                <w:color w:val="auto"/>
              </w:rPr>
            </w:pPr>
            <w:r>
              <w:rPr>
                <w:rFonts w:ascii="Arial" w:cs="Arial" w:eastAsia="Arial" w:hAnsi="Arial"/>
                <w:sz w:val="14"/>
                <w:szCs w:val="14"/>
                <w:b w:val="1"/>
                <w:bCs w:val="1"/>
                <w:color w:val="auto"/>
                <w:w w:val="83"/>
              </w:rPr>
              <w:t>2015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2"/>
                <w:szCs w:val="12"/>
                <w:color w:val="auto"/>
              </w:rPr>
            </w:pP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33.6</w:t>
            </w: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33.5</w:t>
            </w:r>
          </w:p>
        </w:tc>
        <w:tc>
          <w:tcPr>
            <w:tcW w:w="5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466.3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75.6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satellite services segment revenues grew by $109.2 million as a result of a $75.6 million increase in service revenues and a $33.5 million increase in product revenues. The increase in service revenues related primarily to our broadband internet services, and was primarily driven by an increase in the number of Exede broadband subscribers, as well as related higher average revenue per subscriber. Total broadband subscribers grew 7% from approximately 641,000 at April 4, 2014 to approximately 686,000 at April 3, 2015. The service revenue increase also reflected the expansion of our in-flight broadband service with over 330 aircraft in service as of the end of fiscal year 2015. The increase in product revenues was primarily due to the recognition of $33.0 million of payments under the Settlement Agreement as product revenue in our satellite services segment.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Fiscal Years Ended</w:t>
            </w:r>
          </w:p>
        </w:tc>
        <w:tc>
          <w:tcPr>
            <w:tcW w:w="28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80" w:type="dxa"/>
            <w:vAlign w:val="bottom"/>
            <w:vMerge w:val="restart"/>
          </w:tcPr>
          <w:p>
            <w:pPr>
              <w:spacing w:after="0"/>
              <w:rPr>
                <w:sz w:val="11"/>
                <w:szCs w:val="11"/>
                <w:color w:val="auto"/>
              </w:rPr>
            </w:pPr>
          </w:p>
        </w:tc>
        <w:tc>
          <w:tcPr>
            <w:tcW w:w="86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8"/>
              </w:rPr>
              <w:t>April 3,</w:t>
            </w: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4,</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980" w:type="dxa"/>
            <w:vAlign w:val="bottom"/>
            <w:vMerge w:val="continue"/>
          </w:tcPr>
          <w:p>
            <w:pPr>
              <w:spacing w:after="0"/>
              <w:rPr>
                <w:sz w:val="12"/>
                <w:szCs w:val="12"/>
                <w:color w:val="auto"/>
              </w:rPr>
            </w:pPr>
          </w:p>
        </w:tc>
        <w:tc>
          <w:tcPr>
            <w:tcW w:w="440" w:type="dxa"/>
            <w:vAlign w:val="bottom"/>
          </w:tcPr>
          <w:p>
            <w:pPr>
              <w:jc w:val="right"/>
              <w:ind w:right="4"/>
              <w:spacing w:after="0" w:line="148"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760" w:type="dxa"/>
            <w:vAlign w:val="bottom"/>
            <w:gridSpan w:val="2"/>
          </w:tcPr>
          <w:p>
            <w:pPr>
              <w:jc w:val="right"/>
              <w:ind w:right="22"/>
              <w:spacing w:after="0" w:line="148"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4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$ 62.4</w:t>
            </w:r>
          </w:p>
        </w:tc>
        <w:tc>
          <w:tcPr>
            <w:tcW w:w="4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 (46.0)</w:t>
            </w:r>
          </w:p>
        </w:tc>
        <w:tc>
          <w:tcPr>
            <w:tcW w:w="48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108.4</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change from an operating loss to an operating profit for our satellite services segment was primarily due to higher earnings contributions of $77.7 million. Continued growth in the size of our Exede broadband services subscriber base resulted in increased service revenues and improved margins. In addition, our satellite services segment operating profit included $51.8 million from the Settlement Agreement, which resulted in increased product revenues and a decrease in SG&amp;A expenses. Legal expense decreased as a result of the settlement of the litigation with SS/L and its former parent company Loral during the second quarter of fiscal year 2015. Additionally, selling costs decreased due to decreased sales and marketing support costs, reflecting a more established consumer broadband subscriber base. These decreases in SG&amp;A expenses were partially offset by an increase in other support costs.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6"/>
              </w:rPr>
              <w:t>April 3,</w:t>
            </w: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4,</w:t>
            </w:r>
          </w:p>
        </w:tc>
        <w:tc>
          <w:tcPr>
            <w:tcW w:w="64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62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84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$331.1</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$378.6</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(47.5)</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16.1</w:t>
            </w: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4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$347.1</w:t>
            </w:r>
          </w:p>
        </w:tc>
        <w:tc>
          <w:tcPr>
            <w:tcW w:w="1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commercial networks segment revenues decreased by $48.4 million, primarily due to the $47.5 million decrease in product revenues. Of this product revenue decrease, $68.7 million related to fixed satellite networks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(driven primarily by our large scale Australian Ka-band infrastructure project as it moves closer to completion as well as consumer broadband products due to reduced revenues from terminal sales, partially offset by our next-generation Ka-band system contract in Canada). Our satellite networking development programs revenues also decreased $6.4 million. These decreases were partially offset by a $26.1 million increase in product revenues for our antenna systems products.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Fiscal Years Ended</w:t>
            </w:r>
          </w:p>
        </w:tc>
        <w:tc>
          <w:tcPr>
            <w:tcW w:w="26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80" w:type="dxa"/>
            <w:vAlign w:val="bottom"/>
            <w:vMerge w:val="restart"/>
          </w:tcPr>
          <w:p>
            <w:pPr>
              <w:spacing w:after="0"/>
              <w:rPr>
                <w:sz w:val="11"/>
                <w:szCs w:val="11"/>
                <w:color w:val="auto"/>
              </w:rPr>
            </w:pPr>
          </w:p>
        </w:tc>
        <w:tc>
          <w:tcPr>
            <w:tcW w:w="122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92"/>
              </w:rPr>
              <w:t>April 3,</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4,</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980" w:type="dxa"/>
            <w:vAlign w:val="bottom"/>
            <w:vMerge w:val="continue"/>
          </w:tcPr>
          <w:p>
            <w:pPr>
              <w:spacing w:after="0"/>
              <w:rPr>
                <w:sz w:val="12"/>
                <w:szCs w:val="12"/>
                <w:color w:val="auto"/>
              </w:rPr>
            </w:pPr>
          </w:p>
        </w:tc>
        <w:tc>
          <w:tcPr>
            <w:tcW w:w="460" w:type="dxa"/>
            <w:vAlign w:val="bottom"/>
          </w:tcPr>
          <w:p>
            <w:pPr>
              <w:jc w:val="right"/>
              <w:ind w:right="24"/>
              <w:spacing w:after="0" w:line="148" w:lineRule="exact"/>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2"/>
                <w:szCs w:val="12"/>
                <w:color w:val="auto"/>
              </w:rPr>
            </w:pPr>
          </w:p>
        </w:tc>
        <w:tc>
          <w:tcPr>
            <w:tcW w:w="460" w:type="dxa"/>
            <w:vAlign w:val="bottom"/>
          </w:tcPr>
          <w:p>
            <w:pPr>
              <w:jc w:val="right"/>
              <w:ind w:right="22"/>
              <w:spacing w:after="0" w:line="148"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0"/>
              </w:rPr>
              <w:t>$ (33.6)</w:t>
            </w:r>
          </w:p>
        </w:tc>
        <w:tc>
          <w:tcPr>
            <w:tcW w:w="7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0"/>
              </w:rPr>
              <w:t>$ (12.1)</w:t>
            </w:r>
          </w:p>
        </w:tc>
        <w:tc>
          <w:tcPr>
            <w:tcW w:w="4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(21.5)</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(9.7)%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$21.5 million increase in operating loss for our commercial networks segment was primarily due to lower earnings contributions of $24.1 million from lower revenues due to fixed satellite networks (driven primarily by consumer broadband products), as well as lower margins resulting from a shift in revenue mix due to lower terminal sales in our fixed satellite networks (driven primarily by consumer broadband products). We also experienced lower margins in our mobile broadband satellite communication systems products and antenna systems and services. The increase in our segment operating loss also reflected higher support, new business proposal and selling costs of $2.9 million, offset by lower IR&amp;D costs of $5.4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6"/>
              </w:rPr>
              <w:t>April 3,</w:t>
            </w: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4,</w:t>
            </w:r>
          </w:p>
        </w:tc>
        <w:tc>
          <w:tcPr>
            <w:tcW w:w="64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62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84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$363.4</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$407.1</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(43.7)</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172.1</w:t>
            </w: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14.0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4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$535.5</w:t>
            </w:r>
          </w:p>
        </w:tc>
        <w:tc>
          <w:tcPr>
            <w:tcW w:w="1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$565.2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government systems segment revenues decreased by $29.7 million, due to a decrease of $43.7 million in product revenues, partially offset by a $14.0 million increase in service revenues. The decrease in product revenues was primarily due to revenue decreases of $83.7 million in government satellite communication systems (mainly attributable to command and control situational awareness) and a $5.7 million decrease in tactical satcom radio products (relating to our majority-owned subsidiary TrellisWare Technologies, Inc.). This decrease was partially offset by a $29.6 million increase in tactical data link products and $15.1 million increase in information assurance products. The increase in service revenues was primarily due to revenue increases of $23.2 million related to NetNearU, our newly acquired subsidiary, partially offset by a $4.7 million decrease related to government satellite communication systems services (mainly attributable to command and control situational awareness and global mobile broadband, offset by broadband networking services revenues for military customers), by a $2.9 million decrease in information assurance services and by a $1.3 million decrease in tactical data link services.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Pr>
          <w:p>
            <w:pPr>
              <w:spacing w:after="0"/>
              <w:rPr>
                <w:sz w:val="14"/>
                <w:szCs w:val="14"/>
                <w:color w:val="auto"/>
              </w:rPr>
            </w:pPr>
          </w:p>
        </w:tc>
        <w:tc>
          <w:tcPr>
            <w:tcW w:w="13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20" w:type="dxa"/>
            <w:vAlign w:val="bottom"/>
            <w:vMerge w:val="restart"/>
          </w:tcPr>
          <w:p>
            <w:pPr>
              <w:spacing w:after="0"/>
              <w:rPr>
                <w:sz w:val="11"/>
                <w:szCs w:val="11"/>
                <w:color w:val="auto"/>
              </w:rPr>
            </w:pPr>
          </w:p>
        </w:tc>
        <w:tc>
          <w:tcPr>
            <w:tcW w:w="1980" w:type="dxa"/>
            <w:vAlign w:val="bottom"/>
          </w:tcPr>
          <w:p>
            <w:pPr>
              <w:spacing w:after="0"/>
              <w:rPr>
                <w:sz w:val="11"/>
                <w:szCs w:val="11"/>
                <w:color w:val="auto"/>
              </w:rPr>
            </w:pPr>
          </w:p>
        </w:tc>
        <w:tc>
          <w:tcPr>
            <w:tcW w:w="1280" w:type="dxa"/>
            <w:vAlign w:val="bottom"/>
            <w:tcBorders>
              <w:top w:val="single" w:sz="8" w:color="auto"/>
            </w:tcBorders>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92"/>
              </w:rPr>
              <w:t>April 3,</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4,</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2440" w:type="dxa"/>
            <w:vAlign w:val="bottom"/>
            <w:gridSpan w:val="2"/>
          </w:tcPr>
          <w:p>
            <w:pPr>
              <w:jc w:val="right"/>
              <w:ind w:right="26"/>
              <w:spacing w:after="0" w:line="148" w:lineRule="exact"/>
              <w:rPr>
                <w:sz w:val="20"/>
                <w:szCs w:val="20"/>
                <w:color w:val="auto"/>
              </w:rPr>
            </w:pPr>
            <w:r>
              <w:rPr>
                <w:rFonts w:ascii="Arial" w:cs="Arial" w:eastAsia="Arial" w:hAnsi="Arial"/>
                <w:sz w:val="14"/>
                <w:szCs w:val="14"/>
                <w:b w:val="1"/>
                <w:bCs w:val="1"/>
                <w:color w:val="auto"/>
              </w:rPr>
              <w:t>2015</w:t>
            </w:r>
          </w:p>
        </w:tc>
        <w:tc>
          <w:tcPr>
            <w:tcW w:w="820" w:type="dxa"/>
            <w:vAlign w:val="bottom"/>
          </w:tcPr>
          <w:p>
            <w:pPr>
              <w:spacing w:after="0"/>
              <w:rPr>
                <w:sz w:val="12"/>
                <w:szCs w:val="12"/>
                <w:color w:val="auto"/>
              </w:rPr>
            </w:pPr>
          </w:p>
        </w:tc>
        <w:tc>
          <w:tcPr>
            <w:tcW w:w="440" w:type="dxa"/>
            <w:vAlign w:val="bottom"/>
          </w:tcPr>
          <w:p>
            <w:pPr>
              <w:jc w:val="right"/>
              <w:ind w:right="2"/>
              <w:spacing w:after="0" w:line="148"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6"/>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9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$ 72.3</w:t>
            </w:r>
          </w:p>
        </w:tc>
        <w:tc>
          <w:tcPr>
            <w:tcW w:w="82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$ 76.0</w:t>
            </w:r>
          </w:p>
        </w:tc>
        <w:tc>
          <w:tcPr>
            <w:tcW w:w="4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(3.7)</w:t>
            </w:r>
          </w:p>
        </w:tc>
        <w:tc>
          <w:tcPr>
            <w:tcW w:w="7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260" w:type="dxa"/>
            <w:vAlign w:val="bottom"/>
            <w:gridSpan w:val="3"/>
          </w:tcPr>
          <w:p>
            <w:pPr>
              <w:jc w:val="right"/>
              <w:ind w:right="680"/>
              <w:spacing w:after="0"/>
              <w:rPr>
                <w:sz w:val="20"/>
                <w:szCs w:val="20"/>
                <w:color w:val="auto"/>
              </w:rPr>
            </w:pPr>
            <w:r>
              <w:rPr>
                <w:rFonts w:ascii="Arial" w:cs="Arial" w:eastAsia="Arial" w:hAnsi="Arial"/>
                <w:sz w:val="18"/>
                <w:szCs w:val="18"/>
                <w:color w:val="auto"/>
              </w:rPr>
              <w:t>13.5%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80" w:type="dxa"/>
            <w:vAlign w:val="bottom"/>
          </w:tcPr>
          <w:p>
            <w:pPr>
              <w:jc w:val="right"/>
              <w:ind w:right="279"/>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$3.7 million decrease in our government systems segment operating profit reflected higher new business proposal, support and selling costs of $16.3 million, offset by lower IR&amp;D costs of $7.8 million and $4.8 million of higher earnings contributions (mainly from improved margins in global mobile broadband and the addition of our network management services for Wi-Fi and other internet access networks (relating to our newly acquired subsidiary NetNearU)).</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reflected in the table below, our overall firm and funded backlog increased during fiscal year 2016. The increases in both firm and funded backlog were attributable to increases in our government systems segment.</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As of</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March 31, 2016</w:t>
            </w:r>
          </w:p>
        </w:tc>
        <w:tc>
          <w:tcPr>
            <w:tcW w:w="1880" w:type="dxa"/>
            <w:vAlign w:val="bottom"/>
            <w:gridSpan w:val="4"/>
          </w:tcPr>
          <w:p>
            <w:pPr>
              <w:ind w:left="1020"/>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169.6</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1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r>
              <w:rPr>
                <w:rFonts w:ascii="Arial" w:cs="Arial" w:eastAsia="Arial" w:hAnsi="Arial"/>
                <w:sz w:val="18"/>
                <w:szCs w:val="18"/>
                <w:u w:val="single" w:color="auto"/>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286.7</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0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879.1</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841.</w:t>
            </w:r>
            <w:r>
              <w:rPr>
                <w:rFonts w:ascii="Arial" w:cs="Arial" w:eastAsia="Arial" w:hAnsi="Arial"/>
                <w:sz w:val="18"/>
                <w:szCs w:val="18"/>
                <w:u w:val="single" w:color="auto"/>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firm backlog does not include contract options. Of the $941.9 million in firm backlog, $507.4 million is expected to be delivered in fiscal year 2017, and the balance is expected to be delivered in fiscal year 2018 and thereafter. We include in our backlog only those orders for which we have accepted purchase orders. Backlog does not include contracts with our Exede broadband subscribers in our satellite services segment.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total new awards were approximately $1.5 billion, $1.4 billion and $1.4 billion for fiscal years 2016, 2015 and 2014, respectively.</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export credit agency financing and equity financing. At March 31, 2016, we had $42.1 million in cash and cash equivalents, $243.3 million in working capital, $180.0 million in principal amount of outstanding borrowings under our Revolving Credit Facility and $197.2 million in principal amount of outstanding borrowings under our Ex-Im Credit Facility, and we had accrued a further $21.0 million in completion exposure fees expected to be financed under the Ex-Im Credit Facility. At April 3, 2015, we had $52.3 million in cash and cash equivalents, $223.4 million in working capital, $210.0 million in outstanding borrowings under our Revolving Credit Facility and $20.5 million in principal amount of outstanding borrowings under our Ex-Im Credit Facility. We invest our cash in excess of current operating requirements in short-term, interest-bearing, investment-grade securities.</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future capital requirements will depend upon many factors, including the timing and amount of cash required for our satellite projects and any future broadband satellite projects we may engage in, our proposed Eutelsat strategic partnering arrangements,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investments in joint ventures and strategic partnering arrangements (such as our Eutelsat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Facilities will be sufficient to meet our anticipated operating requirements for at least the next twelve months.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Cash provided by operating activities for fiscal year 2016 was $296.9 million compared to cash provided by operating activities of $349.5 million for fiscal year 2015. This $52.6 million decrease was primarily driven by a $52.0 million year-over-year increase in cash used to fund net operating assets needs and by our operating results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income adjusted for depreciation, amortization and other non-cash charges) which generated cash inflows in fiscal year 2016 that were $0.6 million lower than fiscal year 2015. The increase in cash used to fund net operating assets during fiscal year 2016 when compared to fiscal year 2015 was partially due to higher combined billed and unbilled accounts receivable, net, attributable to the timing of contractual milestones for certain larger development programs in our government systems segment and an increase in cash used for inventory in our government systems segment, as well as a decrease in our collections in excess of revenues and deferred revenues included in accrued liabilities due to the timing of milestone billings for certain larger development projects in our commercial networks segment.</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used in investing activities for fiscal year 2016 was $456.3 million compared to cash used in investing activities in fiscal year 2015 of $476.6 million. The decrease in cash used in investing activities reflects a decrease of $54.6 million in cash used for satellite construction due to the timing of milestone payments and a decrease of $53.0 million in cash used for acquisitions, offset by increases of $39.5 million in capital expenditures for real property adjacent to our current headquarters location, $21.1 million in capital expenditures for other general purpose equipment, $21.6 million in cash used for capital software development and $5.4 million for the construction of earth stations and network operation systems related to ViaSat-2.</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Cash provided by financing activities for fiscal year 2016 was $149.1 million compared to cash provided by financing activities of $121.5 million for fiscal year 2015. This $27.7 million increase in cash provided by financing activities reflected an increase of $161.9 million in net proceeds from borrowings under our Ex-Im Credit Facility. This increase was partially offset by $30.0 million of net payments on borrowings under our Revolving Credit Facility during the fiscal year 2016 compared to $105.0 million in net proceeds from borrowings in the prior year period. Cash provided by financing activities for both periods included cash received from stock option exercises and employee stock purchase plan purchases, offset by cash used for the repurchase of common stock related to net share settlement of certain employee tax liabilities in connection with the vesting of restricted stock unit awards, and payment of debt issuance costs.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Comparing cash flows in fiscal year 2015 to fiscal year 2014, the $144.4 million increase in cash provided by operating activities was primarily driven by our operating results (net loss adjusted for depreciation, amortization and other non-cash charges) which generated $127.1 million of higher cash inflows, coupled with a $17.3 million year-over-year decrease in cash used to fund net operating assets needs. The increase in cash used in investing activities reflected a year-over-year increase of $84.7 million in cash used for the construction of our ViaSat-2 satellite and an increase of $55.0 million in cash used for acquisitions, offset by a $26.4 million decrease in capital expenditures year-over-year for new CPE units and other general purpose equipment. The $19.6 million increase in cash provided by financing activities year-over-year was primarily related to the $13.9 million of net proceeds from borrowings under our Ex-Im Credit Facility during fiscal year 2015. Both fiscal years 2015 and 2014 included $105.0 million in net proceeds from borrowings under our Revolving Credit Facility.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May 2013, we entered into an agreement to purchase ViaSat-2, our second high-capacity Ka-band satellite, from Boeing at a price of approximately $358.0 million, plus an additional amount for launch support services to be performed by Boeing. The projected total cost of the ViaSat-2 project, including the satellite, launch, insurance and related earth station infrastructure, through satellite launch is estimated to be between $600.0 million and $650.0 million, and will depend on the timing of the earth station infrastructure roll-out. Our total required cash funding may be reduced through various third party agreements, including potential joint service offerings and other strategic partnering arrangements. We believe we have adequate sources of funding for the ViaSat-2 project, which include our cash on hand, available borrowing capacity under our Credit Facilities and the cash we expect to generate from operations over the next few years. At the end of fiscal year 2016, we had approximately 697,000 broadband subscribers, however there can be no assurance that the number of subscribers of our Exede broadband internet services and service revenues in our satellite services segment will increase in any future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Construction has also commenced on two ViaSat-3 class satellites, our third-generation high-capacity Ka-band satellite design, pursuant to a limited authorization to proceed under which ViaSat’s payment obligations are limited to $56.5 million in the aggregate. We expect to enter into two separate agreements with Boeing for the construction and purchase of the two ViaSat-3 class satellites and the integration of our payload technologies into the satellites, which contracts will replace and supersede the existing limited authorization to proceed, but there can be no assurance that these construction contracts will be entered into with Boeing on the terms we expect or at all. The projected total cost of the ViaSat-3 project, including the two third-generation satellites, launches, insurance and related earth station infrastructure, through satellite launch is estimated to be similar to ViaSat-2 costs per satellite for a total of approximately $1.3 billion, and will depend on the timing of the earth station infrastructure roll-out of each satellite. Our total cash funding may be reduced through various third party agreements, including potential joint service offerings and other strategic partnering arrangements. We believe we have adequate sources of funding for the ViaSat-3 class satellites, which include our cash on hand, available borrowing capacity and the cash we expect to generate from operations over the next few years.</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the launch and roll-out of our ViaSat-2 and ViaSat-3 class satellites and related ground infrastructure will impact our financial results in our satellite services segment in future periods, although we expect the relative impact to be less than we experienced in relation to the launch and roll-out of our ViaSat-1 satellite and related ground infrastructure. During the period from late fiscal year 2012 until early fiscal year 2015, we incurred higher operating costs in connection with the launch and roll-out of our ViaSat-1 satellite, related ground infrastructure and Exede broadband services, as well as higher interest expense as we capitalized a lower amount of the interest expense on our outstanding debt. These higher operating costs included costs associated with depreciation, earth station connectivity, subscriber acquisition costs, logistics, customer care and various support systems. These operating costs negatively impacted income from operations during that period.</w:t>
      </w:r>
    </w:p>
    <w:p>
      <w:pPr>
        <w:spacing w:after="0" w:line="11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addition, our IR&amp;D investments in our ViaSat-3 class satellites and related ground infrastructure are expected to continue to negatively impact our financial results in our commercial networks segment. We also expect to continue to invest in subscriber acquisition costs during fiscal year 2017 as we further expand our subscriber base for our Exede broadband internet services as well as make additional investments relating to our ViaSat-2 and ViaSat-3 class satellites.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March 31, 2016, the Revolving Credit Facility provided a $500.0 million revolving line of credit (including up to $150.0 million of letters of credit) with a maturity date of November 26, 2018. On May 24, 2016, subsequent to fiscal year end, we amended our Revolving Credit Facility to, among other matters, increase the size of the revolving line of credit under the Revolving Credit Facility from $500.0 million to $800.0 million and extend the maturity date to May 2021 (or March 2020, if more than $200.0 million of our 2020 Notes are then outstanding and certain conditions are met).</w:t>
      </w:r>
    </w:p>
    <w:p>
      <w:pPr>
        <w:spacing w:after="0" w:line="11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March 31, 2016, the weighted average effective interest rate on our outstanding borrowings under the Revolving Credit Facility was 2.44%. The Revolving Credit Facility is required to be guaranteed by certain significant domestic subsidiaries of ViaSat (as defined in the Revolving Credit Facility) and secured by substantially all of our assets. As of March 31, 2016, none of our subsidiaries guaranteed the Revolving Credit Facility.</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0" w:firstLine="456"/>
        <w:spacing w:after="0" w:line="332" w:lineRule="auto"/>
        <w:rPr>
          <w:sz w:val="20"/>
          <w:szCs w:val="20"/>
          <w:color w:val="auto"/>
        </w:rPr>
      </w:pPr>
      <w:r>
        <w:rPr>
          <w:rFonts w:ascii="Arial" w:cs="Arial" w:eastAsia="Arial" w:hAnsi="Arial"/>
          <w:sz w:val="16"/>
          <w:szCs w:val="16"/>
          <w:color w:val="auto"/>
        </w:rPr>
        <w:t>At March 31, 2016, we had $180.0 million in principal amount of outstanding borrowings under the Revolving Credit Facility and $42.8 million outstanding under standby letters of credit, leaving borrowing availability under the Revolving Credit Facility as of March 31, 2016 of $277.2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March 31, 2016, the Ex-Im Credit Facility provided a $386.7 million senior secured direct loan facility, $343.1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$43.6 million (depending on the total amount of financing borrowed under the Ex-Im Credit Facility). The Ex-Im Credit Facility was amended on March 23, 2016 to, among other matters, reduce the total size of the Ex-Im Credit Facility from $524.9 million to $386.7 million to reflect revised estimates of ViaSat-2 project expenses, the fact that payments to the launch service provider for the ViaSat-2 satellite will no longer be financed under the Ex-Im Credit Facility and the associated reduction in completion exposure fees.</w:t>
      </w:r>
    </w:p>
    <w:p>
      <w:pPr>
        <w:spacing w:after="0" w:line="14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our initial borrowing under the Ex-Im Credit Facility, with the remaining exposure fees payable by the in-orbit acceptance date for ViaSat-2. Exposure fees under the Ex-Im Credit Facility are amortized using the effective interest rate method. The effective interest rate on our outstanding borrowings under the Ex-Im Credit Facility, which takes into account estimated timing and amount of borrowings, exposure fees, debt issuance costs and other fees, was estimated to be between 4.1% and 4.9% as of March 31, 2016. The Ex-Im Credit Facility is guaranteed by ViaSat and is secured by first-priority liens on the ViaSat-2 satellite and related assets as well as a pledge of the capital stock of the borrower under the facility.</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March 31, 2016, we had $197.2 million in principal amount of outstanding borrowings under the Ex-Im Credit Facility and had accrued $21.0 million in completion exposure fees expected to be financed under the Ex-Im Credit Facility. As of March 31, 2016, the undrawn commitment under the Ex-Im Credit Facility was $168.5 million (excluding $21.0 million of accrued completion exposure fees), of which $151.9 million was available to finance ViaSat-2 related costs once incurred. Borrowings under the Ex-Im Credit Facility were issued with a discount of $28.1 million (comprising the initial $6.0 million exposure fee, the completion exposure fees accrued as of March 31, 2016 and other customary fees). The borrowings under the Ex-Im Credit Facility are recorded as long-term debt, net of discount, in our consolidated financial statements. The discount and deferred financing cost associated with the issuance of the borrowings under the Ex-Im Credit Facility are amortized to interest expense on an effective interest rate basis over the term of the borrowings under the Ex-Im Credit Facility.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 due 2020</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consolidated financial statements. In October 2012, we issued an additional $300.0 million in principal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consolidated financial statements and is being amortized as a reduction to interest expense on an effective interest rate basis over the term of those 2020 Notes.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2020 Notes are required to be guaranteed on an unsecured senior basis by each of our existing and future subsidiaries that guarantees the Revolving Credit Facility. As of March 31, 2016,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2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March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the Fiscal Years Ending</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600" w:type="dxa"/>
            <w:vAlign w:val="bottom"/>
          </w:tcPr>
          <w:p>
            <w:pPr>
              <w:jc w:val="right"/>
              <w:ind w:right="135"/>
              <w:spacing w:after="0" w:line="148"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7"/>
              <w:spacing w:after="0" w:line="148"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7"/>
              <w:spacing w:after="0" w:line="148"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86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290,747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74,600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77,696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53,035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85,416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2020 Notes</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752,891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79,063</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634,297</w:t>
            </w: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 (1)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191,822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187,374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Ex-Im Credit Facility (2)</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249,313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37,075</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62,662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Satellite performance incentives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32,043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637,451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394,130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134,371</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76,008</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32,942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2,154,267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519,151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520,302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831,386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283,428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02"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March 31, 2016 until the maturity date (as in effect as of March 31, 2016) in November 2018. In May 24, 2016, the Revolving Credit Facility was amended to, among other matters, extend the maturity date to May 2021 (or March 2020, if more than $200.0 million of our 2020 Notes are then outstanding and certain conditions are met).</w:t>
      </w:r>
    </w:p>
    <w:p>
      <w:pPr>
        <w:spacing w:after="0" w:line="2" w:lineRule="exact"/>
        <w:rPr>
          <w:rFonts w:ascii="Arial" w:cs="Arial" w:eastAsia="Arial" w:hAnsi="Arial"/>
          <w:sz w:val="15"/>
          <w:szCs w:val="15"/>
          <w:color w:val="auto"/>
        </w:rPr>
      </w:pPr>
    </w:p>
    <w:p>
      <w:pPr>
        <w:ind w:left="460" w:right="140" w:hanging="452"/>
        <w:spacing w:after="0" w:line="29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the extent that the ultimate amounts borrowed under the Ex-Im Credit Facility may fluctuate, amounts reflected represent estimated interest and principal payments on our current outstanding balance until the maturity date in October 2025. The amounts listed in the table above exclude the completion exposure fee that will be payable under the Ex-Im Credit Agreement by the in-orbit acceptance date for ViaSat-2, the amount of which will be based on the total amount of financing borrowed under the Ex-Im Credit Facility; see “Liquidity and Capital Resources — Ex-Im Credit Facility.” As of March 31, 2016, we had accrued $21.0 million in completion exposure fees expected to be financed under the Ex-Im Credit Facility.</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In addition, construction has commenced on two ViaSat-3 class satellites, our third-generation high-capacity Ka-band satellite design, pursuant to a limited authorization to proceed. See “Liquidity and Capital Resources — Satellite-related activities.”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consolidated balance sheets included $37.4 million and $40.0 million of “other liabilities” as of March 31, 2016 and April 3, 2015,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8 to our consolidated financial statements for additional information regarding our income taxes and related tax positions and Note 13 to our consolidated financial statements for a discussion of our product warranties.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We had no material off-balance sheet arrangements at March 31, 2016 as defined in Regulation S-K Item 303(a)(4) other than as discussed under Contractual Obligations above or disclosed in the notes to our consolidated financial statements included in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regarding recently adopted and issued accounting pronouncements, see Note 1 to the consolidated financial statements</w:t>
      </w:r>
      <w:r>
        <w:rPr>
          <w:rFonts w:ascii="Arial" w:cs="Arial" w:eastAsia="Arial" w:hAnsi="Arial"/>
          <w:sz w:val="18"/>
          <w:szCs w:val="18"/>
          <w:i w:val="1"/>
          <w:iCs w:val="1"/>
          <w:color w:val="auto"/>
        </w:rPr>
        <w:t>.</w:t>
      </w:r>
    </w:p>
    <w:p>
      <w:pPr>
        <w:spacing w:after="0" w:line="246" w:lineRule="exact"/>
        <w:rPr>
          <w:sz w:val="20"/>
          <w:szCs w:val="20"/>
          <w:color w:val="auto"/>
        </w:rPr>
      </w:pPr>
    </w:p>
    <w:p>
      <w:pPr>
        <w:ind w:right="4560"/>
        <w:spacing w:after="0" w:line="347"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financial instruments consist of cash and cash equivalents, accounts receivable, accounts payable, short-term and long-term obligations, including the Credit Facilities and the 2020 Notes, and foreign currency forward contracts. We consider investments in highly liquid instruments purchased with a remaining maturity of three months or less at the date of purchase to be cash equivalents. As of March 31, 2016, we had $180.0 million in principal amount of outstanding borrowings under our Revolving Credit Facility, $197.2 million in principal amount of outstanding borrowings under our Ex-Im Credit Facility as well as $21.0 million in accrued completion exposure fees expected to be financed under the Ex-Im Credit Facility, and $575.0 million in aggregate principal amount outstanding of the 2020 Notes, and we held no short-term investments. Our 2020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less than $0.1 million for the fiscal years ended March 31, 2016 and April 3, 2015.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March 31, 2016, we had $180.0 million in principal amount of outstanding borrowings under our Revolving Credit Facility. Our primary interest rate under the Revolving Credit Facility is the Eurodollar rate plus an applicable margin that is based on our total leverage ratio. At March 31, 2016, the weighted average effective interest rate on our outstanding borrowings under the Revolving Credit Facility was 2.44%. Assuming the outstanding balance remained constant over a year, a 50 basis point increase in the interest rate would increase interest incurred, prior to effects of capitalized interest, by $0.9 million over a twelve-month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March 31, 2016, we had a number of foreign currency forward contracts outstanding which are intended to reduce the foreign currency risk for amounts payable to vendors in Euros. The foreign currency forward contracts with a notional amount of $5.0 million had an insignificant amount of fair value recorded in other current assets as of March 31, 2016. If the foreign currency forward rate for the Euro to U.S. dollar on these foreign currency forward contracts had changed by 10%, the fair value of these foreign currency forward contracts as of March 31, 2016 would have changed by approximately $0.5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consolidated financial statements at March 31, 2016 and April 3, 2015 and for each of the three fiscal years in the period ended March 31, 2016, and the Report of PricewaterhouseCoopers LLP, Independent Registered Public Accounting Firm, are included in this report on pages F-1 through F-42.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2016 and 2015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jc w:val="right"/>
              <w:ind w:right="132"/>
              <w:spacing w:after="0"/>
              <w:rPr>
                <w:sz w:val="20"/>
                <w:szCs w:val="20"/>
                <w:color w:val="auto"/>
              </w:rPr>
            </w:pPr>
            <w:r>
              <w:rPr>
                <w:rFonts w:ascii="Arial" w:cs="Arial" w:eastAsia="Arial" w:hAnsi="Arial"/>
                <w:sz w:val="14"/>
                <w:szCs w:val="14"/>
                <w:b w:val="1"/>
                <w:bCs w:val="1"/>
                <w:color w:val="auto"/>
                <w:w w:val="85"/>
              </w:rPr>
              <w:t>1st Quarter</w:t>
            </w:r>
          </w:p>
        </w:tc>
        <w:tc>
          <w:tcPr>
            <w:tcW w:w="1200" w:type="dxa"/>
            <w:vAlign w:val="bottom"/>
          </w:tcPr>
          <w:p>
            <w:pPr>
              <w:jc w:val="right"/>
              <w:ind w:right="135"/>
              <w:spacing w:after="0"/>
              <w:rPr>
                <w:sz w:val="20"/>
                <w:szCs w:val="20"/>
                <w:color w:val="auto"/>
              </w:rPr>
            </w:pPr>
            <w:r>
              <w:rPr>
                <w:rFonts w:ascii="Arial" w:cs="Arial" w:eastAsia="Arial" w:hAnsi="Arial"/>
                <w:sz w:val="14"/>
                <w:szCs w:val="14"/>
                <w:b w:val="1"/>
                <w:bCs w:val="1"/>
                <w:color w:val="auto"/>
              </w:rPr>
              <w:t>2nd Quarter</w:t>
            </w: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rPr>
              <w:t>3rd Quarter</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r>
      <w:tr>
        <w:trPr>
          <w:trHeight w:val="142"/>
        </w:trPr>
        <w:tc>
          <w:tcPr>
            <w:tcW w:w="5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w w:val="90"/>
              </w:rPr>
              <w:t>(In thousands, except per share data)</w:t>
            </w: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 revenues</w:t>
            </w:r>
          </w:p>
        </w:tc>
        <w:tc>
          <w:tcPr>
            <w:tcW w:w="2280" w:type="dxa"/>
            <w:vAlign w:val="bottom"/>
            <w:gridSpan w:val="2"/>
          </w:tcPr>
          <w:p>
            <w:pPr>
              <w:jc w:val="right"/>
              <w:ind w:right="132"/>
              <w:spacing w:after="0"/>
              <w:rPr>
                <w:sz w:val="20"/>
                <w:szCs w:val="20"/>
                <w:color w:val="auto"/>
              </w:rPr>
            </w:pPr>
            <w:r>
              <w:rPr>
                <w:rFonts w:ascii="Arial" w:cs="Arial" w:eastAsia="Arial" w:hAnsi="Arial"/>
                <w:sz w:val="18"/>
                <w:szCs w:val="18"/>
                <w:color w:val="auto"/>
              </w:rPr>
              <w:t>$344,378</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$ 353,330</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$ 347,759</w:t>
            </w:r>
          </w:p>
        </w:tc>
        <w:tc>
          <w:tcPr>
            <w:tcW w:w="840" w:type="dxa"/>
            <w:vAlign w:val="bottom"/>
          </w:tcPr>
          <w:p>
            <w:pPr>
              <w:jc w:val="right"/>
              <w:spacing w:after="0"/>
              <w:rPr>
                <w:sz w:val="20"/>
                <w:szCs w:val="20"/>
                <w:color w:val="auto"/>
              </w:rPr>
            </w:pPr>
            <w:r>
              <w:rPr>
                <w:rFonts w:ascii="Arial" w:cs="Arial" w:eastAsia="Arial" w:hAnsi="Arial"/>
                <w:sz w:val="18"/>
                <w:szCs w:val="18"/>
                <w:color w:val="auto"/>
              </w:rPr>
              <w:t>$ 371,964</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9,414</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13,826</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10,385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ind w:right="132"/>
              <w:spacing w:after="0"/>
              <w:rPr>
                <w:sz w:val="20"/>
                <w:szCs w:val="20"/>
                <w:color w:val="auto"/>
              </w:rPr>
            </w:pPr>
            <w:r>
              <w:rPr>
                <w:rFonts w:ascii="Arial" w:cs="Arial" w:eastAsia="Arial" w:hAnsi="Arial"/>
                <w:sz w:val="18"/>
                <w:szCs w:val="18"/>
                <w:color w:val="auto"/>
              </w:rPr>
              <w:t>2,519</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4,920</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9,944</w:t>
            </w:r>
          </w:p>
        </w:tc>
        <w:tc>
          <w:tcPr>
            <w:tcW w:w="840" w:type="dxa"/>
            <w:vAlign w:val="bottom"/>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22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2,608</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4,936</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9,747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Basic net income per share attributable to ViaSat, Inc.</w:t>
            </w:r>
          </w:p>
        </w:tc>
        <w:tc>
          <w:tcPr>
            <w:tcW w:w="2280" w:type="dxa"/>
            <w:vAlign w:val="bottom"/>
            <w:gridSpan w:val="2"/>
          </w:tcPr>
          <w:p>
            <w:pPr>
              <w:jc w:val="right"/>
              <w:ind w:right="132"/>
              <w:spacing w:after="0"/>
              <w:rPr>
                <w:sz w:val="20"/>
                <w:szCs w:val="20"/>
                <w:color w:val="auto"/>
              </w:rPr>
            </w:pPr>
            <w:r>
              <w:rPr>
                <w:rFonts w:ascii="Arial" w:cs="Arial" w:eastAsia="Arial" w:hAnsi="Arial"/>
                <w:sz w:val="18"/>
                <w:szCs w:val="18"/>
                <w:color w:val="auto"/>
              </w:rPr>
              <w:t>0.05</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0.10</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0.20</w:t>
            </w: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ViaSat, Inc.</w:t>
            </w:r>
          </w:p>
        </w:tc>
        <w:tc>
          <w:tcPr>
            <w:tcW w:w="22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0.05</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0.10</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$319,471</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$ 358,758</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$ 339,553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$ 364,753</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2280" w:type="dxa"/>
            <w:vAlign w:val="bottom"/>
            <w:gridSpan w:val="2"/>
          </w:tcPr>
          <w:p>
            <w:pPr>
              <w:jc w:val="right"/>
              <w:ind w:right="72"/>
              <w:spacing w:after="0"/>
              <w:rPr>
                <w:sz w:val="20"/>
                <w:szCs w:val="20"/>
                <w:color w:val="auto"/>
              </w:rPr>
            </w:pPr>
            <w:r>
              <w:rPr>
                <w:rFonts w:ascii="Arial" w:cs="Arial" w:eastAsia="Arial" w:hAnsi="Arial"/>
                <w:sz w:val="18"/>
                <w:szCs w:val="18"/>
                <w:color w:val="auto"/>
              </w:rPr>
              <w:t>(1,169)</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46,456</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18,178</w:t>
            </w:r>
          </w:p>
        </w:tc>
        <w:tc>
          <w:tcPr>
            <w:tcW w:w="840" w:type="dxa"/>
            <w:vAlign w:val="bottom"/>
          </w:tcPr>
          <w:p>
            <w:pPr>
              <w:jc w:val="right"/>
              <w:spacing w:after="0"/>
              <w:rPr>
                <w:sz w:val="20"/>
                <w:szCs w:val="20"/>
                <w:color w:val="auto"/>
              </w:rPr>
            </w:pPr>
            <w:r>
              <w:rPr>
                <w:rFonts w:ascii="Arial" w:cs="Arial" w:eastAsia="Arial" w:hAnsi="Arial"/>
                <w:sz w:val="18"/>
                <w:szCs w:val="18"/>
                <w:color w:val="auto"/>
              </w:rPr>
              <w:t>19,679</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(6,321)</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23,992</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14,784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(loss) income attributable to ViaSat, Inc.</w:t>
            </w:r>
          </w:p>
        </w:tc>
        <w:tc>
          <w:tcPr>
            <w:tcW w:w="2280" w:type="dxa"/>
            <w:vAlign w:val="bottom"/>
            <w:gridSpan w:val="2"/>
          </w:tcPr>
          <w:p>
            <w:pPr>
              <w:jc w:val="right"/>
              <w:ind w:right="72"/>
              <w:spacing w:after="0"/>
              <w:rPr>
                <w:sz w:val="20"/>
                <w:szCs w:val="20"/>
                <w:color w:val="auto"/>
              </w:rPr>
            </w:pPr>
            <w:r>
              <w:rPr>
                <w:rFonts w:ascii="Arial" w:cs="Arial" w:eastAsia="Arial" w:hAnsi="Arial"/>
                <w:sz w:val="18"/>
                <w:szCs w:val="18"/>
                <w:color w:val="auto"/>
              </w:rPr>
              <w:t>(5,944)</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23,947</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14,811</w:t>
            </w:r>
          </w:p>
        </w:tc>
        <w:tc>
          <w:tcPr>
            <w:tcW w:w="840" w:type="dxa"/>
            <w:vAlign w:val="bottom"/>
          </w:tcPr>
          <w:p>
            <w:pPr>
              <w:jc w:val="right"/>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income per share attributable to ViaSat, Inc.</w:t>
            </w:r>
          </w:p>
        </w:tc>
        <w:tc>
          <w:tcPr>
            <w:tcW w:w="2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(0.13)</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0.51</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Diluted net (loss) income per share attributable to ViaSat, Inc.</w:t>
            </w:r>
          </w:p>
        </w:tc>
        <w:tc>
          <w:tcPr>
            <w:tcW w:w="2280" w:type="dxa"/>
            <w:vAlign w:val="bottom"/>
            <w:gridSpan w:val="2"/>
          </w:tcPr>
          <w:p>
            <w:pPr>
              <w:jc w:val="right"/>
              <w:ind w:right="72"/>
              <w:spacing w:after="0"/>
              <w:rPr>
                <w:sz w:val="20"/>
                <w:szCs w:val="20"/>
                <w:color w:val="auto"/>
              </w:rPr>
            </w:pPr>
            <w:r>
              <w:rPr>
                <w:rFonts w:ascii="Arial" w:cs="Arial" w:eastAsia="Arial" w:hAnsi="Arial"/>
                <w:sz w:val="18"/>
                <w:szCs w:val="18"/>
                <w:color w:val="auto"/>
              </w:rPr>
              <w:t>(0.13)</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0.50</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0.31</w:t>
            </w:r>
          </w:p>
        </w:tc>
        <w:tc>
          <w:tcPr>
            <w:tcW w:w="8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Summarized quarterly data reflects product revenue recognized with respect to amounts realized under the Settlement Agreement of approximately $6.0 million for each quarter of fiscal year 2016. In addition, the second quarter of fiscal year 2015 reflects product revenue recognized with respect to amounts realized under the Settlement Agreement of $21.0 million, and approximately $6.0 million for each of the third and fourth quarter of fiscal year 2015. Also with respect to amounts realized under the Settlement Agreement, summarized quarterly data reflects a reduction to SG&amp;A expenses for the second quarter of fiscal year 2015 of $18.7 million. Refer to Note 12 to the consolidated financial statements for discussion of the Settlement Agreement.</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Basic and diluted net income (loss) per share are computed independently for each of the quarters presented. Therefore, the sum of quarterly basic and diluted per share information may not equal annual basic and diluted net income (loss)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31, 2016, the end of the period covered by this report. Based upon the foregoing, our Chief Executive Officer and Chief Financial Officer concluded that our disclosure controls and procedures were effective at a reasonable assurance level as of March 31, 2016.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Based on this evaluation, the company’s management concluded that its internal control over financial reporting was effective as of March 31, 2016.</w:t>
      </w:r>
    </w:p>
    <w:p>
      <w:pPr>
        <w:spacing w:after="0" w:line="10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March 31, 2016, as stated in their report which appears on page F-1.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March 31, 2016,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2016 Annual Meeting of Stockholders (the Proxy Statement) under the headings “Corporate Governance Principles and Board Matters,” “Election of Directors” and “Ownership of Securities,” and is incorporated herein by reference.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11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40" w:type="dxa"/>
            <w:vAlign w:val="bottom"/>
            <w:gridSpan w:val="4"/>
          </w:tcPr>
          <w:p>
            <w:pPr>
              <w:ind w:left="6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084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4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380" w:type="dxa"/>
            <w:vAlign w:val="bottom"/>
            <w:gridSpan w:val="5"/>
            <w:vMerge w:val="restart"/>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(1) Report of Independent Registered Public Accounting Firm</w:t>
              </w:r>
            </w:hyperlink>
          </w:p>
        </w:tc>
        <w:tc>
          <w:tcPr>
            <w:tcW w:w="6460" w:type="dxa"/>
            <w:vAlign w:val="bottom"/>
            <w:gridSpan w:val="5"/>
            <w:vMerge w:val="restart"/>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161"/>
        </w:trPr>
        <w:tc>
          <w:tcPr>
            <w:tcW w:w="4380" w:type="dxa"/>
            <w:vAlign w:val="bottom"/>
            <w:tcBorders>
              <w:bottom w:val="single" w:sz="8" w:color="0000EE"/>
            </w:tcBorders>
            <w:gridSpan w:val="5"/>
            <w:vMerge w:val="continue"/>
          </w:tcPr>
          <w:p>
            <w:pPr>
              <w:spacing w:after="0"/>
              <w:rPr>
                <w:sz w:val="13"/>
                <w:szCs w:val="13"/>
                <w:color w:val="auto"/>
              </w:rPr>
            </w:pPr>
          </w:p>
        </w:tc>
        <w:tc>
          <w:tcPr>
            <w:tcW w:w="6460" w:type="dxa"/>
            <w:vAlign w:val="bottom"/>
            <w:gridSpan w:val="5"/>
            <w:vMerge w:val="continue"/>
          </w:tcPr>
          <w:p>
            <w:pPr>
              <w:spacing w:after="0"/>
              <w:rPr>
                <w:sz w:val="13"/>
                <w:szCs w:val="13"/>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400" w:type="dxa"/>
            <w:vAlign w:val="bottom"/>
            <w:gridSpan w:val="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Balance Sheets as of March 31, 2016 and April 3, 2015</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5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Consolidated Statements of Operations and Comprehensive Income (Loss) for the fiscal years ended March 31, 2016, April 3, 2015 and</w:t>
              </w:r>
            </w:hyperlink>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April 4, 2014</w:t>
              </w:r>
            </w:hyperlink>
          </w:p>
        </w:tc>
        <w:tc>
          <w:tcPr>
            <w:tcW w:w="9240" w:type="dxa"/>
            <w:vAlign w:val="bottom"/>
            <w:gridSpan w:val="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1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Cash Flows for the fiscal years ended March 31, 2016, April 3, 2015 and April 4, 2014</w:t>
              </w:r>
            </w:hyperlink>
          </w:p>
        </w:tc>
        <w:tc>
          <w:tcPr>
            <w:tcW w:w="228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7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Equity for the fiscal years ended March 31, 2016, April 3, 2015 and April 4, 2014</w:t>
              </w:r>
            </w:hyperlink>
          </w:p>
        </w:tc>
        <w:tc>
          <w:tcPr>
            <w:tcW w:w="2640" w:type="dxa"/>
            <w:vAlign w:val="bottom"/>
            <w:gridSpan w:val="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Notes to the Consolidated Financial Statements</w:t>
              </w:r>
            </w:hyperlink>
          </w:p>
        </w:tc>
        <w:tc>
          <w:tcPr>
            <w:tcW w:w="7040" w:type="dxa"/>
            <w:vAlign w:val="bottom"/>
            <w:gridSpan w:val="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840" w:type="dxa"/>
            <w:vAlign w:val="bottom"/>
            <w:gridSpan w:val="10"/>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(2) Schedule II — Valuation and Qualifying Accounts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75 is incorporated herein by reference as the list of exhibits required as part of this report.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20"/>
          </w:cols>
          <w:pgMar w:left="24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May 26, 2016</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Dankberg and Shawn Duffy, jointly and severally, his attorneys-in-fact, each with the full power of substitution, for him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424"/>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DANKBERG</w:t>
            </w: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400" w:type="dxa"/>
            <w:vAlign w:val="bottom"/>
          </w:tcPr>
          <w:p>
            <w:pPr>
              <w:ind w:left="240"/>
              <w:spacing w:after="0"/>
              <w:rPr>
                <w:sz w:val="20"/>
                <w:szCs w:val="20"/>
                <w:color w:val="auto"/>
              </w:rPr>
            </w:pPr>
            <w:r>
              <w:rPr>
                <w:rFonts w:ascii="Arial" w:cs="Arial" w:eastAsia="Arial" w:hAnsi="Arial"/>
                <w:sz w:val="18"/>
                <w:szCs w:val="18"/>
                <w:color w:val="auto"/>
                <w:w w:val="99"/>
              </w:rPr>
              <w:t>Chairman of the Board and</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26, 2016</w:t>
            </w:r>
          </w:p>
        </w:tc>
      </w:tr>
      <w:tr>
        <w:trPr>
          <w:trHeight w:val="190"/>
        </w:trPr>
        <w:tc>
          <w:tcPr>
            <w:tcW w:w="2480" w:type="dxa"/>
            <w:vAlign w:val="bottom"/>
            <w:gridSpan w:val="2"/>
          </w:tcPr>
          <w:p>
            <w:pPr>
              <w:spacing w:after="0" w:line="190" w:lineRule="exact"/>
              <w:rPr>
                <w:sz w:val="20"/>
                <w:szCs w:val="20"/>
                <w:color w:val="auto"/>
              </w:rPr>
            </w:pPr>
            <w:r>
              <w:rPr>
                <w:rFonts w:ascii="Arial" w:cs="Arial" w:eastAsia="Arial" w:hAnsi="Arial"/>
                <w:sz w:val="18"/>
                <w:szCs w:val="18"/>
                <w:color w:val="auto"/>
              </w:rPr>
              <w:t>Mark Dankberg</w:t>
            </w:r>
          </w:p>
        </w:tc>
        <w:tc>
          <w:tcPr>
            <w:tcW w:w="1860" w:type="dxa"/>
            <w:vAlign w:val="bottom"/>
          </w:tcPr>
          <w:p>
            <w:pPr>
              <w:spacing w:after="0"/>
              <w:rPr>
                <w:sz w:val="16"/>
                <w:szCs w:val="16"/>
                <w:color w:val="auto"/>
              </w:rPr>
            </w:pPr>
          </w:p>
        </w:tc>
        <w:tc>
          <w:tcPr>
            <w:tcW w:w="4320" w:type="dxa"/>
            <w:vAlign w:val="bottom"/>
            <w:gridSpan w:val="3"/>
          </w:tcPr>
          <w:p>
            <w:pPr>
              <w:ind w:left="240"/>
              <w:spacing w:after="0" w:line="190" w:lineRule="exact"/>
              <w:rPr>
                <w:sz w:val="20"/>
                <w:szCs w:val="20"/>
                <w:color w:val="auto"/>
              </w:rPr>
            </w:pPr>
            <w:r>
              <w:rPr>
                <w:rFonts w:ascii="Arial" w:cs="Arial" w:eastAsia="Arial" w:hAnsi="Arial"/>
                <w:sz w:val="18"/>
                <w:szCs w:val="18"/>
                <w:color w:val="auto"/>
              </w:rPr>
              <w:t>Chief Executive Officer</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2"/>
        </w:trPr>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(Principal Executive Officer)</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6"/>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SHAWN DUFFY</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26, 2016</w:t>
            </w:r>
          </w:p>
        </w:tc>
      </w:tr>
      <w:tr>
        <w:trPr>
          <w:trHeight w:val="190"/>
        </w:trPr>
        <w:tc>
          <w:tcPr>
            <w:tcW w:w="2480" w:type="dxa"/>
            <w:vAlign w:val="bottom"/>
            <w:gridSpan w:val="2"/>
          </w:tcPr>
          <w:p>
            <w:pPr>
              <w:spacing w:after="0" w:line="190" w:lineRule="exact"/>
              <w:rPr>
                <w:sz w:val="20"/>
                <w:szCs w:val="20"/>
                <w:color w:val="auto"/>
              </w:rPr>
            </w:pPr>
            <w:r>
              <w:rPr>
                <w:rFonts w:ascii="Arial" w:cs="Arial" w:eastAsia="Arial" w:hAnsi="Arial"/>
                <w:sz w:val="18"/>
                <w:szCs w:val="18"/>
                <w:color w:val="auto"/>
              </w:rPr>
              <w:t>Shawn Duffy</w:t>
            </w:r>
          </w:p>
        </w:tc>
        <w:tc>
          <w:tcPr>
            <w:tcW w:w="1860" w:type="dxa"/>
            <w:vAlign w:val="bottom"/>
          </w:tcPr>
          <w:p>
            <w:pPr>
              <w:spacing w:after="0"/>
              <w:rPr>
                <w:sz w:val="16"/>
                <w:szCs w:val="16"/>
                <w:color w:val="auto"/>
              </w:rPr>
            </w:pPr>
          </w:p>
        </w:tc>
        <w:tc>
          <w:tcPr>
            <w:tcW w:w="4320" w:type="dxa"/>
            <w:vAlign w:val="bottom"/>
            <w:gridSpan w:val="3"/>
          </w:tcPr>
          <w:p>
            <w:pPr>
              <w:ind w:left="240"/>
              <w:spacing w:after="0" w:line="190" w:lineRule="exact"/>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2"/>
        </w:trPr>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(Principal Financial and Accounting Officer)</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7"/>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J. BIONDI, JR.</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26, 2016</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Frank J. Biondi, Jr.</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BOWMAN</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26, 2016</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Robert Bowman</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JOHNSON</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26, 2016</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ALLEN LAY</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26, 2016</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Allen Lay</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NASH</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26, 2016</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STENBIT</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26, 2016</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HARVEY WHITE</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26, 2016</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70"/>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gridSpan w:val="2"/>
          </w:tcPr>
          <w:p>
            <w:pPr>
              <w:jc w:val="right"/>
              <w:ind w:right="852"/>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tcPr>
          <w:p>
            <w:pPr>
              <w:jc w:val="center"/>
              <w:ind w:left="3802"/>
              <w:spacing w:after="0"/>
              <w:rPr>
                <w:sz w:val="20"/>
                <w:szCs w:val="20"/>
                <w:color w:val="auto"/>
              </w:rPr>
            </w:pPr>
            <w:r>
              <w:rPr>
                <w:rFonts w:ascii="Arial" w:cs="Arial" w:eastAsia="Arial" w:hAnsi="Arial"/>
                <w:sz w:val="18"/>
                <w:szCs w:val="18"/>
                <w:b w:val="1"/>
                <w:bCs w:val="1"/>
                <w:color w:val="auto"/>
              </w:rPr>
              <w:t>EXHIBIT INDEX</w:t>
            </w:r>
          </w:p>
        </w:tc>
      </w:tr>
      <w:tr>
        <w:trPr>
          <w:trHeight w:val="462"/>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4"/>
                <w:szCs w:val="14"/>
                <w:color w:val="auto"/>
              </w:rPr>
            </w:pPr>
          </w:p>
        </w:tc>
        <w:tc>
          <w:tcPr>
            <w:tcW w:w="5600" w:type="dxa"/>
            <w:vAlign w:val="bottom"/>
          </w:tcPr>
          <w:p>
            <w:pPr>
              <w:ind w:left="224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w w:val="94"/>
              </w:rPr>
              <w:t>Second Amended and Restated Certificate of Incorporation of ViaSat, Inc.</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Second Amended and Restated Bylaws of ViaSat, Inc.</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Indenture dated as of February 27, 2012 by and among ViaSat, Inc.,</w:t>
            </w:r>
          </w:p>
        </w:tc>
      </w:tr>
      <w:tr>
        <w:trPr>
          <w:trHeight w:val="216"/>
        </w:trPr>
        <w:tc>
          <w:tcPr>
            <w:tcW w:w="500" w:type="dxa"/>
            <w:vAlign w:val="bottom"/>
          </w:tcPr>
          <w:p>
            <w:pPr>
              <w:spacing w:after="0"/>
              <w:rPr>
                <w:sz w:val="18"/>
                <w:szCs w:val="18"/>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w w:val="92"/>
              </w:rPr>
              <w:t>Wilmington Trust, National Association, as trustee, and the guarantors party</w:t>
            </w:r>
          </w:p>
        </w:tc>
      </w:tr>
      <w:tr>
        <w:trPr>
          <w:trHeight w:val="222"/>
        </w:trPr>
        <w:tc>
          <w:tcPr>
            <w:tcW w:w="500" w:type="dxa"/>
            <w:vAlign w:val="bottom"/>
          </w:tcPr>
          <w:p>
            <w:pPr>
              <w:spacing w:after="0"/>
              <w:rPr>
                <w:sz w:val="19"/>
                <w:szCs w:val="19"/>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thereto</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w w:val="89"/>
              </w:rPr>
              <w:t>Form of 6.875% Senior Note due 2020 of ViaSat, Inc. (attached as Exhibit A to</w:t>
            </w:r>
          </w:p>
        </w:tc>
      </w:tr>
      <w:tr>
        <w:trPr>
          <w:trHeight w:val="222"/>
        </w:trPr>
        <w:tc>
          <w:tcPr>
            <w:tcW w:w="500" w:type="dxa"/>
            <w:vAlign w:val="bottom"/>
          </w:tcPr>
          <w:p>
            <w:pPr>
              <w:spacing w:after="0"/>
              <w:rPr>
                <w:sz w:val="19"/>
                <w:szCs w:val="19"/>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the Indenture filed as Exhibit 4.2 hereto)</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w w:val="97"/>
              </w:rPr>
              <w:t>Form of Indemnification Agreement between ViaSat, Inc. and each of its</w:t>
            </w:r>
          </w:p>
        </w:tc>
      </w:tr>
      <w:tr>
        <w:trPr>
          <w:trHeight w:val="222"/>
        </w:trPr>
        <w:tc>
          <w:tcPr>
            <w:tcW w:w="500" w:type="dxa"/>
            <w:vAlign w:val="bottom"/>
          </w:tcPr>
          <w:p>
            <w:pPr>
              <w:spacing w:after="0"/>
              <w:rPr>
                <w:sz w:val="19"/>
                <w:szCs w:val="19"/>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directors and officers</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w w:val="97"/>
              </w:rPr>
              <w:t>ViaSat, Inc. Employee Stock Purchase Plan (as Amended and Restated</w:t>
            </w:r>
          </w:p>
        </w:tc>
      </w:tr>
      <w:tr>
        <w:trPr>
          <w:trHeight w:val="222"/>
        </w:trPr>
        <w:tc>
          <w:tcPr>
            <w:tcW w:w="500" w:type="dxa"/>
            <w:vAlign w:val="bottom"/>
          </w:tcPr>
          <w:p>
            <w:pPr>
              <w:spacing w:after="0"/>
              <w:rPr>
                <w:sz w:val="19"/>
                <w:szCs w:val="19"/>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Effective September 16, 2015)</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w w:val="95"/>
              </w:rPr>
              <w:t>1996 Equity Participation Plan of ViaSat, Inc. (As Amended and Restated</w:t>
            </w:r>
          </w:p>
        </w:tc>
      </w:tr>
      <w:tr>
        <w:trPr>
          <w:trHeight w:val="222"/>
        </w:trPr>
        <w:tc>
          <w:tcPr>
            <w:tcW w:w="500" w:type="dxa"/>
            <w:vAlign w:val="bottom"/>
          </w:tcPr>
          <w:p>
            <w:pPr>
              <w:spacing w:after="0"/>
              <w:rPr>
                <w:sz w:val="19"/>
                <w:szCs w:val="19"/>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Effective September 16, 2015)</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w w:val="95"/>
              </w:rPr>
              <w:t>Form of Stock Option Agreement for the 1996 Equity Participation Plan of</w:t>
            </w:r>
          </w:p>
        </w:tc>
      </w:tr>
      <w:tr>
        <w:trPr>
          <w:trHeight w:val="222"/>
        </w:trPr>
        <w:tc>
          <w:tcPr>
            <w:tcW w:w="500" w:type="dxa"/>
            <w:vAlign w:val="bottom"/>
          </w:tcPr>
          <w:p>
            <w:pPr>
              <w:spacing w:after="0"/>
              <w:rPr>
                <w:sz w:val="19"/>
                <w:szCs w:val="19"/>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ViaSat, Inc.</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Form of Restricted Stock Unit Award Agreement for the 1996 Equity</w:t>
            </w:r>
          </w:p>
        </w:tc>
      </w:tr>
      <w:tr>
        <w:trPr>
          <w:trHeight w:val="222"/>
        </w:trPr>
        <w:tc>
          <w:tcPr>
            <w:tcW w:w="500" w:type="dxa"/>
            <w:vAlign w:val="bottom"/>
          </w:tcPr>
          <w:p>
            <w:pPr>
              <w:spacing w:after="0"/>
              <w:rPr>
                <w:sz w:val="19"/>
                <w:szCs w:val="19"/>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Participation Plan of ViaSat, Inc.—Global</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Form of Restricted Stock Unit Award Agreement for the 1996 Equity</w:t>
            </w:r>
          </w:p>
        </w:tc>
      </w:tr>
      <w:tr>
        <w:trPr>
          <w:trHeight w:val="222"/>
        </w:trPr>
        <w:tc>
          <w:tcPr>
            <w:tcW w:w="500" w:type="dxa"/>
            <w:vAlign w:val="bottom"/>
          </w:tcPr>
          <w:p>
            <w:pPr>
              <w:spacing w:after="0"/>
              <w:rPr>
                <w:sz w:val="19"/>
                <w:szCs w:val="19"/>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Participation Plan of ViaSat, Inc.—Independent Director</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Form of Restricted Stock Unit Award Agreement for the 1996 Equity</w:t>
            </w:r>
          </w:p>
        </w:tc>
      </w:tr>
      <w:tr>
        <w:trPr>
          <w:trHeight w:val="222"/>
        </w:trPr>
        <w:tc>
          <w:tcPr>
            <w:tcW w:w="500" w:type="dxa"/>
            <w:vAlign w:val="bottom"/>
          </w:tcPr>
          <w:p>
            <w:pPr>
              <w:spacing w:after="0"/>
              <w:rPr>
                <w:sz w:val="19"/>
                <w:szCs w:val="19"/>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Participation Plan of ViaSat, Inc.—Executive</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w w:val="92"/>
              </w:rPr>
              <w:t>Form of Change in Control Severance Agreement between ViaSat, Inc. and</w:t>
            </w:r>
          </w:p>
        </w:tc>
      </w:tr>
      <w:tr>
        <w:trPr>
          <w:trHeight w:val="222"/>
        </w:trPr>
        <w:tc>
          <w:tcPr>
            <w:tcW w:w="500" w:type="dxa"/>
            <w:vAlign w:val="bottom"/>
          </w:tcPr>
          <w:p>
            <w:pPr>
              <w:spacing w:after="0"/>
              <w:rPr>
                <w:sz w:val="19"/>
                <w:szCs w:val="19"/>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each of its executive officers</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10.9</w:t>
            </w: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w w:val="89"/>
              </w:rPr>
              <w:t>Credit Agreement dated as of November 26, 2013, by and among ViaSat, Inc.,</w:t>
            </w:r>
          </w:p>
        </w:tc>
      </w:tr>
      <w:tr>
        <w:trPr>
          <w:trHeight w:val="222"/>
        </w:trPr>
        <w:tc>
          <w:tcPr>
            <w:tcW w:w="500" w:type="dxa"/>
            <w:vAlign w:val="bottom"/>
          </w:tcPr>
          <w:p>
            <w:pPr>
              <w:spacing w:after="0"/>
              <w:rPr>
                <w:sz w:val="19"/>
                <w:szCs w:val="19"/>
                <w:color w:val="auto"/>
              </w:rPr>
            </w:pPr>
          </w:p>
        </w:tc>
        <w:tc>
          <w:tcPr>
            <w:tcW w:w="6080" w:type="dxa"/>
            <w:vAlign w:val="bottom"/>
            <w:gridSpan w:val="2"/>
          </w:tcPr>
          <w:p>
            <w:pPr>
              <w:ind w:left="480"/>
              <w:spacing w:after="0"/>
              <w:rPr>
                <w:sz w:val="20"/>
                <w:szCs w:val="20"/>
                <w:color w:val="auto"/>
              </w:rPr>
            </w:pPr>
            <w:r>
              <w:rPr>
                <w:rFonts w:ascii="Arial" w:cs="Arial" w:eastAsia="Arial" w:hAnsi="Arial"/>
                <w:sz w:val="18"/>
                <w:szCs w:val="18"/>
                <w:color w:val="auto"/>
              </w:rPr>
              <w:t>Union Bank, N.A. (as agent) and the other lenders party thereto</w:t>
            </w:r>
          </w:p>
        </w:tc>
      </w:tr>
      <w:tr>
        <w:trPr>
          <w:trHeight w:val="365"/>
        </w:trPr>
        <w:tc>
          <w:tcPr>
            <w:tcW w:w="500" w:type="dxa"/>
            <w:vAlign w:val="bottom"/>
          </w:tcPr>
          <w:p>
            <w:pPr>
              <w:spacing w:after="0"/>
              <w:rPr>
                <w:sz w:val="24"/>
                <w:szCs w:val="24"/>
                <w:color w:val="auto"/>
              </w:rPr>
            </w:pPr>
          </w:p>
        </w:tc>
        <w:tc>
          <w:tcPr>
            <w:tcW w:w="6080" w:type="dxa"/>
            <w:vAlign w:val="bottom"/>
            <w:gridSpan w:val="2"/>
          </w:tcPr>
          <w:p>
            <w:pPr>
              <w:jc w:val="right"/>
              <w:ind w:right="702"/>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w w:val="89"/>
              </w:rPr>
              <w:t>Incorporated by Reference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Filed or</w:t>
            </w:r>
          </w:p>
        </w:tc>
        <w:tc>
          <w:tcPr>
            <w:tcW w:w="0" w:type="dxa"/>
            <w:vAlign w:val="bottom"/>
          </w:tcPr>
          <w:p>
            <w:pPr>
              <w:spacing w:after="0"/>
              <w:rPr>
                <w:sz w:val="1"/>
                <w:szCs w:val="1"/>
                <w:color w:val="auto"/>
              </w:rPr>
            </w:pPr>
          </w:p>
        </w:tc>
      </w:tr>
      <w:tr>
        <w:trPr>
          <w:trHeight w:val="67"/>
        </w:trPr>
        <w:tc>
          <w:tcPr>
            <w:tcW w:w="5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gridSpan w:val="4"/>
            <w:vMerge w:val="continue"/>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62"/>
        </w:trPr>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File No.</w:t>
            </w:r>
          </w:p>
        </w:tc>
        <w:tc>
          <w:tcPr>
            <w:tcW w:w="220" w:type="dxa"/>
            <w:vAlign w:val="bottom"/>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02"/>
        </w:trPr>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10-Q</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11/14/2000</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12/04/2012</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333-13183</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11/05/1996</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02/27/2012</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02/27/2012</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03/07/2008</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09/17/2015</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09/17/2015</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05/26/2015</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05/26/2015</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05/26/2015</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08/04/2010</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11/26/2013</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580" w:space="200"/>
            <w:col w:w="464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54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60" w:type="dxa"/>
            <w:vAlign w:val="bottom"/>
          </w:tcPr>
          <w:p>
            <w:pPr>
              <w:ind w:left="216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r>
      <w:tr>
        <w:trPr>
          <w:trHeight w:val="283"/>
        </w:trPr>
        <w:tc>
          <w:tcPr>
            <w:tcW w:w="940" w:type="dxa"/>
            <w:vAlign w:val="bottom"/>
            <w:gridSpan w:val="2"/>
          </w:tcPr>
          <w:p>
            <w:pPr>
              <w:ind w:left="140"/>
              <w:spacing w:after="0"/>
              <w:rPr>
                <w:sz w:val="20"/>
                <w:szCs w:val="20"/>
                <w:color w:val="auto"/>
              </w:rPr>
            </w:pPr>
            <w:r>
              <w:rPr>
                <w:rFonts w:ascii="Arial" w:cs="Arial" w:eastAsia="Arial" w:hAnsi="Arial"/>
                <w:sz w:val="18"/>
                <w:szCs w:val="18"/>
                <w:color w:val="auto"/>
              </w:rPr>
              <w:t>10.9.1</w:t>
            </w: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0"/>
              </w:rPr>
              <w:t>First Amendment to Credit Agreement and Other Loan Documents dated as</w:t>
            </w: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0"/>
              </w:rPr>
              <w:t>of March 12, 2015, by and among ViaSat, Inc., Union Bank, N.A. (as agent)</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and the other lenders party thereto</w:t>
            </w:r>
          </w:p>
        </w:tc>
      </w:tr>
      <w:tr>
        <w:trPr>
          <w:trHeight w:val="318"/>
        </w:trPr>
        <w:tc>
          <w:tcPr>
            <w:tcW w:w="940" w:type="dxa"/>
            <w:vAlign w:val="bottom"/>
            <w:gridSpan w:val="2"/>
          </w:tcPr>
          <w:p>
            <w:pPr>
              <w:ind w:left="140"/>
              <w:spacing w:after="0"/>
              <w:rPr>
                <w:sz w:val="20"/>
                <w:szCs w:val="20"/>
                <w:color w:val="auto"/>
              </w:rPr>
            </w:pPr>
            <w:r>
              <w:rPr>
                <w:rFonts w:ascii="Arial" w:cs="Arial" w:eastAsia="Arial" w:hAnsi="Arial"/>
                <w:sz w:val="18"/>
                <w:szCs w:val="18"/>
                <w:color w:val="auto"/>
              </w:rPr>
              <w:t>10.9.2</w:t>
            </w: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89"/>
              </w:rPr>
              <w:t>Second Amendment to Credit Agreement and Other Loan Documents dated</w:t>
            </w: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3"/>
              </w:rPr>
              <w:t>as of May 24, 2016, by and among ViaSat, Inc., MUFG Union Bank, N.A.</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(as agent) and the other lenders party thereto</w:t>
            </w:r>
          </w:p>
        </w:tc>
      </w:tr>
      <w:tr>
        <w:trPr>
          <w:trHeight w:val="318"/>
        </w:trPr>
        <w:tc>
          <w:tcPr>
            <w:tcW w:w="940" w:type="dxa"/>
            <w:vAlign w:val="bottom"/>
            <w:gridSpan w:val="2"/>
          </w:tcPr>
          <w:p>
            <w:pPr>
              <w:ind w:left="140"/>
              <w:spacing w:after="0"/>
              <w:rPr>
                <w:sz w:val="20"/>
                <w:szCs w:val="20"/>
                <w:color w:val="auto"/>
              </w:rPr>
            </w:pPr>
            <w:r>
              <w:rPr>
                <w:rFonts w:ascii="Arial" w:cs="Arial" w:eastAsia="Arial" w:hAnsi="Arial"/>
                <w:sz w:val="18"/>
                <w:szCs w:val="18"/>
                <w:color w:val="auto"/>
              </w:rPr>
              <w:t>10.10</w:t>
            </w: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9"/>
              </w:rPr>
              <w:t>Credit Agreement dated as of March 12, 2015, by and among ViaSat</w:t>
            </w: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Technologies Limited, ViaSat, Inc., JPMorgan Chase Bank, National</w:t>
            </w: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7"/>
              </w:rPr>
              <w:t>Association (as Ex-Im facility agent) and the Export-Import Bank of the</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United States</w:t>
            </w:r>
          </w:p>
        </w:tc>
      </w:tr>
      <w:tr>
        <w:trPr>
          <w:trHeight w:val="318"/>
        </w:trPr>
        <w:tc>
          <w:tcPr>
            <w:tcW w:w="940" w:type="dxa"/>
            <w:vAlign w:val="bottom"/>
            <w:gridSpan w:val="2"/>
          </w:tcPr>
          <w:p>
            <w:pPr>
              <w:ind w:left="140"/>
              <w:spacing w:after="0"/>
              <w:rPr>
                <w:sz w:val="20"/>
                <w:szCs w:val="20"/>
                <w:color w:val="auto"/>
              </w:rPr>
            </w:pPr>
            <w:r>
              <w:rPr>
                <w:rFonts w:ascii="Arial" w:cs="Arial" w:eastAsia="Arial" w:hAnsi="Arial"/>
                <w:sz w:val="18"/>
                <w:szCs w:val="18"/>
                <w:color w:val="auto"/>
              </w:rPr>
              <w:t>10.10.1</w:t>
            </w: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2"/>
              </w:rPr>
              <w:t>First Amendment to Credit Agreement, dated as of June 12, 2015, by and</w:t>
            </w: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2"/>
              </w:rPr>
              <w:t>among ViaSat Technologies Limited, ViaSat, Inc., JPMorgan Chase Bank,</w:t>
            </w: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2"/>
              </w:rPr>
              <w:t>National Association (as Ex-Im Facility Agent) and the Export-Import Bank</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of the United States</w:t>
            </w:r>
          </w:p>
        </w:tc>
      </w:tr>
      <w:tr>
        <w:trPr>
          <w:trHeight w:val="318"/>
        </w:trPr>
        <w:tc>
          <w:tcPr>
            <w:tcW w:w="940" w:type="dxa"/>
            <w:vAlign w:val="bottom"/>
            <w:gridSpan w:val="2"/>
          </w:tcPr>
          <w:p>
            <w:pPr>
              <w:ind w:left="140"/>
              <w:spacing w:after="0"/>
              <w:rPr>
                <w:sz w:val="20"/>
                <w:szCs w:val="20"/>
                <w:color w:val="auto"/>
              </w:rPr>
            </w:pPr>
            <w:r>
              <w:rPr>
                <w:rFonts w:ascii="Arial" w:cs="Arial" w:eastAsia="Arial" w:hAnsi="Arial"/>
                <w:sz w:val="18"/>
                <w:szCs w:val="18"/>
                <w:color w:val="auto"/>
              </w:rPr>
              <w:t>10.10.2</w:t>
            </w: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89"/>
              </w:rPr>
              <w:t>Second Amendment Agreement, dated as of March 23, 2016, by and among</w:t>
            </w: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0"/>
              </w:rPr>
              <w:t>ViaSat Technologies Limited, ViaSat, Inc., JPMorgan Chase Bank, National</w:t>
            </w: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5"/>
              </w:rPr>
              <w:t>Association (as Ex-Im Facility Agent) and the Export-Import Bank of the</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United States</w:t>
            </w:r>
          </w:p>
        </w:tc>
      </w:tr>
      <w:tr>
        <w:trPr>
          <w:trHeight w:val="318"/>
        </w:trPr>
        <w:tc>
          <w:tcPr>
            <w:tcW w:w="94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0"/>
              </w:rPr>
              <w:t>Award/Contract dated March 10, 2010 between ViaSat, Inc. and Space and</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Naval Warfare Systems</w:t>
            </w:r>
          </w:p>
        </w:tc>
      </w:tr>
      <w:tr>
        <w:trPr>
          <w:trHeight w:val="324"/>
        </w:trPr>
        <w:tc>
          <w:tcPr>
            <w:tcW w:w="500" w:type="dxa"/>
            <w:vAlign w:val="bottom"/>
          </w:tcPr>
          <w:p>
            <w:pPr>
              <w:ind w:left="140"/>
              <w:spacing w:after="0"/>
              <w:rPr>
                <w:sz w:val="20"/>
                <w:szCs w:val="20"/>
                <w:color w:val="auto"/>
              </w:rPr>
            </w:pPr>
            <w:r>
              <w:rPr>
                <w:rFonts w:ascii="Arial" w:cs="Arial" w:eastAsia="Arial" w:hAnsi="Arial"/>
                <w:sz w:val="18"/>
                <w:szCs w:val="18"/>
                <w:color w:val="auto"/>
                <w:w w:val="96"/>
              </w:rPr>
              <w:t>21.1</w:t>
            </w:r>
          </w:p>
        </w:tc>
        <w:tc>
          <w:tcPr>
            <w:tcW w:w="440" w:type="dxa"/>
            <w:vAlign w:val="bottom"/>
          </w:tcPr>
          <w:p>
            <w:pPr>
              <w:spacing w:after="0"/>
              <w:rPr>
                <w:sz w:val="24"/>
                <w:szCs w:val="24"/>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Subsidiaries</w:t>
            </w:r>
          </w:p>
        </w:tc>
      </w:tr>
      <w:tr>
        <w:trPr>
          <w:trHeight w:val="318"/>
        </w:trPr>
        <w:tc>
          <w:tcPr>
            <w:tcW w:w="500" w:type="dxa"/>
            <w:vAlign w:val="bottom"/>
          </w:tcPr>
          <w:p>
            <w:pPr>
              <w:ind w:left="140"/>
              <w:spacing w:after="0"/>
              <w:rPr>
                <w:sz w:val="20"/>
                <w:szCs w:val="20"/>
                <w:color w:val="auto"/>
              </w:rPr>
            </w:pPr>
            <w:r>
              <w:rPr>
                <w:rFonts w:ascii="Arial" w:cs="Arial" w:eastAsia="Arial" w:hAnsi="Arial"/>
                <w:sz w:val="18"/>
                <w:szCs w:val="18"/>
                <w:color w:val="auto"/>
                <w:w w:val="96"/>
              </w:rPr>
              <w:t>23.1</w:t>
            </w:r>
          </w:p>
        </w:tc>
        <w:tc>
          <w:tcPr>
            <w:tcW w:w="440" w:type="dxa"/>
            <w:vAlign w:val="bottom"/>
          </w:tcPr>
          <w:p>
            <w:pPr>
              <w:spacing w:after="0"/>
              <w:rPr>
                <w:sz w:val="24"/>
                <w:szCs w:val="24"/>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2"/>
              </w:rPr>
              <w:t>Consent of PricewaterhouseCoopers LLP, Independent Registered Public</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Accounting Firm</w:t>
            </w:r>
          </w:p>
        </w:tc>
      </w:tr>
      <w:tr>
        <w:trPr>
          <w:trHeight w:val="324"/>
        </w:trPr>
        <w:tc>
          <w:tcPr>
            <w:tcW w:w="500" w:type="dxa"/>
            <w:vAlign w:val="bottom"/>
          </w:tcPr>
          <w:p>
            <w:pPr>
              <w:ind w:left="140"/>
              <w:spacing w:after="0"/>
              <w:rPr>
                <w:sz w:val="20"/>
                <w:szCs w:val="20"/>
                <w:color w:val="auto"/>
              </w:rPr>
            </w:pPr>
            <w:r>
              <w:rPr>
                <w:rFonts w:ascii="Arial" w:cs="Arial" w:eastAsia="Arial" w:hAnsi="Arial"/>
                <w:sz w:val="18"/>
                <w:szCs w:val="18"/>
                <w:color w:val="auto"/>
                <w:w w:val="96"/>
              </w:rPr>
              <w:t>24.1</w:t>
            </w:r>
          </w:p>
        </w:tc>
        <w:tc>
          <w:tcPr>
            <w:tcW w:w="440" w:type="dxa"/>
            <w:vAlign w:val="bottom"/>
          </w:tcPr>
          <w:p>
            <w:pPr>
              <w:spacing w:after="0"/>
              <w:rPr>
                <w:sz w:val="24"/>
                <w:szCs w:val="24"/>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Power of Attorney (see signature page)</w:t>
            </w:r>
          </w:p>
        </w:tc>
      </w:tr>
      <w:tr>
        <w:trPr>
          <w:trHeight w:val="318"/>
        </w:trPr>
        <w:tc>
          <w:tcPr>
            <w:tcW w:w="500" w:type="dxa"/>
            <w:vAlign w:val="bottom"/>
          </w:tcPr>
          <w:p>
            <w:pPr>
              <w:ind w:left="140"/>
              <w:spacing w:after="0"/>
              <w:rPr>
                <w:sz w:val="20"/>
                <w:szCs w:val="20"/>
                <w:color w:val="auto"/>
              </w:rPr>
            </w:pPr>
            <w:r>
              <w:rPr>
                <w:rFonts w:ascii="Arial" w:cs="Arial" w:eastAsia="Arial" w:hAnsi="Arial"/>
                <w:sz w:val="18"/>
                <w:szCs w:val="18"/>
                <w:color w:val="auto"/>
                <w:w w:val="96"/>
              </w:rPr>
              <w:t>31.1</w:t>
            </w:r>
          </w:p>
        </w:tc>
        <w:tc>
          <w:tcPr>
            <w:tcW w:w="440" w:type="dxa"/>
            <w:vAlign w:val="bottom"/>
          </w:tcPr>
          <w:p>
            <w:pPr>
              <w:spacing w:after="0"/>
              <w:rPr>
                <w:sz w:val="24"/>
                <w:szCs w:val="24"/>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1"/>
              </w:rPr>
              <w:t>Certification Pursuant to Section 302 of the Sarbanes-Oxley Act of 2002 of</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Chief Executive Officer</w:t>
            </w:r>
          </w:p>
        </w:tc>
      </w:tr>
      <w:tr>
        <w:trPr>
          <w:trHeight w:val="318"/>
        </w:trPr>
        <w:tc>
          <w:tcPr>
            <w:tcW w:w="500" w:type="dxa"/>
            <w:vAlign w:val="bottom"/>
          </w:tcPr>
          <w:p>
            <w:pPr>
              <w:ind w:left="140"/>
              <w:spacing w:after="0"/>
              <w:rPr>
                <w:sz w:val="20"/>
                <w:szCs w:val="20"/>
                <w:color w:val="auto"/>
              </w:rPr>
            </w:pPr>
            <w:r>
              <w:rPr>
                <w:rFonts w:ascii="Arial" w:cs="Arial" w:eastAsia="Arial" w:hAnsi="Arial"/>
                <w:sz w:val="18"/>
                <w:szCs w:val="18"/>
                <w:color w:val="auto"/>
                <w:w w:val="96"/>
              </w:rPr>
              <w:t>31.2</w:t>
            </w:r>
          </w:p>
        </w:tc>
        <w:tc>
          <w:tcPr>
            <w:tcW w:w="440" w:type="dxa"/>
            <w:vAlign w:val="bottom"/>
          </w:tcPr>
          <w:p>
            <w:pPr>
              <w:spacing w:after="0"/>
              <w:rPr>
                <w:sz w:val="24"/>
                <w:szCs w:val="24"/>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1"/>
              </w:rPr>
              <w:t>Certification Pursuant to Section 302 of the Sarbanes-Oxley Act of 2002 of</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Chief Financial Officer</w:t>
            </w:r>
          </w:p>
        </w:tc>
      </w:tr>
      <w:tr>
        <w:trPr>
          <w:trHeight w:val="318"/>
        </w:trPr>
        <w:tc>
          <w:tcPr>
            <w:tcW w:w="500" w:type="dxa"/>
            <w:vAlign w:val="bottom"/>
          </w:tcPr>
          <w:p>
            <w:pPr>
              <w:ind w:left="140"/>
              <w:spacing w:after="0"/>
              <w:rPr>
                <w:sz w:val="20"/>
                <w:szCs w:val="20"/>
                <w:color w:val="auto"/>
              </w:rPr>
            </w:pPr>
            <w:r>
              <w:rPr>
                <w:rFonts w:ascii="Arial" w:cs="Arial" w:eastAsia="Arial" w:hAnsi="Arial"/>
                <w:sz w:val="18"/>
                <w:szCs w:val="18"/>
                <w:color w:val="auto"/>
                <w:w w:val="96"/>
              </w:rPr>
              <w:t>32.1</w:t>
            </w:r>
          </w:p>
        </w:tc>
        <w:tc>
          <w:tcPr>
            <w:tcW w:w="440" w:type="dxa"/>
            <w:vAlign w:val="bottom"/>
          </w:tcPr>
          <w:p>
            <w:pPr>
              <w:spacing w:after="0"/>
              <w:rPr>
                <w:sz w:val="24"/>
                <w:szCs w:val="24"/>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w w:val="91"/>
              </w:rPr>
              <w:t>Certifications Pursuant to 18 U.S.C. Section 1350, as Adopted Pursuant to</w:t>
            </w: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40" w:type="dxa"/>
            <w:vAlign w:val="bottom"/>
            <w:gridSpan w:val="2"/>
          </w:tcPr>
          <w:p>
            <w:pPr>
              <w:ind w:left="280"/>
              <w:spacing w:after="0"/>
              <w:rPr>
                <w:sz w:val="20"/>
                <w:szCs w:val="20"/>
                <w:color w:val="auto"/>
              </w:rPr>
            </w:pPr>
            <w:r>
              <w:rPr>
                <w:rFonts w:ascii="Arial" w:cs="Arial" w:eastAsia="Arial" w:hAnsi="Arial"/>
                <w:sz w:val="18"/>
                <w:szCs w:val="18"/>
                <w:color w:val="auto"/>
              </w:rPr>
              <w:t>Section 906 of the Sarbanes-Oxley Act of 2002</w:t>
            </w:r>
          </w:p>
        </w:tc>
      </w:tr>
      <w:tr>
        <w:trPr>
          <w:trHeight w:val="365"/>
        </w:trPr>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gridSpan w:val="2"/>
          </w:tcPr>
          <w:p>
            <w:pPr>
              <w:ind w:left="4680"/>
              <w:spacing w:after="0"/>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1"/>
              </w:rPr>
              <w:t>Incorporated by Reference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Filed or</w:t>
            </w:r>
          </w:p>
        </w:tc>
        <w:tc>
          <w:tcPr>
            <w:tcW w:w="0" w:type="dxa"/>
            <w:vAlign w:val="bottom"/>
          </w:tcPr>
          <w:p>
            <w:pPr>
              <w:spacing w:after="0"/>
              <w:rPr>
                <w:sz w:val="1"/>
                <w:szCs w:val="1"/>
                <w:color w:val="auto"/>
              </w:rPr>
            </w:pPr>
          </w:p>
        </w:tc>
      </w:tr>
      <w:tr>
        <w:trPr>
          <w:trHeight w:val="67"/>
        </w:trPr>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gridSpan w:val="4"/>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62"/>
        </w:trPr>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File No.</w:t>
            </w:r>
          </w:p>
        </w:tc>
        <w:tc>
          <w:tcPr>
            <w:tcW w:w="220" w:type="dxa"/>
            <w:vAlign w:val="bottom"/>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02"/>
        </w:trPr>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03/13/2015</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05/24/2016</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03/13/2015</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10-Q</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08/10/2015</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03/24/2016</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8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10-K/A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10.19</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08/03/2010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680" w:space="220"/>
            <w:col w:w="45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Filed or</w:t>
            </w:r>
          </w:p>
        </w:tc>
        <w:tc>
          <w:tcPr>
            <w:tcW w:w="0" w:type="dxa"/>
            <w:vAlign w:val="bottom"/>
          </w:tcPr>
          <w:p>
            <w:pPr>
              <w:spacing w:after="0"/>
              <w:rPr>
                <w:sz w:val="1"/>
                <w:szCs w:val="1"/>
                <w:color w:val="auto"/>
              </w:rPr>
            </w:pPr>
          </w:p>
        </w:tc>
      </w:tr>
      <w:tr>
        <w:trPr>
          <w:trHeight w:val="67"/>
        </w:trPr>
        <w:tc>
          <w:tcPr>
            <w:tcW w:w="10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gridSpan w:val="4"/>
            <w:vMerge w:val="continue"/>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48"/>
        </w:trPr>
        <w:tc>
          <w:tcPr>
            <w:tcW w:w="10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5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80" w:type="dxa"/>
            <w:vAlign w:val="bottom"/>
            <w:gridSpan w:val="2"/>
          </w:tcPr>
          <w:p>
            <w:pPr>
              <w:ind w:left="2040"/>
              <w:spacing w:after="0" w:line="129" w:lineRule="exact"/>
              <w:rPr>
                <w:sz w:val="20"/>
                <w:szCs w:val="20"/>
                <w:color w:val="auto"/>
              </w:rPr>
            </w:pPr>
            <w:r>
              <w:rPr>
                <w:rFonts w:ascii="Arial" w:cs="Arial" w:eastAsia="Arial" w:hAnsi="Arial"/>
                <w:sz w:val="14"/>
                <w:szCs w:val="14"/>
                <w:b w:val="1"/>
                <w:bCs w:val="1"/>
                <w:color w:val="auto"/>
              </w:rPr>
              <w:t>Exhibit Description</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Form</w:t>
            </w:r>
          </w:p>
        </w:tc>
        <w:tc>
          <w:tcPr>
            <w:tcW w:w="9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File No.</w:t>
            </w:r>
          </w:p>
        </w:tc>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Filing Date</w:t>
            </w:r>
          </w:p>
        </w:tc>
        <w:tc>
          <w:tcPr>
            <w:tcW w:w="480" w:type="dxa"/>
            <w:vAlign w:val="bottom"/>
          </w:tcPr>
          <w:p>
            <w:pPr>
              <w:spacing w:after="0"/>
              <w:rPr>
                <w:sz w:val="12"/>
                <w:szCs w:val="12"/>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Instance Document</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Schema</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Calculation Linkbase</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Definition Linkbase</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Labels Linkbase</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Presentation Linkbase</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compensatory plan or arrangement.</w:t>
      </w:r>
    </w:p>
    <w:p>
      <w:pPr>
        <w:spacing w:after="0" w:line="15" w:lineRule="exact"/>
        <w:rPr>
          <w:sz w:val="20"/>
          <w:szCs w:val="20"/>
          <w:color w:val="auto"/>
        </w:rPr>
      </w:pPr>
    </w:p>
    <w:p>
      <w:pPr>
        <w:ind w:left="220" w:right="280" w:hanging="212"/>
        <w:spacing w:after="0" w:line="261"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and separately filed with the Commission pursuant to a request for confidential treatment pursuant to Rule 24b-2 under the Securities Exchange Act of 1934.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50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ViaSat, Inc.:</w:t>
      </w:r>
    </w:p>
    <w:p>
      <w:pPr>
        <w:spacing w:after="0" w:line="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In our opinion, the accompanying consolidated financial statements listed in the index appearing under Item 15(1) present fairly, in all material respects, the financial position of ViaSat, Inc. and its subsidiaries at March 31, 2016 and April 3, 2015, and the results of their operations and their cash flows for each of the three years in the period ended March 31, 2016 in conformity with accounting principles generally accepted in the United States of America. In addition, in our opinion, the financial statement schedule listed in the index appearing under Item 15(2) presents fairly, in all material respects, the information set forth therein when read in conjunction with the related consolidated financial statements. Also in our opinion, the Company maintained, in all material respects, effective internal control over financial reporting as of March 31,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discussed in Note 1 to the consolidated financial statements, the Company changed the manner in which it presents deferred income taxes in 2016.</w:t>
      </w:r>
    </w:p>
    <w:p>
      <w:pPr>
        <w:spacing w:after="0" w:line="19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26,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April 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2016</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4"/>
          </w:tcPr>
          <w:p>
            <w:pPr>
              <w:jc w:val="right"/>
              <w:ind w:right="54"/>
              <w:spacing w:after="0" w:line="142" w:lineRule="exact"/>
              <w:rPr>
                <w:sz w:val="20"/>
                <w:szCs w:val="20"/>
                <w:color w:val="auto"/>
              </w:rPr>
            </w:pPr>
            <w:r>
              <w:rPr>
                <w:rFonts w:ascii="Arial" w:cs="Arial" w:eastAsia="Arial" w:hAnsi="Arial"/>
                <w:sz w:val="14"/>
                <w:szCs w:val="14"/>
                <w:b w:val="1"/>
                <w:bCs w:val="1"/>
                <w:color w:val="auto"/>
                <w:w w:val="85"/>
              </w:rPr>
              <w:t>(In thousands,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286,724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49,361</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523,334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40" w:type="dxa"/>
            <w:vAlign w:val="bottom"/>
            <w:gridSpan w:val="2"/>
          </w:tcPr>
          <w:p>
            <w:pPr>
              <w:spacing w:after="0"/>
              <w:rPr>
                <w:sz w:val="20"/>
                <w:szCs w:val="20"/>
                <w:color w:val="auto"/>
              </w:rPr>
            </w:pPr>
            <w:r>
              <w:rPr>
                <w:rFonts w:ascii="Arial" w:cs="Arial" w:eastAsia="Arial" w:hAnsi="Arial"/>
                <w:sz w:val="18"/>
                <w:szCs w:val="18"/>
                <w:color w:val="auto"/>
              </w:rPr>
              <w:t>Satellites, net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898,197</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762,221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486,910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33,604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346,761</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2,405,846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2,158,378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326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95,645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184,344</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279,989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581,374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long-term debt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372,688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1,271,422</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1,114,645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11 and 12)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w w:val="91"/>
              </w:rPr>
              <w:t>Series A, convertible preferred stock, $.0001 par value; 5,000,000 shares authorized; no shares issued and outstanding</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at March 31, 2016 and April 3, 2015, respectively</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100,000,000 shares authorized; 48,926,417 and 47,697,413 shares outstanding at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March 31, 2016 and April 3, 2015, respectively</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855,387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786,467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273,704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1,129,103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1,038,582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1,134,424</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1,043,733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2,405,846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2,158,378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4"/>
              </w:rPr>
              <w:t>Fiscal Years Ended</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 2016</w:t>
            </w:r>
          </w:p>
        </w:tc>
        <w:tc>
          <w:tcPr>
            <w:tcW w:w="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89"/>
              </w:rPr>
              <w:t>April 3, 2015</w:t>
            </w:r>
          </w:p>
        </w:tc>
        <w:tc>
          <w:tcPr>
            <w:tcW w:w="8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April 4,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7"/>
          </w:tcPr>
          <w:p>
            <w:pPr>
              <w:ind w:left="58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664,821</w:t>
            </w:r>
          </w:p>
        </w:tc>
        <w:tc>
          <w:tcPr>
            <w:tcW w:w="2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728,074</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752,610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654,461</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1,417,431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1,382,535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1,351,462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489,246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519,483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495,099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444,431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298,345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270,841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17,966</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(25,748)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(31,448)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(4,173)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13,827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Less: Net income (loss) attributable to the noncontrolling interest, net of tax</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ViaSat, Inc. common stockholders: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 (loss) per share attributable to ViaSat, Inc. common stockholders</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w w:val="99"/>
              </w:rPr>
              <w:t>Diluted net income (loss) per share attributable to ViaSat, Inc. common stockholders</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0.84</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used in computing basic net income (loss) per share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Shares used in computing diluted net income (loss) per share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49,445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48,285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21,770</w:t>
            </w:r>
          </w:p>
        </w:tc>
        <w:tc>
          <w:tcPr>
            <w:tcW w:w="2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39,891</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(loss) income, net of tax:</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Unrealized gain (loss) on hedging, net of tax</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 net of tax</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420"/>
              <w:spacing w:after="0"/>
              <w:rPr>
                <w:sz w:val="20"/>
                <w:szCs w:val="20"/>
                <w:color w:val="auto"/>
              </w:rPr>
            </w:pPr>
            <w:r>
              <w:rPr>
                <w:rFonts w:ascii="Arial" w:cs="Arial" w:eastAsia="Arial" w:hAnsi="Arial"/>
                <w:sz w:val="18"/>
                <w:szCs w:val="18"/>
                <w:color w:val="auto"/>
              </w:rPr>
              <w:t>Other comprehensive (loss) income, net of tax</w:t>
            </w: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420"/>
              <w:spacing w:after="0"/>
              <w:rPr>
                <w:sz w:val="20"/>
                <w:szCs w:val="20"/>
                <w:color w:val="auto"/>
              </w:rPr>
            </w:pPr>
            <w:r>
              <w:rPr>
                <w:rFonts w:ascii="Arial" w:cs="Arial" w:eastAsia="Arial" w:hAnsi="Arial"/>
                <w:sz w:val="18"/>
                <w:szCs w:val="18"/>
                <w:color w:val="auto"/>
                <w:w w:val="96"/>
              </w:rPr>
              <w:t>Less: comprehensive income (loss) attributable to the noncontrolling interest, net of tax</w:t>
            </w: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 attributable to ViaSat, Inc.</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4"/>
              </w:rPr>
              <w:t>Fiscal Years Ended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 2016</w:t>
            </w: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3, 2015</w:t>
            </w: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April 4,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21,770</w:t>
            </w:r>
          </w:p>
        </w:tc>
        <w:tc>
          <w:tcPr>
            <w:tcW w:w="22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39,891</w:t>
            </w:r>
          </w:p>
        </w:tc>
        <w:tc>
          <w:tcPr>
            <w:tcW w:w="3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193,086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179,542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159,089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25,975</w:t>
            </w: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12,420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(27,182)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33,639</w:t>
            </w: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Loss on disposition of fixed assets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33,960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31,997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33,752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non-cash adjustments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08"/>
        </w:trPr>
        <w:tc>
          <w:tcPr>
            <w:tcW w:w="7360" w:type="dxa"/>
            <w:vAlign w:val="bottom"/>
          </w:tcPr>
          <w:p>
            <w:pPr>
              <w:ind w:left="440"/>
              <w:spacing w:after="0"/>
              <w:rPr>
                <w:sz w:val="20"/>
                <w:szCs w:val="20"/>
                <w:color w:val="auto"/>
              </w:rPr>
            </w:pPr>
            <w:r>
              <w:rPr>
                <w:rFonts w:ascii="Arial" w:cs="Arial" w:eastAsia="Arial" w:hAnsi="Arial"/>
                <w:sz w:val="18"/>
                <w:szCs w:val="18"/>
                <w:color w:val="auto"/>
                <w:w w:val="94"/>
              </w:rPr>
              <w:t>Increase (decrease) in cash resulting from changes in operating assets and liabilities, net of</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660"/>
              <w:spacing w:after="0"/>
              <w:rPr>
                <w:sz w:val="20"/>
                <w:szCs w:val="20"/>
                <w:color w:val="auto"/>
              </w:rPr>
            </w:pPr>
            <w:r>
              <w:rPr>
                <w:rFonts w:ascii="Arial" w:cs="Arial" w:eastAsia="Arial" w:hAnsi="Arial"/>
                <w:sz w:val="18"/>
                <w:szCs w:val="18"/>
                <w:color w:val="auto"/>
              </w:rPr>
              <w:t>effects of acquisitions: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(26,749)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17,730</w:t>
            </w:r>
          </w:p>
        </w:tc>
        <w:tc>
          <w:tcPr>
            <w:tcW w:w="0" w:type="dxa"/>
            <w:vAlign w:val="bottom"/>
          </w:tcPr>
          <w:p>
            <w:pPr>
              <w:spacing w:after="0"/>
              <w:rPr>
                <w:sz w:val="1"/>
                <w:szCs w:val="1"/>
                <w:color w:val="auto"/>
              </w:rPr>
            </w:pPr>
          </w:p>
        </w:tc>
      </w:tr>
      <w:tr>
        <w:trPr>
          <w:trHeight w:val="223"/>
        </w:trPr>
        <w:tc>
          <w:tcPr>
            <w:tcW w:w="736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(7,435)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296,937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349,516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205,140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property, equipment and satellites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(377,894)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(366,492)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(307,625)</w:t>
            </w: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Cash paid for patents, licenses and other assets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(72,731)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(52,686)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(44,461)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Other investing activities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(456,285)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(476,554)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(354,486)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revolving credit facility borrowings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350,000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295,000</w:t>
            </w: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Payments of revolving credit facility borrowings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(205,000)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(245,000)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(190,000)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Ex-Im credit facility borrowings, net of discount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175,834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issuance of common stock under equity plans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18,617</w:t>
            </w:r>
          </w:p>
        </w:tc>
        <w:tc>
          <w:tcPr>
            <w:tcW w:w="0" w:type="dxa"/>
            <w:vAlign w:val="bottom"/>
          </w:tcPr>
          <w:p>
            <w:pPr>
              <w:spacing w:after="0"/>
              <w:rPr>
                <w:sz w:val="1"/>
                <w:szCs w:val="1"/>
                <w:color w:val="auto"/>
              </w:rPr>
            </w:pPr>
          </w:p>
        </w:tc>
      </w:tr>
      <w:tr>
        <w:trPr>
          <w:trHeight w:val="208"/>
        </w:trPr>
        <w:tc>
          <w:tcPr>
            <w:tcW w:w="7360" w:type="dxa"/>
            <w:vAlign w:val="bottom"/>
          </w:tcPr>
          <w:p>
            <w:pPr>
              <w:ind w:left="880"/>
              <w:spacing w:after="0"/>
              <w:rPr>
                <w:sz w:val="20"/>
                <w:szCs w:val="20"/>
                <w:color w:val="auto"/>
              </w:rPr>
            </w:pPr>
            <w:r>
              <w:rPr>
                <w:rFonts w:ascii="Arial" w:cs="Arial" w:eastAsia="Arial" w:hAnsi="Arial"/>
                <w:sz w:val="18"/>
                <w:szCs w:val="18"/>
                <w:color w:val="auto"/>
                <w:w w:val="93"/>
              </w:rPr>
              <w:t>Purchase of common stock in treasury (immediately retired) related to tax withholdings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1080"/>
              <w:spacing w:after="0"/>
              <w:rPr>
                <w:sz w:val="20"/>
                <w:szCs w:val="20"/>
                <w:color w:val="auto"/>
              </w:rPr>
            </w:pPr>
            <w:r>
              <w:rPr>
                <w:rFonts w:ascii="Arial" w:cs="Arial" w:eastAsia="Arial" w:hAnsi="Arial"/>
                <w:sz w:val="18"/>
                <w:szCs w:val="18"/>
                <w:color w:val="auto"/>
              </w:rPr>
              <w:t>for stock-based compensation</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(16,397)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(14,788)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(15,588)</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financing activities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1"/>
        </w:trPr>
        <w:tc>
          <w:tcPr>
            <w:tcW w:w="7360" w:type="dxa"/>
            <w:vAlign w:val="bottom"/>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149,122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121,464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101,827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(10,175)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(6,084)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(47,391)</w:t>
            </w:r>
          </w:p>
        </w:tc>
        <w:tc>
          <w:tcPr>
            <w:tcW w:w="0" w:type="dxa"/>
            <w:vAlign w:val="bottom"/>
          </w:tcPr>
          <w:p>
            <w:pPr>
              <w:spacing w:after="0"/>
              <w:rPr>
                <w:sz w:val="1"/>
                <w:szCs w:val="1"/>
                <w:color w:val="auto"/>
              </w:rPr>
            </w:pPr>
          </w:p>
        </w:tc>
      </w:tr>
      <w:tr>
        <w:trPr>
          <w:trHeight w:val="218"/>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Cash and cash equivalents at end of fiscal year</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42,088</w:t>
            </w:r>
          </w:p>
        </w:tc>
        <w:tc>
          <w:tcPr>
            <w:tcW w:w="220" w:type="dxa"/>
            <w:vAlign w:val="bottom"/>
          </w:tcPr>
          <w:p>
            <w:pPr>
              <w:spacing w:after="0"/>
              <w:rPr>
                <w:sz w:val="19"/>
                <w:szCs w:val="19"/>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52,263</w:t>
            </w:r>
          </w:p>
        </w:tc>
        <w:tc>
          <w:tcPr>
            <w:tcW w:w="36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58,347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21,787</w:t>
            </w:r>
          </w:p>
        </w:tc>
        <w:tc>
          <w:tcPr>
            <w:tcW w:w="22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29,645</w:t>
            </w:r>
          </w:p>
        </w:tc>
        <w:tc>
          <w:tcPr>
            <w:tcW w:w="3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34,446</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income taxes, net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Issuance of stock in satisfaction of certain accrued employee compensation liabilities</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8,018</w:t>
            </w:r>
          </w:p>
        </w:tc>
        <w:tc>
          <w:tcPr>
            <w:tcW w:w="0" w:type="dxa"/>
            <w:vAlign w:val="bottom"/>
          </w:tcPr>
          <w:p>
            <w:pPr>
              <w:spacing w:after="0"/>
              <w:rPr>
                <w:sz w:val="1"/>
                <w:szCs w:val="1"/>
                <w:color w:val="auto"/>
              </w:rPr>
            </w:pPr>
          </w:p>
        </w:tc>
      </w:tr>
      <w:tr>
        <w:trPr>
          <w:trHeight w:val="216"/>
        </w:trPr>
        <w:tc>
          <w:tcPr>
            <w:tcW w:w="7360" w:type="dxa"/>
            <w:vAlign w:val="bottom"/>
          </w:tcPr>
          <w:p>
            <w:pPr>
              <w:ind w:left="880"/>
              <w:spacing w:after="0"/>
              <w:rPr>
                <w:sz w:val="20"/>
                <w:szCs w:val="20"/>
                <w:color w:val="auto"/>
              </w:rPr>
            </w:pPr>
            <w:r>
              <w:rPr>
                <w:rFonts w:ascii="Arial" w:cs="Arial" w:eastAsia="Arial" w:hAnsi="Arial"/>
                <w:sz w:val="18"/>
                <w:szCs w:val="18"/>
                <w:color w:val="auto"/>
              </w:rPr>
              <w:t>Capital expenditures not paid for</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60,796</w:t>
            </w:r>
          </w:p>
        </w:tc>
        <w:tc>
          <w:tcPr>
            <w:tcW w:w="22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6,584</w:t>
            </w:r>
          </w:p>
        </w:tc>
        <w:tc>
          <w:tcPr>
            <w:tcW w:w="3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30,237</w:t>
            </w:r>
          </w:p>
        </w:tc>
        <w:tc>
          <w:tcPr>
            <w:tcW w:w="0" w:type="dxa"/>
            <w:vAlign w:val="bottom"/>
          </w:tcPr>
          <w:p>
            <w:pPr>
              <w:spacing w:after="0"/>
              <w:rPr>
                <w:sz w:val="1"/>
                <w:szCs w:val="1"/>
                <w:color w:val="auto"/>
              </w:rPr>
            </w:pPr>
          </w:p>
        </w:tc>
      </w:tr>
      <w:tr>
        <w:trPr>
          <w:trHeight w:val="208"/>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Exposure fees on Ex-Im credit facility expected to be financed through Ex-Im credit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facility</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20,992</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ViaSat, Inc. Stockholders</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4"/>
          </w:tcPr>
          <w:p>
            <w:pPr>
              <w:jc w:val="right"/>
              <w:ind w:right="192"/>
              <w:spacing w:after="0" w:line="129" w:lineRule="exact"/>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w w:val="87"/>
              </w:rPr>
              <w:t>Common Stock</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Held in Treasury</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Retained</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Interest in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Issued</w:t>
            </w: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Capital</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Earnings</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7"/>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29, 2013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45,921,793</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4</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$715,115</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$ 221,046</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(947,607)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4"/>
              </w:rPr>
              <w:t>(33,770)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606</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4,834</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907,835</w:t>
            </w: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592,971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1</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12,910</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12,911</w:t>
            </w: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stock under Employee Stock Purchase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137,921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5,706</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5,706</w:t>
            </w: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34,703</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34,703</w:t>
            </w: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Shares issued in settlement of certain accrued employee</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113,126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8,018</w:t>
            </w:r>
          </w:p>
        </w:tc>
        <w:tc>
          <w:tcPr>
            <w:tcW w:w="2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8,018</w:t>
            </w: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RSU awards vesting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Purchase of treasury shares pursuant to vesting of certain</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RSU agreements</w:t>
            </w: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(242,965)</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84"/>
              </w:rPr>
              <w:t>(15,588)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(15,588)</w:t>
            </w: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(9,446)</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w w:val="76"/>
              </w:rPr>
              <w:t>789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(8,657)</w:t>
            </w: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6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1,707</w:t>
            </w:r>
          </w:p>
        </w:tc>
        <w:tc>
          <w:tcPr>
            <w:tcW w:w="80" w:type="dxa"/>
            <w:vAlign w:val="bottom"/>
            <w:shd w:val="clear" w:color="auto" w:fill="CCEEFF"/>
          </w:tcPr>
          <w:p>
            <w:pPr>
              <w:spacing w:after="0"/>
              <w:rPr>
                <w:sz w:val="12"/>
                <w:szCs w:val="12"/>
                <w:color w:val="auto"/>
              </w:rPr>
            </w:pPr>
          </w:p>
        </w:tc>
      </w:tr>
      <w:tr>
        <w:trPr>
          <w:trHeight w:val="156"/>
        </w:trPr>
        <w:tc>
          <w:tcPr>
            <w:tcW w:w="3500" w:type="dxa"/>
            <w:vAlign w:val="bottom"/>
            <w:gridSpan w:val="2"/>
          </w:tcPr>
          <w:p>
            <w:pPr>
              <w:spacing w:after="0" w:line="155" w:lineRule="exact"/>
              <w:rPr>
                <w:sz w:val="20"/>
                <w:szCs w:val="20"/>
                <w:color w:val="auto"/>
              </w:rPr>
            </w:pPr>
            <w:r>
              <w:rPr>
                <w:rFonts w:ascii="Arial" w:cs="Arial" w:eastAsia="Arial" w:hAnsi="Arial"/>
                <w:sz w:val="14"/>
                <w:szCs w:val="14"/>
                <w:color w:val="auto"/>
              </w:rPr>
              <w:t>Balance at April 4, 2014</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47,419,831</w:t>
            </w:r>
          </w:p>
        </w:tc>
        <w:tc>
          <w:tcPr>
            <w:tcW w:w="160" w:type="dxa"/>
            <w:vAlign w:val="bottom"/>
          </w:tcPr>
          <w:p>
            <w:pPr>
              <w:spacing w:after="0"/>
              <w:rPr>
                <w:sz w:val="13"/>
                <w:szCs w:val="13"/>
                <w:color w:val="auto"/>
              </w:rPr>
            </w:pPr>
          </w:p>
        </w:tc>
        <w:tc>
          <w:tcPr>
            <w:tcW w:w="3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55" w:lineRule="exact"/>
              <w:rPr>
                <w:sz w:val="20"/>
                <w:szCs w:val="20"/>
                <w:color w:val="auto"/>
              </w:rPr>
            </w:pPr>
            <w:r>
              <w:rPr>
                <w:rFonts w:ascii="Arial" w:cs="Arial" w:eastAsia="Arial" w:hAnsi="Arial"/>
                <w:sz w:val="14"/>
                <w:szCs w:val="14"/>
                <w:color w:val="auto"/>
                <w:w w:val="76"/>
              </w:rPr>
              <w:t>5</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$776,452</w:t>
            </w:r>
          </w:p>
        </w:tc>
        <w:tc>
          <w:tcPr>
            <w:tcW w:w="28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80"/>
              </w:rPr>
              <w:t>$ 211,600</w:t>
            </w:r>
          </w:p>
        </w:tc>
        <w:tc>
          <w:tcPr>
            <w:tcW w:w="260" w:type="dxa"/>
            <w:vAlign w:val="bottom"/>
          </w:tcPr>
          <w:p>
            <w:pPr>
              <w:spacing w:after="0"/>
              <w:rPr>
                <w:sz w:val="13"/>
                <w:szCs w:val="13"/>
                <w:color w:val="auto"/>
              </w:rPr>
            </w:pPr>
          </w:p>
        </w:tc>
        <w:tc>
          <w:tcPr>
            <w:tcW w:w="9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2"/>
              </w:rPr>
              <w:t>(1,190,572)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4"/>
              </w:rPr>
              <w:t>(49,358)</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2,313</w:t>
            </w:r>
          </w:p>
        </w:tc>
        <w:tc>
          <w:tcPr>
            <w:tcW w:w="2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5,623</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946,635</w:t>
            </w: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724,800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15,732</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15,732</w:t>
            </w: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w w:val="99"/>
              </w:rPr>
              <w:t>Issuance of stock under Employee Stock Purchase Plan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152,268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7,470</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7,470</w:t>
            </w: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40,765</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40,765</w:t>
            </w: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8"/>
              </w:rPr>
              <w:t>Shares issued in settlement of certain accrued employee</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180,526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10,194</w:t>
            </w:r>
          </w:p>
        </w:tc>
        <w:tc>
          <w:tcPr>
            <w:tcW w:w="280" w:type="dxa"/>
            <w:vAlign w:val="bottom"/>
          </w:tcPr>
          <w:p>
            <w:pPr>
              <w:spacing w:after="0"/>
              <w:rPr>
                <w:sz w:val="13"/>
                <w:szCs w:val="13"/>
                <w:color w:val="auto"/>
              </w:rPr>
            </w:pPr>
          </w:p>
        </w:tc>
        <w:tc>
          <w:tcPr>
            <w:tcW w:w="7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10,194</w:t>
            </w: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 common stock held in treasury</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(1,190,572)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(49,358)</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1,190,572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49,358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4"/>
              </w:rPr>
              <w:t>RSU awards vesting, net of shares withheld for taxes which</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have been retired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410,560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(14,788)</w:t>
            </w:r>
          </w:p>
        </w:tc>
        <w:tc>
          <w:tcPr>
            <w:tcW w:w="7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(14,788)</w:t>
            </w: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40,363</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39,891</w:t>
            </w:r>
          </w:p>
        </w:tc>
      </w:tr>
      <w:tr>
        <w:trPr>
          <w:trHeight w:val="156"/>
        </w:trPr>
        <w:tc>
          <w:tcPr>
            <w:tcW w:w="20" w:type="dxa"/>
            <w:vAlign w:val="bottom"/>
          </w:tcPr>
          <w:p>
            <w:pPr>
              <w:spacing w:after="0"/>
              <w:rPr>
                <w:sz w:val="13"/>
                <w:szCs w:val="13"/>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(2,166)</w:t>
            </w: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April 3, 2015</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47,697,413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5</w:t>
            </w:r>
          </w:p>
        </w:tc>
        <w:tc>
          <w:tcPr>
            <w:tcW w:w="2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$786,467</w:t>
            </w: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$ 251,963</w:t>
            </w:r>
          </w:p>
        </w:tc>
        <w:tc>
          <w:tcPr>
            <w:tcW w:w="26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ind w:left="640"/>
              <w:spacing w:after="0" w:line="149" w:lineRule="exact"/>
              <w:rPr>
                <w:sz w:val="20"/>
                <w:szCs w:val="20"/>
                <w:color w:val="auto"/>
              </w:rPr>
            </w:pPr>
            <w:r>
              <w:rPr>
                <w:rFonts w:ascii="Arial" w:cs="Arial" w:eastAsia="Arial" w:hAnsi="Arial"/>
                <w:sz w:val="14"/>
                <w:szCs w:val="14"/>
                <w:color w:val="auto"/>
                <w:w w:val="76"/>
              </w:rPr>
              <w:t>147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5,151</w:t>
            </w: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1,043,733</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432,706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13,520</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13,520</w:t>
            </w: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stock under Employee Stock Purchase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170,968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8,789</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8,789</w:t>
            </w: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51,399</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51,399</w:t>
            </w: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Shares issued in settlement of certain accrued employee</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185,424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11,609</w:t>
            </w:r>
          </w:p>
        </w:tc>
        <w:tc>
          <w:tcPr>
            <w:tcW w:w="2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11,609</w:t>
            </w: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4"/>
              </w:rPr>
              <w:t>RSU awards vesting, net of shares withheld for taxes which</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have been retired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439,906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(16,397)</w:t>
            </w:r>
          </w:p>
        </w:tc>
        <w:tc>
          <w:tcPr>
            <w:tcW w:w="7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(16,397)</w:t>
            </w: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noncontrolling interest activity</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76"/>
              </w:rPr>
              <w:t>141</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141</w:t>
            </w: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21,741</w:t>
            </w:r>
          </w:p>
        </w:tc>
        <w:tc>
          <w:tcPr>
            <w:tcW w:w="26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21,770</w:t>
            </w: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w:t>
            </w:r>
          </w:p>
        </w:tc>
      </w:tr>
      <w:tr>
        <w:trPr>
          <w:trHeight w:val="156"/>
        </w:trPr>
        <w:tc>
          <w:tcPr>
            <w:tcW w:w="3500" w:type="dxa"/>
            <w:vAlign w:val="bottom"/>
            <w:gridSpan w:val="2"/>
          </w:tcPr>
          <w:p>
            <w:pPr>
              <w:spacing w:after="0" w:line="155" w:lineRule="exact"/>
              <w:rPr>
                <w:sz w:val="20"/>
                <w:szCs w:val="20"/>
                <w:color w:val="auto"/>
              </w:rPr>
            </w:pPr>
            <w:r>
              <w:rPr>
                <w:rFonts w:ascii="Arial" w:cs="Arial" w:eastAsia="Arial" w:hAnsi="Arial"/>
                <w:sz w:val="14"/>
                <w:szCs w:val="14"/>
                <w:color w:val="auto"/>
              </w:rPr>
              <w:t>Balance at March 31, 2016</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48,926,417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color w:val="auto"/>
                <w:w w:val="76"/>
              </w:rPr>
              <w:t>5</w:t>
            </w:r>
          </w:p>
        </w:tc>
        <w:tc>
          <w:tcPr>
            <w:tcW w:w="2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855,387</w:t>
            </w:r>
          </w:p>
        </w:tc>
        <w:tc>
          <w:tcPr>
            <w:tcW w:w="2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0"/>
              </w:rPr>
              <w:t>$ 273,704</w:t>
            </w:r>
          </w:p>
        </w:tc>
        <w:tc>
          <w:tcPr>
            <w:tcW w:w="2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5,321</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1,134,424</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ViaSat, Inc. (also referred to hereafter as the “Company” or “ViaSat”) is an innovator in broadband technologies and services, including high-speed and cost-effective broadband and advanced communications products and services.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Company’s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May 4, 2015, the Company’s Board of Directors approved a change in the Company’s fiscal year from a 52 or 53 week fiscal year ending on the Friday closest to March 31 to a fiscal year ending on March 31 of each year, effective with the fiscal year commencing April 4, 2015. Beginning April 4, 2015, the Company’s fiscal quarters end on June 30, September 30, December 31, and March 31 of each year. Fiscal year 2014 was a 53 week year, compared to a 52 week year in fiscal year 2015. Fiscal year 2016 was slightly shorter than 52 weeks due to the change in fiscal year beginning April 4, 2015. The Company does not believe that these differences in length of year had any material impact on its financial results.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first quarter of fiscal year 2016, the Company completed the acquisition of Engreen Inc. (Engreen), a privately held company focused on network function virtualization. The Engreen purchase price of approximately $5.3 million (of which $0.5 million has been withheld as security for any indemnifiable damages) was primarily allocated to acquired technology intangible assets and the assumption of certain liabilities. During the first quarter of fiscal year 2015, the Company completed the acquisition of NetNearU Corp. (NetNearU), a privately held company that has developed a comprehensive network management system for Wi-Fi and other internet access networks (see Note 9). These acquisitions were accounted for as purchases and, accordingly, the consolidated financial statements include the operating results of Engreen and NetNearU from the dates of acquisition.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unbilled accounts receivable and allowance for doubtful accounts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records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Unbilled accounts receivables consist of costs and fees earned and billable on contract completion or other specified events. Unbilled accounts receivables are generally expected to be billed and collected within one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equivalents and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Revenues from the U.S. government as an individual customer comprised approximately 23.7%, 22.8% and 21.2% of total revenues for fiscal years 2016, 2015 and 2014, respectively. Billed accounts receivable to the U.S. government as of March 31, 2016 and April 3, 2015 were approximately 22.8% and 30.6%, respectively, of total billed receivables. In addition, none of the Company’s commercial customers comprised 10.0% or more of total revenues for fiscal years 2016, 2015 and 2014. The Company’s five largest contracts generated approximately 19.4%, 21.1% and 26.4% of the Company’s total revenues for the fiscal years ended March 31, 2016, April 3, 2015 and April 4, 2014,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is valued at the lower of cost or market, cost being determined by the weighted average cost method.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w:t>
      </w:r>
    </w:p>
    <w:p>
      <w:pPr>
        <w:spacing w:after="0" w:line="11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(Accounting Standards Codification (ASC) 835-20). With respect to assets under construction, including the ViaSat-2 satellite which commenced construction during the first quarter of fiscal year 2014, the Company capitalized $30.1 million, $16.2 million, and $8.1 million of interest expense during the fiscal years ended March 31, 2016, April 3, 2015 and April 4, 2014, respectively.</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 owns two satellites: ViaSat-1 (its first-generation high-capacity Ka-band spot-beam satellite, which was placed into service in January 2012) and WildBlue-1 (which was placed into service in March 2007). During the first quarter of fiscal year 2014, the Company entered into a satellite construction contract for its ViaSat-2 satellite, its second-generation high-capacity Ka-band satellite design. In addition, construction has commenced on two ViaSat-3 class satellites, the Company’s third-generation high-capacity Ka-band satellite design, pursuant to a limited authorization to proceed.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March 31, 2016 were $260.4 million and $136.4 million, respectively. The total cost and accumulated depreciation of CPE units included in property and equipment, net, as of April 3, 2015 were $250.3 million and $107.8 million, respectively.</w:t>
      </w:r>
    </w:p>
    <w:p>
      <w:pPr>
        <w:spacing w:after="0" w:line="12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authoritative guidance for business combinations also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March 31, 2016 and April 3, 2015. The Company capitalized costs of $15.4 million and $15.1 million related to acquiring and obtaining orbital slots and other licenses included in other assets as of March 31, 2016 and April 3, 2015, respectively. Accumulated amortization related to these assets was $1.7 million and $1.4 million as of March 31, 2016 and April 3, 2015, respectively. Amortization expense related to these assets was an insignificant amount for the fiscal years ended March 31, 2016, April 3, 2015 and April 4, 2014. If a patent, orbital slot or orbital license is rejected, abandoned or otherwise invalidated, the unamortized cost is expensed in that period. During fiscal years 2016, 2015 and 2014, the Company did not write off any significant costs due to abandonment or impairment.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fiscal year 2016, the Company capitalized an insignificant amount of debt issuance costs. During fiscal years 2015 and 2014, the Company capitalized $3.5 million and $2.5 million, respectively, of debt issuance costs. Unamortized debt issuance costs related to extinguished debt are expensed at the time the debt is extinguished and recorded in loss on extinguishment of debt in the consolidated statements of operations and comprehensive income (loss).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$163.1 million and $119.9 million related to software developed for resale were included in other assets as of March 31, 2016 and April 3, 2015, respectively. The Company capitalized $75.4 million and $52.4 million of costs related to software developed for resale for fiscal years ended March 31, 2016 and April 3, 2015, respectively. Amortization expense for software development costs was $32.2 million, $23.5 million and $11.1 million during fiscal years 2016, 2015 and 2014, respectively.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2016, 2015 and 2014.</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accounts for its goodwill under the authoritative guidance for goodwill and other intangible assets (ASC 350) and the provisions of Accounting Standards Update (ASU) 2011-08, Intangibles — Goodwill and Other (ASC 350): Testing Goodwill for Impairment, which simplifies how the Company tests goodwill for impairment. Current authoritative guidance allows the Company to first assess qualitative factors to determine whether it is necessary to perform the two-step quantitative goodwill impairment test. If, after completing the qualitative assessment, the Company determines that it is more likely than not that the estimated fair value is greater than the carrying value, the Company concludes that no impairment exists. If it is more likely than not that the carrying value of the reporting unit exceeds its estimated fair value, the Company compares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The Company tests goodwill for impairment during the fourth quarter every fiscal year and when an event occurs or circumstances change such that it is reasonably possible that an impairment may exist.</w:t>
      </w:r>
    </w:p>
    <w:p>
      <w:pPr>
        <w:spacing w:after="0" w:line="12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Based on the Company’s qualitative assessment performed during the fourth quarter of fiscal year 2016, the Company concluded that it was more likely than not that the estimated fair value of the Company’s reporting units exceeded their carrying value as of March 31, 2016, and therefore, determined it was not necessary to perform the two-step goodwill impairment test. No impairments were recorded by the Company related to goodwill and other intangible assets for fiscal years 2016, 2015 and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 estimates on its experience with the technology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involved and the types of failures that may occur. It is possible that the Company’s underlying assumptions will not reflect the actual experience and in that case, future adjustments will be made to the recorded warranty obligation (see Note 13).</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carrying amounts of the Company’s financial instruments, including cash equivalents, receivables, accounts payable and accrued liabilities, approximate their fair values due to their short-term maturities. The estimated fair value of the Company’s long-term borrowings and other long-term interest bearing liabilities is determined by using available market information for those securities or similar financial instruments (see Note 3).</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$3.8 million and $3.9 million as of March 31, 2016 and April 3, 2015,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31, 2016 and April 3, 2015, no such amounts were accrued related to the aforementioned provisions.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and April 3, 2015, the Company had no shares of common stock held in treasury.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fiscal years 2016, 2015 and 2014, the Company issued 703,043, 647,006 and 654,020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263,137, 236,446 and 242,965 shares of common stock at cost with a total value of $16.4 million, $14.8 million and $15.6 million during fiscal years 2016, 2015 and 2014, respectively. The shares of common stock repurchased during fiscal year 2016 and the fourth quarter of fiscal year 2015 were immediately retired.</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fiscal year 2015, the Company retired 1,427,018 shares of treasury stock with a total value of $64.1 million. These retired shares remain as authorized stock; however they are now considered to be unissued. This treasury stock retirement resulted in a decrease in common stock held in treasury and in paid-in capital of $64.1 million in the Company’s consolidated balance sheet. The retirement of treasury stock had no impact on the Company’s total consolidated stockholders’ equity.</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third quarter of fiscal year 2015, the Board of Directors of the Company approved the retirement of all shares of treasury stock and, with respect to the future issuance of shares of common stock upon vesting of restricted stock units, approved the immediate retirement of shares withheld for employee withholding taxes. Although shares withheld for employee withholding taxes are technically not issued, they are treated as common stock repurchases for accounting purposes, as they reduce the number of shares that otherwise would have been issued upon vesting of the restricted stock units.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fiscal years 2016, 2015 and 2014, the Company settled certain foreign exchange contracts and in connection therewith for each year recognized an insignificant gain or loss recorded in cost of revenues based on the nature of the underlying transactions. The fair value of the Company’s foreign currency forward contracts was an insignificant amount recorded as an other current asset as of March 31, 2016. The notional value of foreign currency forward contracts outstanding as of March 31, 2016 was $5.0 million. The Company had no foreign currency forward contracts outstanding as of April 3, 2015.</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March 31, 2016 the estimated net amount of unrealized gains or losses related to foreign currency forward contracts that was expected to be reclassified to earnings within the next twelve months was insignificant. The Company’s foreign currency forward contracts outstanding as of March 31, 2016 will mature within approximately twelve to thirty-six months from their inception. There were no gains or losses from ineffectiveness of these derivative instruments recorded for fiscal years 2016, 2015 and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(loss) within ViaSat, Inc. stockholders’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fiscal years 2016, 2015 and 2014, the Company recorded losses of approximately $5.1 million, $0.6 million and $3.3 million, respectively, related to loss contracts.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consolidated financial statements.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As of March 31, 2016,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2016 and April 3, 2015, the Company had $2.5 million and $4.3 million, respectively, in contract-related reserves for its estimate of potential refunds to customers for potential cost adjustments on several multi-year U.S. government cost reimbursable contracts (see Note 12).</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(SG&amp;A) expenses. Advertising expenses for fiscal years 2016, 2015 and 2014 were $12.2 million, $17.0 million and $18.9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consolidated statements of operations and comprehensive income (loss) for fiscal years 2016, 2015 and 2014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Rent expense, deferred rent obligations and deferred lease incentives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leases all of its facilities under operating leases. Some of these lease agreements contain tenant improvement allowances funded by landlord incentives, rent holidays and rent escalation clauses. The authoritative guidance for leases (ASC 840) requires rent expense to be recognized on a straight-line basis over the lease term. The difference between the rent due under the stated periods of the lease compared to that of the straight-line basis is recorded as deferred rent within other long-term liabilities in the consolidated balance sheets.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purposes of recognizing landlord incentives and minimum rental expenses on a straight-line basis over the terms of the leases, the Company uses the date that it obtains the legal right to use and control the leased space to begin recording rent expense, which is generally when the Company enters the space and begins to make improvements in preparation of occupying new space. For tenant improvement allowances funded by landlord incentives and rent holidays, the Company records a deferred lease incentive liability in accrued and other long-term liabilities on the consolidated balance sheets and amortizes the deferred liability as a reduction to rent expense on the consolidated statements of operations and comprehensive income (loss) over the term of the lease.</w:t>
      </w:r>
    </w:p>
    <w:p>
      <w:pPr>
        <w:spacing w:after="0" w:line="116"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Certain lease agreements contain rent escalation clauses which provide for scheduled rent increases during the lease term or for rental payments commencing at a date other than the date of initial occupancy. Such increasing rent expense is recorded in the consolidated statements of operations and comprehensive income (loss) on a straight-line basis over the lease term.</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March 31, 2016 and April 3, 2015, deferred rent included in other long-term liabilities in the Company’s consolidated balance sheets was $8.8 million and $8.3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40"/>
          </w:cols>
          <w:pgMar w:left="240" w:top="459" w:right="3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and restricted stock units awarded under the Company’s equity compensation plan which are included in the earnings per share calculations using the treasury stock method, common shares expected to be issued under the Company’s employee stock purchase plan, and shares potentially issuable under the ViaSat 401(k) Profit Sharing Plan in connection with the Company’s decision to pay a discretionary match in common stock or cash. The weighted average number of shares used to calculate basic and diluted net income (loss) per share attributable to ViaSat, Inc. common stockholders is the same for the fiscal year ended April 4, 2014, as the Company incurred a net loss for fiscal year 2014 and inclusion of potential common stock would be antidilutive.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Company’s reporting segments, namely its satellite services, commercial networks and government systems segments, are primarily distinguished by the type of customer and the related contractual requirements. The Company’s satellite services segment provides satellite-based broadband services to customers, enterprises, commercial airlines and mobile broadband customers primarily in the United States. The Company’s commercial networks segment develops and offers advanced end-to-end satellite and wireless communication systems, ground networking equipment and space-to-earth connectivity systems, some of which are ultimately used by the Company’s satellite services segment. The Company’s government systems segment develops and offers network-centric, Internet Protocol (IP)-based fixed and mobile secure government communications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 (see Note 14).</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April 2014, the FASB issued ASU 2014-08, Presentation of Financial Statements and Property, Plant, and Equipment: Reporting Discontinued Operations and Disclosures of Disposals of Components of an Entity.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discontinued operations reporting. This guidance became effective for the Company beginning in the first quarter of fiscal year 2016 and the guidance did not have a material impact on the Company’s consolidated financial statements and disclosures.</w:t>
      </w:r>
    </w:p>
    <w:p>
      <w:pPr>
        <w:spacing w:after="0" w:line="13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 periods within that reporting period, based on the FASB decision in July 2015 (ASU 2015-14, Revenue from Contract with Customers — Deferral of the Effective Date) to delay the effective date of the new revenue recognition standard by one year, but providing entities a choice to adopt the standard as of the original effective date. In March 2016, the FASB issued ASU 2016-08, Principal vs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These standards permit the use of either the retrospective or cumulative effect transition method. The Company has not selected a transition method and is currently evaluating the impact these standards will have on its consolidated financial statements and disclosures.</w:t>
      </w:r>
    </w:p>
    <w:p>
      <w:pPr>
        <w:spacing w:after="0" w:line="12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February 2015, the FASB issued ASU 2015-02, Consolidation (ASC 810): Amendments to the Consolidation Analysis. ASU 2015-02 amended the process that a reporting entity must perform to determine whether it should consolidate certain types of legal entities. This guidance will become effective for the Company in fiscal year 2017, with early adoption permitted. The adoption of this standard is not expected to have a material impact on the Company’s consolidated financial statements and disclosures.</w:t>
      </w:r>
    </w:p>
    <w:p>
      <w:pPr>
        <w:spacing w:after="0" w:line="143"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In April 2015, the FASB issued ASU 2015-03, Interest — Imputation of Interest (ASC 835-30): Simplifying the Presentation of Debt Issuance Costs. ASU 2015-03 requires that debt issuance costs related to a recognized debt liability be presented in the balance sheet as a direct deduction from the carrying amount of that debt liability, consistent with debt discounts. In August 2015, the FASB issued ASU 2015-15, Interest — Imputation of Interest (Subtopic 835-30):</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Presentation and Subsequent Measurement of Debt Issuance Costs Associated with Line-of-Credit Arrangements. ASU 2015-15 provides additional guidance to ASU 2015-03, which did not address presentation or subsequent measurement of debt issuance costs related to line-of-credit arrangements. ASU 2015-15 noted that staff of the Securities and Exchange Commission (the SEC)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This new guidance will be effective for the Company in fiscal year 2017, with early adoption permitted. The new guidance shall be applied on a retrospective basis, wherein the balance sheet of each individual period presented should be adjusted to reflect the period-specific effects of applying the new guidance. The adoption of this standard is not expected to have a material impact on the Company’s consolidated financial statements and disclosures.</w:t>
      </w:r>
    </w:p>
    <w:p>
      <w:pPr>
        <w:spacing w:after="0" w:line="12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April 2015, the FASB issued ASU 2015-05, Intangibles — Goodwill and Other — Internal-Use Software (Subtopic 350-40): Customer’s Accounting for Fees Paid in a Cloud Computing Arrangement. ASU 2015-05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arrangement does not include a software license, the customer should account for the arrangement as a service contract. The new guidance does not change the accounting for a customer’s accounting for service contracts. ASU 2015-05 is effective for the Company in fiscal year 2017 with early adoption permitted using either of two methods: (i) prospectively to all arrangements entered into or materially modified after the effective date and represent a change in accounting principle; or (ii) retrospectively. The Company is currently evaluating the impact of this standard on its consolidated financial statements and disclosures.</w:t>
      </w:r>
    </w:p>
    <w:p>
      <w:pPr>
        <w:spacing w:after="0" w:line="9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should be applied prospectively and will become effective for the Company in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ASU 2015-16 requires that an acquirer recognize adjustments to provisional amounts that are identified during the measurement period in the reporting period in which the adjustment amounts are determined. Under current GAAP, the acquirer is required to retrospectively apply adjustments made to provisional amounts recognized in a business combination. The new standard should be applied prospectively and will become effective for the Company in fiscal year 2017, with early adoption permitted. The adoption of this standard is not expected to have a material impact on the Company’s consolidated financial statements and disclosures.</w:t>
      </w:r>
    </w:p>
    <w:p>
      <w:pPr>
        <w:spacing w:after="0" w:line="14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November 2015, the FASB issued ASU 2015-17, Balance Sheet Classification of Deferred Income Taxes (ASU 2015-17), which requires entities to classify deferred tax liabilities and assets as non-current in a classified balance sheet. The new guidance can be applied either prospectively to all deferred tax liabilities and assets or retrospectively to all periods presented. ASU 2015-17 will become effective for the Company in fiscal year 2018, with early adoption permitted. The Company early adopted this standard retrospectively and reclassified all of its current deferred tax assets to non-current deferred tax assets on its consolidated balance sheets for all periods presented.</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(Subtopic 825-10). ASU 2016-01 requires that most equity investments (except those accounted for under the equity method for accounting or those that result in consolidation of the investee) be measured at fair value, with subsequent changes in fair value recognized in net income. The new guidance also impacts financial liabilities under the fair value option and the presentation and disclosure requirements for financial instruments. The new guidance should be applied by means of a cumulative-effect adjustment to the balance sheet as of the beginning of the fiscal year of adoption. ASU 2016-01 will become effective for the Company in fiscal year 2019, with early adoption permitted with certain stipulations. The Company is currently evaluating the impact of this standard on its consolidated financial statements and disclosures.</w:t>
      </w:r>
    </w:p>
    <w:p>
      <w:pPr>
        <w:spacing w:after="0" w:line="14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guidance will become effective for the Company beginning in the first quarter of fiscal year 2020, with early adoption permitted. ASU 2016-02 will be adopted on a modified retrospective transition basis for leases existing at, or entered into after, the beginning of the earliest comparative period presented in the financial statements. The Company is currently evaluating the impact of this standard on its consolidated financial statements and disclosures.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520" w:firstLine="456"/>
        <w:spacing w:after="0" w:line="256" w:lineRule="auto"/>
        <w:rPr>
          <w:sz w:val="20"/>
          <w:szCs w:val="20"/>
          <w:color w:val="auto"/>
        </w:rPr>
      </w:pPr>
      <w:r>
        <w:rPr>
          <w:rFonts w:ascii="Arial" w:cs="Arial" w:eastAsia="Arial" w:hAnsi="Arial"/>
          <w:sz w:val="18"/>
          <w:szCs w:val="18"/>
          <w:color w:val="auto"/>
        </w:rPr>
        <w:t>In March 2016, the FASB issued ASU 2016-05, Derivatives and Hedging (Topic 815). ASU 2016-05 clarifies that a change in the counterparty to a derivative instrument, in and of itself, does not require dedesignation of a hedging relationship. The new guidance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March 2016, the FASB issued ASU 2016-06, Derivatives and Hedging (Topic 815). ASU 2016-06 clarifies the requirements for assessing whether contingent put or call option in a debt instrument qualifies as a separate derivative. The new guidance is required to be applied on a modified retrospective basis to all existing and future debt instruments of the fiscal year for which the amendments are effective. ASU 2016-06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March 2016, the FASB issued ASU 2016-07, Investment — Equity Method and Joint Ventures (Topic 323). ASU 2016-07 eliminates the requirement to apply the equity method of accounting retrospectively when a reporting entity obtains significant influence over a previously held investment. ASU 2016-07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In March 2016, the FASB issued ASU 2016-09, Compensation — Stock Compensation (Topic 718). ASU 2016-09 simplifies various aspects related to how share-based payments are accounted for and presented in the financial statements. The new guidance we become effective for the Company beginning in fiscal year 2018, with early adoption permitted. The Company is currently evaluating the impact of this standard on its consolidated financial statements and disclosures.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97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April 3,</w:t>
            </w:r>
          </w:p>
        </w:tc>
        <w:tc>
          <w:tcPr>
            <w:tcW w:w="0" w:type="dxa"/>
            <w:vAlign w:val="bottom"/>
          </w:tcPr>
          <w:p>
            <w:pPr>
              <w:spacing w:after="0"/>
              <w:rPr>
                <w:sz w:val="1"/>
                <w:szCs w:val="1"/>
                <w:color w:val="auto"/>
              </w:rPr>
            </w:pPr>
          </w:p>
        </w:tc>
      </w:tr>
      <w:tr>
        <w:trPr>
          <w:trHeight w:val="161"/>
        </w:trPr>
        <w:tc>
          <w:tcPr>
            <w:tcW w:w="9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5"/>
          </w:tcPr>
          <w:p>
            <w:pPr>
              <w:jc w:val="right"/>
              <w:ind w:right="3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Billed</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146,309</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120,345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Unbilled</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141,568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147,049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Allowance for doubtful accounts</w:t>
            </w: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286,724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266,339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Inventories: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Raw materials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46,757</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Work in process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27,200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22,957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Finished goods</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71,204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62,694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145,161</w:t>
            </w:r>
          </w:p>
        </w:tc>
        <w:tc>
          <w:tcPr>
            <w:tcW w:w="24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128,367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Prepaid expenses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43,562</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5,799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49,361</w:t>
            </w:r>
          </w:p>
        </w:tc>
        <w:tc>
          <w:tcPr>
            <w:tcW w:w="24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44,702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Satellites,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Satellite — WildBlue-1 (estimated useful life of 10 years)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195,890</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195,890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 lease of satellite capacity — Anik F2 (estimated useful life of 10 years)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99,090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Satellite — ViaSat-1 (estimated useful life of 17 years)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363,204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363,204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Satellites under construction</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515,696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328,857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1,173,880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987,041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(275,683)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(224,820)</w:t>
            </w:r>
          </w:p>
        </w:tc>
        <w:tc>
          <w:tcPr>
            <w:tcW w:w="0" w:type="dxa"/>
            <w:vAlign w:val="bottom"/>
          </w:tcPr>
          <w:p>
            <w:pPr>
              <w:spacing w:after="0"/>
              <w:rPr>
                <w:sz w:val="1"/>
                <w:szCs w:val="1"/>
                <w:color w:val="auto"/>
              </w:rPr>
            </w:pPr>
          </w:p>
        </w:tc>
      </w:tr>
      <w:tr>
        <w:trPr>
          <w:trHeight w:val="156"/>
        </w:trPr>
        <w:tc>
          <w:tcPr>
            <w:tcW w:w="97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898,197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762,221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Equipment and software (estimated useful life of 2-7 years)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568,663</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511,717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CPE leased equipment (estimated useful life of 4-5 years)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260,409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250,281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Furniture and fixtures (estimated useful life of 7 years)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25,501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20,395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Leasehold improvements (estimated useful life of 2-17 years)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71,895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Building (estimated useful life of 24 years)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8,923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Land</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41,960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Construction in progress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73,535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1,050,886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878,550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Less accumulated depreciation</w:t>
            </w: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(563,976)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(460,528)</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486,910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418,022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134,721</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132,864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Capitalized software costs, net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163,061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119,936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Patents, orbital slots and other licenses,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32,079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57,183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346,761</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326,883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Accrued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Collections in excess of revenues and deferred revenues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64,624</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Accrued employee compensation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35,056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27,953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Accrued vacation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28,646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Warranty reserve, current portion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7,867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9,235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Current portion of other long-term debt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47,877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44,491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184,344</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191,326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Other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revenue, long-term portion</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5,470</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Deferred rent, long-term portion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8,808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8,307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Warranty reserve, long-term portion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440"/>
              <w:spacing w:after="0" w:line="149" w:lineRule="exact"/>
              <w:rPr>
                <w:sz w:val="20"/>
                <w:szCs w:val="20"/>
                <w:color w:val="auto"/>
              </w:rPr>
            </w:pPr>
            <w:r>
              <w:rPr>
                <w:rFonts w:ascii="Arial" w:cs="Arial" w:eastAsia="Arial" w:hAnsi="Arial"/>
                <w:sz w:val="14"/>
                <w:szCs w:val="14"/>
                <w:color w:val="auto"/>
              </w:rPr>
              <w:t>Satellite performance incentives obligation, long-term portion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19,514</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20,121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37,371</w:t>
            </w:r>
          </w:p>
        </w:tc>
        <w:tc>
          <w:tcPr>
            <w:tcW w:w="24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39,995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measured at fair value on a recurring basis as of March 31, 2016 and April 3,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Fair Value as of</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32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Level 2</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202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2,003</w:t>
            </w: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$2,003</w:t>
            </w:r>
          </w:p>
        </w:tc>
        <w:tc>
          <w:tcPr>
            <w:tcW w:w="108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196</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2,199</w:t>
            </w: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2,003</w:t>
            </w:r>
          </w:p>
        </w:tc>
        <w:tc>
          <w:tcPr>
            <w:tcW w:w="1080" w:type="dxa"/>
            <w:vAlign w:val="bottom"/>
            <w:gridSpan w:val="3"/>
          </w:tcPr>
          <w:p>
            <w:pPr>
              <w:ind w:left="100"/>
              <w:spacing w:after="0"/>
              <w:rPr>
                <w:sz w:val="20"/>
                <w:szCs w:val="20"/>
                <w:color w:val="auto"/>
              </w:rPr>
            </w:pPr>
            <w:r>
              <w:rPr>
                <w:rFonts w:ascii="Arial" w:cs="Arial" w:eastAsia="Arial" w:hAnsi="Arial"/>
                <w:sz w:val="18"/>
                <w:szCs w:val="18"/>
                <w:color w:val="auto"/>
              </w:rPr>
              <w:t>$ 196</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Fair Value as of</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April 3, 2015</w:t>
            </w:r>
          </w:p>
        </w:tc>
        <w:tc>
          <w:tcPr>
            <w:tcW w:w="32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Level 2</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17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2,033</w:t>
            </w: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2,033</w:t>
            </w:r>
          </w:p>
        </w:tc>
        <w:tc>
          <w:tcPr>
            <w:tcW w:w="108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2,033</w:t>
            </w:r>
          </w:p>
        </w:tc>
        <w:tc>
          <w:tcPr>
            <w:tcW w:w="13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2,033</w:t>
            </w: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borrowings under its revolving credit facility (the Revolving Credit Facility) and its direct</w:t>
      </w:r>
      <w:r>
        <w:rPr>
          <w:rFonts w:ascii="Arial" w:cs="Arial" w:eastAsia="Arial" w:hAnsi="Arial"/>
          <w:sz w:val="16"/>
          <w:szCs w:val="16"/>
          <w:i w:val="1"/>
          <w:iCs w:val="1"/>
          <w:color w:val="auto"/>
        </w:rPr>
        <w:t xml:space="preserve"> </w:t>
      </w:r>
      <w:r>
        <w:rPr>
          <w:rFonts w:ascii="Arial" w:cs="Arial" w:eastAsia="Arial" w:hAnsi="Arial"/>
          <w:sz w:val="16"/>
          <w:szCs w:val="16"/>
          <w:color w:val="auto"/>
        </w:rPr>
        <w:t>loan facility with the Export-Import Bank of the United States for ViaSat-2 (the Ex-Im Credit Facility and, together with the Revolving Credit Facility, the Credit Facilities), as well as $575.0 million in aggregate principal amount of the Company’s 6.875% Senior Notes due 2020 (2020 Notes). Long-term debt related to the Revolving Credit Facility is reported at the outstanding principal amount of borrowings, while long-term debt related to the Ex-Im Credit Facility and 2020 Notes is reported at amortized cost. However, for disclosure purposes, the Company is required to measure the fair value of outstanding debt on a recurring basis. As of March 31, 2016 and April 3, 2015, the fair value of the Company’s outstanding long-term debt related to the 2020 Notes was determined using quoted prices in active markets (Level 1) and was $597.3 million and $610.9 million, respectively. The fair value of the Company’s long-term debt related to the Revolving Credit Facility approximates its carrying amount due to its variable interest rate, which approximates a market interest rate. As of March 31, 2016, the fair value of the Company’s long-term debt related to the Ex-Im Credit Facility was determined based on a discounted cash flow analysis using observable market interest rates for instruments with similar terms (Level 2) and was approximately $219.9 million.</w:t>
      </w:r>
    </w:p>
    <w:p>
      <w:pPr>
        <w:spacing w:after="0" w:line="12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Satellite performance incentives obligation </w:t>
      </w:r>
      <w:r>
        <w:rPr>
          <w:rFonts w:ascii="Arial" w:cs="Arial" w:eastAsia="Arial" w:hAnsi="Arial"/>
          <w:sz w:val="16"/>
          <w:szCs w:val="16"/>
          <w:color w:val="auto"/>
        </w:rPr>
        <w:t>— The Company’s contract with the manufacturer of ViaSat-1 requires the Company to make monthly in-orbit</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each of March 31, 2016 and April 3, 2015, the Company’s estimated satellite performance incentives obligation and accrued interest was $22.0 million and $22.4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Acquired Intangible Assets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fiscal year 2016, the $0.2 million decrease in the Company’s goodwill related to the effects of foreign currency translation recorded mainly within the Company’s government systems and commercial networks segments. During fiscal year 2015, the Company’s goodwill increased by $33.6 million, of which $34.6 million was related to the acquisition of NetNearU recorded within the Company’s government systems segment, partially offset by the effect of foreign currency translation recorded within the Company’s government systems and commercial networks segments.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fiscal year 2016, $7.7 million of the increase in the Company’s other acquired intangible assets related to the acquisition of Engreen recorded within the Company’s commercial networks segment. All other amounts recorded related to the acquisition of Engreen were not significant. During fiscal year 2015, $24.3 million of the increase in the Company’s other acquired intangible assets related to the acquisition of NetNearU recorded within the Company’s government systems segment. Other acquired intangible assets are amortized using the straight-line method over their estimated useful lives of two to ten years. Amortization expense related to other acquired intangible assets was $16.4 million, $18.0 million and $14.6 million for the fiscal years ended March 31, 2016, April 3, 2015 and April 4, 2014,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4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60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2021</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Thereafter</w:t>
            </w:r>
          </w:p>
        </w:tc>
        <w:tc>
          <w:tcPr>
            <w:tcW w:w="2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33,604</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other acquired intangible assets and the related accumulated amortization as of March 31, 2016 and April 3, 2015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As of March 31, 2016</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As of April 3, 2015</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book</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book</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Useful Life</w:t>
            </w:r>
          </w:p>
        </w:tc>
        <w:tc>
          <w:tcPr>
            <w:tcW w:w="8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Amortization</w:t>
            </w:r>
          </w:p>
        </w:tc>
        <w:tc>
          <w:tcPr>
            <w:tcW w:w="6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Amortization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5"/>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Technology</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74,848</w:t>
            </w:r>
          </w:p>
        </w:tc>
        <w:tc>
          <w:tcPr>
            <w:tcW w:w="5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(59,921)</w:t>
            </w:r>
          </w:p>
        </w:tc>
        <w:tc>
          <w:tcPr>
            <w:tcW w:w="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5"/>
              </w:rPr>
              <w:t>$ 14,927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67,403</w:t>
            </w:r>
          </w:p>
        </w:tc>
        <w:tc>
          <w:tcPr>
            <w:tcW w:w="44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(55,939)</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11,464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line="149" w:lineRule="exact"/>
              <w:rPr>
                <w:sz w:val="20"/>
                <w:szCs w:val="20"/>
                <w:color w:val="auto"/>
              </w:rPr>
            </w:pPr>
            <w:r>
              <w:rPr>
                <w:rFonts w:ascii="Arial" w:cs="Arial" w:eastAsia="Arial" w:hAnsi="Arial"/>
                <w:sz w:val="14"/>
                <w:szCs w:val="14"/>
                <w:color w:val="auto"/>
              </w:rPr>
              <w:t>Contracts and customer relationships</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99,499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(83,928)</w:t>
            </w: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15,571</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99,556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25,537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Satellite co-location rights</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(5,818)</w:t>
            </w:r>
          </w:p>
        </w:tc>
        <w:tc>
          <w:tcPr>
            <w:tcW w:w="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2,782</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line="149" w:lineRule="exact"/>
              <w:rPr>
                <w:sz w:val="20"/>
                <w:szCs w:val="20"/>
                <w:color w:val="auto"/>
              </w:rPr>
            </w:pPr>
            <w:r>
              <w:rPr>
                <w:rFonts w:ascii="Arial" w:cs="Arial" w:eastAsia="Arial" w:hAnsi="Arial"/>
                <w:sz w:val="14"/>
                <w:szCs w:val="14"/>
                <w:color w:val="auto"/>
              </w:rPr>
              <w:t>Trade name</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5,940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(5,918)</w:t>
            </w: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5,940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(8,415)</w:t>
            </w:r>
          </w:p>
        </w:tc>
        <w:tc>
          <w:tcPr>
            <w:tcW w:w="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8,722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rPr>
              <w:t>Total other acquired intangible assets</w:t>
            </w: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197,604</w:t>
            </w:r>
          </w:p>
        </w:tc>
        <w:tc>
          <w:tcPr>
            <w:tcW w:w="280" w:type="dxa"/>
            <w:vAlign w:val="bottom"/>
          </w:tcPr>
          <w:p>
            <w:pPr>
              <w:spacing w:after="0"/>
              <w:rPr>
                <w:sz w:val="13"/>
                <w:szCs w:val="13"/>
                <w:color w:val="auto"/>
              </w:rPr>
            </w:pPr>
          </w:p>
        </w:tc>
        <w:tc>
          <w:tcPr>
            <w:tcW w:w="220" w:type="dxa"/>
            <w:vAlign w:val="bottom"/>
          </w:tcPr>
          <w:p>
            <w:pPr>
              <w:jc w:val="right"/>
              <w:ind w:right="72"/>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(164,000)</w:t>
            </w:r>
          </w:p>
        </w:tc>
        <w:tc>
          <w:tcPr>
            <w:tcW w:w="820" w:type="dxa"/>
            <w:vAlign w:val="bottom"/>
            <w:gridSpan w:val="3"/>
          </w:tcPr>
          <w:p>
            <w:pPr>
              <w:jc w:val="right"/>
              <w:ind w:right="280"/>
              <w:spacing w:after="0" w:line="155" w:lineRule="exact"/>
              <w:rPr>
                <w:sz w:val="20"/>
                <w:szCs w:val="20"/>
                <w:color w:val="auto"/>
              </w:rPr>
            </w:pPr>
            <w:r>
              <w:rPr>
                <w:rFonts w:ascii="Arial" w:cs="Arial" w:eastAsia="Arial" w:hAnsi="Arial"/>
                <w:sz w:val="14"/>
                <w:szCs w:val="14"/>
                <w:color w:val="auto"/>
                <w:w w:val="95"/>
              </w:rPr>
              <w:t>$ 33,604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6"/>
              </w:rPr>
              <w:t>190,221</w:t>
            </w:r>
          </w:p>
        </w:tc>
        <w:tc>
          <w:tcPr>
            <w:tcW w:w="440" w:type="dxa"/>
            <w:vAlign w:val="bottom"/>
            <w:gridSpan w:val="2"/>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(147,881)</w:t>
            </w: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42,340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March 31, 2016 and April 3,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April 3,</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80" w:type="dxa"/>
            <w:vAlign w:val="bottom"/>
            <w:gridSpan w:val="2"/>
          </w:tcPr>
          <w:p>
            <w:pPr>
              <w:jc w:val="center"/>
              <w:ind w:left="1794"/>
              <w:spacing w:after="0"/>
              <w:rPr>
                <w:sz w:val="20"/>
                <w:szCs w:val="20"/>
                <w:color w:val="auto"/>
              </w:rPr>
            </w:pPr>
            <w:r>
              <w:rPr>
                <w:rFonts w:ascii="Arial" w:cs="Arial" w:eastAsia="Arial" w:hAnsi="Arial"/>
                <w:sz w:val="14"/>
                <w:szCs w:val="14"/>
                <w:b w:val="1"/>
                <w:bCs w:val="1"/>
                <w:color w:val="auto"/>
                <w:w w:val="83"/>
              </w:rPr>
              <w:t>2016</w:t>
            </w:r>
          </w:p>
        </w:tc>
        <w:tc>
          <w:tcPr>
            <w:tcW w:w="260" w:type="dxa"/>
            <w:vAlign w:val="bottom"/>
          </w:tcPr>
          <w:p>
            <w:pPr>
              <w:spacing w:after="0"/>
              <w:rPr>
                <w:sz w:val="14"/>
                <w:szCs w:val="14"/>
                <w:color w:val="auto"/>
              </w:rPr>
            </w:pPr>
          </w:p>
        </w:tc>
        <w:tc>
          <w:tcPr>
            <w:tcW w:w="90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Borders>
              <w:top w:val="single" w:sz="8" w:color="auto"/>
            </w:tcBorders>
            <w:gridSpan w:val="4"/>
          </w:tcPr>
          <w:p>
            <w:pPr>
              <w:jc w:val="right"/>
              <w:ind w:right="418"/>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2020 Notes</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$575,000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$575,000</w:t>
            </w:r>
          </w:p>
        </w:tc>
      </w:tr>
      <w:tr>
        <w:trPr>
          <w:trHeight w:val="216"/>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premium on the 2020 Notes</w:t>
            </w:r>
          </w:p>
        </w:tc>
        <w:tc>
          <w:tcPr>
            <w:tcW w:w="19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Total senior notes, net of premium</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581,374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582,657</w:t>
            </w:r>
          </w:p>
        </w:tc>
      </w:tr>
      <w:tr>
        <w:trPr>
          <w:trHeight w:val="217"/>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19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Total senior notes long-term, net</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581,374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582,657</w:t>
            </w:r>
          </w:p>
        </w:tc>
      </w:tr>
      <w:tr>
        <w:trPr>
          <w:trHeight w:val="110"/>
        </w:trPr>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180,000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Ex-Im Credit Facility (1)</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218,157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20,476</w:t>
            </w:r>
          </w:p>
        </w:tc>
      </w:tr>
      <w:tr>
        <w:trPr>
          <w:trHeight w:val="216"/>
        </w:trPr>
        <w:tc>
          <w:tcPr>
            <w:tcW w:w="9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Unamortized discount on the Ex-Im Credit Facility (1)</w:t>
            </w:r>
          </w:p>
        </w:tc>
        <w:tc>
          <w:tcPr>
            <w:tcW w:w="2840" w:type="dxa"/>
            <w:vAlign w:val="bottom"/>
            <w:gridSpan w:val="3"/>
          </w:tcPr>
          <w:p>
            <w:pPr>
              <w:jc w:val="right"/>
              <w:ind w:right="200"/>
              <w:spacing w:after="0"/>
              <w:rPr>
                <w:sz w:val="20"/>
                <w:szCs w:val="20"/>
                <w:color w:val="auto"/>
              </w:rPr>
            </w:pPr>
            <w:r>
              <w:rPr>
                <w:rFonts w:ascii="Arial" w:cs="Arial" w:eastAsia="Arial" w:hAnsi="Arial"/>
                <w:sz w:val="18"/>
                <w:szCs w:val="18"/>
                <w:color w:val="auto"/>
              </w:rPr>
              <w:t>(25,757)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(7,302)</w:t>
            </w:r>
          </w:p>
        </w:tc>
      </w:tr>
      <w:tr>
        <w:trPr>
          <w:trHeight w:val="216"/>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372,962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223,996</w:t>
            </w:r>
          </w:p>
        </w:tc>
      </w:tr>
      <w:tr>
        <w:trPr>
          <w:trHeight w:val="217"/>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19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r>
      <w:tr>
        <w:trPr>
          <w:trHeight w:val="221"/>
        </w:trPr>
        <w:tc>
          <w:tcPr>
            <w:tcW w:w="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372,688</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223,736</w:t>
            </w:r>
          </w:p>
        </w:tc>
      </w:tr>
      <w:tr>
        <w:trPr>
          <w:trHeight w:val="110"/>
        </w:trPr>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954,336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806,653</w:t>
            </w:r>
          </w:p>
        </w:tc>
      </w:tr>
      <w:tr>
        <w:trPr>
          <w:trHeight w:val="223"/>
        </w:trPr>
        <w:tc>
          <w:tcPr>
            <w:tcW w:w="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9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954,062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806,393</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March 31, 2016, included in Ex-Im Credit Facility and in unamortized discount on the Ex-Im Credit Facility was $21.0 million and $18.7 million, respectively, relating to the exposure fees accrued as of such date expected to be financed under the Ex-Im Credit Facility.</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estimated aggregate amounts and timing of payments on the Company’s long-term debt obligations as of March 31, 2016 for the next five fiscal years and thereafter were as follows (excluding the effects of premium accretion on the 2020 Notes and discount accretion under the Ex-Im Credit Facility, and the amendment of the Revolving Credit Facility in May 2016, which, among other matters, extended the maturity date under the Revolving Credit Facility until May 2021 (or March 2020, if more than $200.0 million of the Company’s 2020 Notes are then outstanding and certain conditions are met)):</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For the Fiscal Years Ending</w:t>
            </w:r>
          </w:p>
        </w:tc>
        <w:tc>
          <w:tcPr>
            <w:tcW w:w="4560" w:type="dxa"/>
            <w:vAlign w:val="bottom"/>
            <w:gridSpan w:val="4"/>
            <w:vMerge w:val="restart"/>
          </w:tcPr>
          <w:p>
            <w:pPr>
              <w:ind w:left="360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500" w:type="dxa"/>
            <w:vAlign w:val="bottom"/>
          </w:tcPr>
          <w:p>
            <w:pPr>
              <w:spacing w:after="0"/>
              <w:rPr>
                <w:sz w:val="12"/>
                <w:szCs w:val="12"/>
                <w:color w:val="auto"/>
              </w:rPr>
            </w:pPr>
          </w:p>
        </w:tc>
        <w:tc>
          <w:tcPr>
            <w:tcW w:w="45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50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2018</w:t>
            </w:r>
          </w:p>
        </w:tc>
        <w:tc>
          <w:tcPr>
            <w:tcW w:w="1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5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2020</w:t>
            </w:r>
          </w:p>
        </w:tc>
        <w:tc>
          <w:tcPr>
            <w:tcW w:w="1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5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602,270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136,346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973,719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Plus: unamortized premium (discount)</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78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954,336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80" w:type="dxa"/>
            <w:vAlign w:val="bottom"/>
            <w:gridSpan w:val="2"/>
          </w:tcPr>
          <w:p>
            <w:pPr>
              <w:ind w:left="500"/>
              <w:spacing w:after="0"/>
              <w:rPr>
                <w:sz w:val="20"/>
                <w:szCs w:val="20"/>
                <w:color w:val="auto"/>
              </w:rPr>
            </w:pPr>
            <w:r>
              <w:rPr>
                <w:rFonts w:ascii="Arial" w:cs="Arial" w:eastAsia="Arial" w:hAnsi="Arial"/>
                <w:sz w:val="18"/>
                <w:szCs w:val="18"/>
                <w:color w:val="auto"/>
              </w:rPr>
              <w:t>F-24</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As of March 31, 2016, the Revolving Credit Facility provided a $500.0 million revolving line of credit (including up to $150.0 million of letters of credit), with a maturity date of November 26, 2018. On May 24, 2016, subsequent to fiscal year end, the Company amended its Revolving Credit Facility to, among other matters, increase the size of the revolving line of credit under the Revolving Credit Facility from $500.0 million to $800.0 million and extend the maturity date to May 2021 (or March 2020, if more than $200.0 million of the Company’s 2020 Notes are then outstanding and certain conditions are met).</w:t>
      </w:r>
    </w:p>
    <w:p>
      <w:pPr>
        <w:spacing w:after="0" w:line="113"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w:t>
      </w:r>
    </w:p>
    <w:p>
      <w:pPr>
        <w:ind w:right="80"/>
        <w:spacing w:after="0" w:line="292" w:lineRule="auto"/>
        <w:rPr>
          <w:sz w:val="20"/>
          <w:szCs w:val="20"/>
          <w:color w:val="auto"/>
        </w:rPr>
      </w:pPr>
      <w:r>
        <w:rPr>
          <w:rFonts w:ascii="Arial" w:cs="Arial" w:eastAsia="Arial" w:hAnsi="Arial"/>
          <w:sz w:val="16"/>
          <w:szCs w:val="16"/>
          <w:color w:val="auto"/>
        </w:rPr>
        <w:t>(2), an applicable margin that is based on the Company’s total leverage ratio. At March 31, 2016, the weighted average effective interest rate on the Company’s outstanding borrowings under the Revolving Credit Facility was 2.44%.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March 31, 2016, none of the Company’s subsidiaries guaranteed the Revolving Credit Facility.</w:t>
      </w:r>
    </w:p>
    <w:p>
      <w:pPr>
        <w:spacing w:after="0" w:line="11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was in compliance with its financial covenants under the Revolving Credit Facility as of March 31, 2016. At March 31, 2016, the Company had $180.0 million in principal amount of outstanding borrowings under the Revolving Credit Facility and $42.8 million outstanding under standby letters of credit, leaving borrowing availability under the Revolving Credit Facility as of March 31, 2016 of $277.2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March 31, 2016, the Ex-Im Credit Facility provided a $386.7 million senior secured direct loan facility, $343.1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$43.6 million (depending on the total amount of financing borrowed under the Ex-Im Credit Facility). The Ex-Im Credit Facility was amended on March 23, 2016 to, among other matters, reduce the total size of the Ex-Im Credit Facility from $524.9 million to $386.7 million to reflect revised estimates of ViaSat-2 project expenses, the fact that payments to the launch service provider for the ViaSat-2 satellite will no longer be financed under the Ex-Im Credit Facility and the associated reduction in completion exposure fees.</w:t>
      </w:r>
    </w:p>
    <w:p>
      <w:pPr>
        <w:spacing w:after="0" w:line="14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the initial borrowing under the Ex-Im Credit Facility, with the remaining exposure fees payable by the in-orbit acceptance date for ViaSat-2. Exposure fees under the Ex-Im Credit Facility are amortized using the effective interest rate method. The effective interest rate on the Company’s outstanding borrowings under the Ex-Im Credit Facility, which takes into account estimated timing and amount of borrowings, exposure fees, debt issuance costs and other fees, was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estimated to be between 4.1% and 4.9% as of March 31, 2016. The Ex-Im Credit Facility is guaranteed by ViaSat and is secured by first-priority liens on the ViaSat-2 satellite and related assets, as well as a pledge of the capital stock of the borrower under the facility.</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was in compliance with its financial covenants under the Ex-Im Credit Facility as of March 31, 2016. At March 31, 2016, the Company had $197.2 million in principal amount of outstanding borrowings under the Ex-Im Credit Facility and had accrued $21.0 million in completion exposure fees expected to be financed under the Ex-Im Credit Facility. As of March 31, 2016, the undrawn commitment under the Ex-Im Credit Facility was $168.5 million (excluding $21.0 million of accrued completion exposure fees), of which $151.9 million was available to finance ViaSat-2 related costs once incurred. The borrowings under the Ex-Im Credit Facility were issued with a discount of $28.1 million (comprising the initial $6.0 million exposure fee, the completion exposure fees accrued as of March 31, 2016 and other customary fees). The borrowings under the Ex-Im Credit Facility are recorded as long-term debt, net of discount, in the Company’s consolidated financial statements. The discount and deferred financing cost associated with the issuance of the borrowings under the Ex-Im Credit Facility is amortized to interest expense on an effective interest rate basis over the term of the borrowings under the Ex-Im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February 2012, the Company issued $275.0 million in principal amount of 2020 Notes in a private placement to institutional buyers, which were exchanged in August 2012 for substantially identical 2020 Notes that had been registered with the Securities and Exchange Commission (the SEC). These initial 2020 Notes were issued at face value and are recorded as long-term debt in the Company’s consolidated financial statements. In October 2012, the Company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the Company received in connection with the issuance of the additional 2020 Notes is recorded as long-term debt in the Company’s consolidated financial statements and is being amortized as a reduction to interest expense on an effective interest rate basis over the term of those 2020 Notes.</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2020 Notes are required to be guaranteed on an unsecured senior basis by each of the Company’s existing and future subsidiaries that guarantees the Revolving Credit Facility. As of March 31, 2016,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The Company may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w:t>
      </w:r>
    </w:p>
    <w:p>
      <w:pPr>
        <w:ind w:right="20" w:firstLine="8"/>
        <w:spacing w:after="0" w:line="290" w:lineRule="auto"/>
        <w:tabs>
          <w:tab w:leader="none" w:pos="210" w:val="left"/>
        </w:tabs>
        <w:numPr>
          <w:ilvl w:val="0"/>
          <w:numId w:val="38"/>
        </w:numPr>
        <w:rPr>
          <w:rFonts w:ascii="Arial" w:cs="Arial" w:eastAsia="Arial" w:hAnsi="Arial"/>
          <w:sz w:val="16"/>
          <w:szCs w:val="16"/>
          <w:color w:val="auto"/>
        </w:rPr>
      </w:pPr>
      <w:r>
        <w:rPr>
          <w:rFonts w:ascii="Arial" w:cs="Arial" w:eastAsia="Arial" w:hAnsi="Arial"/>
          <w:sz w:val="16"/>
          <w:szCs w:val="16"/>
          <w:color w:val="auto"/>
        </w:rPr>
        <w:t>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 and Stock Plans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February 2016, the Company filed a universal shelf registration statement with the SEC for the future sale of an unlimited amount of common stock, preferred stock, debt securities, depositary shares, warrants, and rights. The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2015 through various amendments of the Equity Participation Plan, the Company increased the maximum number of shares reserved for issuance under this plan to 25,200,000 shares. The Company believes that such awards better align the interests of its employees with those of its stockholders. Shares of the Company’s common stock granted under the Equity Participation Plan in the form of stock options or stock appreciation right are counted against the Equity Participation Plan share reserve on a one for one basis.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prior to September 22, 2010 and subsequent to September 19, 2012, and as 2.65 shares for each share of common stock during the period beginning on September 22, 2010 and ending on</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September 19, 2012. Restricted stock units are granted to eligible employees and directors and represent rights to receive shares of common stock at a future date.</w:t>
      </w:r>
    </w:p>
    <w:p>
      <w:pPr>
        <w:spacing w:after="0" w:line="2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In September 2015, the Company amended the Employee Stock Purchase Plan to increase the maximum number of shares reserved for issuance under this plan from 2,550,000 shares to 2,850,000 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stock-based compensation expense recognized in accordance with the authoritative guidance for share-based payments was as follows:</w:t>
      </w:r>
    </w:p>
    <w:p>
      <w:pPr>
        <w:spacing w:after="0" w:line="230"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0</wp:posOffset>
            </wp:positionV>
            <wp:extent cx="25126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ind w:left="6900"/>
        <w:spacing w:after="0"/>
        <w:tabs>
          <w:tab w:leader="none" w:pos="8560" w:val="left"/>
          <w:tab w:leader="none" w:pos="10080" w:val="left"/>
        </w:tabs>
        <w:rPr>
          <w:sz w:val="20"/>
          <w:szCs w:val="20"/>
          <w:color w:val="auto"/>
        </w:rPr>
      </w:pPr>
      <w:r>
        <w:rPr>
          <w:rFonts w:ascii="Arial" w:cs="Arial" w:eastAsia="Arial" w:hAnsi="Arial"/>
          <w:sz w:val="14"/>
          <w:szCs w:val="14"/>
          <w:b w:val="1"/>
          <w:bCs w:val="1"/>
          <w:color w:val="auto"/>
        </w:rPr>
        <w:t>March 31, 2016</w:t>
      </w:r>
      <w:r>
        <w:rPr>
          <w:sz w:val="20"/>
          <w:szCs w:val="20"/>
          <w:color w:val="auto"/>
        </w:rPr>
        <w:tab/>
      </w:r>
      <w:r>
        <w:rPr>
          <w:rFonts w:ascii="Arial" w:cs="Arial" w:eastAsia="Arial" w:hAnsi="Arial"/>
          <w:sz w:val="14"/>
          <w:szCs w:val="14"/>
          <w:b w:val="1"/>
          <w:bCs w:val="1"/>
          <w:color w:val="auto"/>
        </w:rPr>
        <w:t>April 3, 2015</w:t>
      </w:r>
      <w:r>
        <w:rPr>
          <w:sz w:val="20"/>
          <w:szCs w:val="20"/>
          <w:color w:val="auto"/>
        </w:rPr>
        <w:tab/>
      </w:r>
      <w:r>
        <w:rPr>
          <w:rFonts w:ascii="Arial" w:cs="Arial" w:eastAsia="Arial" w:hAnsi="Arial"/>
          <w:sz w:val="12"/>
          <w:szCs w:val="12"/>
          <w:b w:val="1"/>
          <w:bCs w:val="1"/>
          <w:color w:val="auto"/>
        </w:rPr>
        <w:t>April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-6985</wp:posOffset>
            </wp:positionV>
            <wp:extent cx="25126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ind w:left="846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before taxes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47,510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39,353</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Related income tax benefits</w:t>
            </w:r>
          </w:p>
        </w:tc>
        <w:tc>
          <w:tcPr>
            <w:tcW w:w="22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(18,089)</w:t>
            </w: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(14,889)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(12,685)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net of taxes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29,421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24,464</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For fiscal years 2016, 2015 and 2014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6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has no awards with market or performance conditions. The compensation cost that has been charged against income for the Equity Participation Plan under the authoritative guidance for share-based payments was $45.2 million, $37.2 million and $31.7 million, and for the Employee Stock Purchase Plan was $2.3 million, $2.1 million and $1.9 million, for the fiscal years ended March 31, 2016, April 3, 2015 and April 4, 2014, respectively. The Company capitalized $5.6 million, $2.5 million and $1.6 million of stock-based compensation expense as a part of the cost for software development for resale included in other assets and as a part of the equipment and software for the internal use included in property, equipment and satellites for fiscal years 2016, 2015 and 2014, respectively.</w:t>
      </w:r>
    </w:p>
    <w:p>
      <w:pPr>
        <w:spacing w:after="0" w:line="14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of March 31, 2016, total unrecognized compensation cost related to unvested stock-based compensation arrangements granted under the Equity Participation Plan (including stock options and restricted stock units) and the Employee Stock Purchase Plan was $130.1 million and $0.7 million, respectively. These costs are expected to be recognized over a weighted average period of 2.6 years and 2.8 years, for stock options and restricted stock units, respectively, under the Equity Participation Plan and less than six months for the Employee Stock Purchase Plan.</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Stock options and employee stock purchase plan. </w:t>
      </w:r>
      <w:r>
        <w:rPr>
          <w:rFonts w:ascii="Arial" w:cs="Arial" w:eastAsia="Arial" w:hAnsi="Arial"/>
          <w:sz w:val="18"/>
          <w:szCs w:val="18"/>
          <w:color w:val="auto"/>
        </w:rPr>
        <w:t>The Company’s employee stock options typically have a simple four-year vesting schedule and a six to</w:t>
      </w:r>
      <w:r>
        <w:rPr>
          <w:rFonts w:ascii="Arial" w:cs="Arial" w:eastAsia="Arial" w:hAnsi="Arial"/>
          <w:sz w:val="18"/>
          <w:szCs w:val="18"/>
          <w:i w:val="1"/>
          <w:iCs w:val="1"/>
          <w:color w:val="auto"/>
        </w:rPr>
        <w:t xml:space="preserve"> </w:t>
      </w:r>
      <w:r>
        <w:rPr>
          <w:rFonts w:ascii="Arial" w:cs="Arial" w:eastAsia="Arial" w:hAnsi="Arial"/>
          <w:sz w:val="18"/>
          <w:szCs w:val="18"/>
          <w:color w:val="auto"/>
        </w:rPr>
        <w:t>ten year contractual term. The weighted average estimated fair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value of employee stock options granted and employee stock purchase plan shares issued during fiscal year 2016 was $20.35 and $13.37 per share, respectively, during fiscal year 2015 was $22.22 and $14.18 per share, respectively, and during fiscal year 2014 was $23.03 and $16.32 per share, respectively, using the Black-Scholes model with the following weighted average assumptions (annualized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Employee Stock Options</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Employee Stock Purchase Plan</w:t>
            </w:r>
          </w:p>
        </w:tc>
      </w:tr>
      <w:tr>
        <w:trPr>
          <w:trHeight w:val="129"/>
        </w:trPr>
        <w:tc>
          <w:tcPr>
            <w:tcW w:w="506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352"/>
              <w:spacing w:after="0" w:line="129" w:lineRule="exact"/>
              <w:rPr>
                <w:sz w:val="20"/>
                <w:szCs w:val="20"/>
                <w:color w:val="auto"/>
              </w:rPr>
            </w:pPr>
            <w:r>
              <w:rPr>
                <w:rFonts w:ascii="Arial" w:cs="Arial" w:eastAsia="Arial" w:hAnsi="Arial"/>
                <w:sz w:val="14"/>
                <w:szCs w:val="14"/>
                <w:b w:val="1"/>
                <w:bCs w:val="1"/>
                <w:color w:val="auto"/>
                <w:w w:val="86"/>
              </w:rPr>
              <w:t>Fiscal Year</w:t>
            </w: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Fiscal Year</w:t>
            </w:r>
          </w:p>
        </w:tc>
        <w:tc>
          <w:tcPr>
            <w:tcW w:w="40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Fiscal Year</w:t>
            </w:r>
          </w:p>
        </w:tc>
        <w:tc>
          <w:tcPr>
            <w:tcW w:w="200" w:type="dxa"/>
            <w:vAlign w:val="bottom"/>
          </w:tcPr>
          <w:p>
            <w:pPr>
              <w:spacing w:after="0"/>
              <w:rPr>
                <w:sz w:val="11"/>
                <w:szCs w:val="11"/>
                <w:color w:val="auto"/>
              </w:rPr>
            </w:pPr>
          </w:p>
        </w:tc>
      </w:tr>
      <w:tr>
        <w:trPr>
          <w:trHeight w:val="161"/>
        </w:trPr>
        <w:tc>
          <w:tcPr>
            <w:tcW w:w="5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32.9%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tcPr>
          <w:p>
            <w:pPr>
              <w:jc w:val="right"/>
              <w:ind w:right="192"/>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Expected life</w:t>
            </w:r>
          </w:p>
        </w:tc>
        <w:tc>
          <w:tcPr>
            <w:tcW w:w="1100" w:type="dxa"/>
            <w:vAlign w:val="bottom"/>
            <w:gridSpan w:val="2"/>
          </w:tcPr>
          <w:p>
            <w:pPr>
              <w:jc w:val="center"/>
              <w:ind w:right="292"/>
              <w:spacing w:after="0"/>
              <w:rPr>
                <w:sz w:val="20"/>
                <w:szCs w:val="20"/>
                <w:color w:val="auto"/>
              </w:rPr>
            </w:pPr>
            <w:r>
              <w:rPr>
                <w:rFonts w:ascii="Arial" w:cs="Arial" w:eastAsia="Arial" w:hAnsi="Arial"/>
                <w:sz w:val="18"/>
                <w:szCs w:val="18"/>
                <w:color w:val="auto"/>
                <w:w w:val="83"/>
              </w:rPr>
              <w:t>5.5 years</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5.5 years</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5.5 years</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0.5 years</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0.5 years</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0.5 years</w:t>
            </w:r>
          </w:p>
        </w:tc>
      </w:tr>
    </w:tbl>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expected volatility is a measure of the amount by which its stock price is expected to fluctuate over the expected term of the stock-based award. The estimated volatilities for stock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 or life of employee stock options represents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employee stock option activity for fiscal year 2016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Weighted Average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2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3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per Share</w:t>
            </w: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Term in Years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April 3, 2015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1,827,143</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7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439,000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61.42</w:t>
            </w: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(432,706)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31.25</w:t>
            </w: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1,833,437</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7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2016</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47.84</w:t>
            </w:r>
          </w:p>
        </w:tc>
        <w:tc>
          <w:tcPr>
            <w:tcW w:w="780" w:type="dxa"/>
            <w:vAlign w:val="bottom"/>
          </w:tcPr>
          <w:p>
            <w:pPr>
              <w:spacing w:after="0" w:line="20" w:lineRule="exact"/>
              <w:rPr>
                <w:sz w:val="1"/>
                <w:szCs w:val="1"/>
                <w:color w:val="auto"/>
              </w:rPr>
            </w:pPr>
          </w:p>
        </w:tc>
        <w:tc>
          <w:tcPr>
            <w:tcW w:w="14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2.40</w:t>
            </w:r>
          </w:p>
        </w:tc>
        <w:tc>
          <w:tcPr>
            <w:tcW w:w="500" w:type="dxa"/>
            <w:vAlign w:val="bottom"/>
            <w:gridSpan w:val="2"/>
            <w:vMerge w:val="restart"/>
          </w:tcPr>
          <w:p>
            <w:pPr>
              <w:ind w:left="38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23,632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921,513</w:t>
            </w:r>
          </w:p>
        </w:tc>
        <w:tc>
          <w:tcPr>
            <w:tcW w:w="4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total intrinsic value of stock options exercised during fiscal years 2016, 2015 and 2014 was $14.5 million, $28.9 million and $25.9 million, respectively. All options issued under the Company’s stock option plans have an exercise price equal to the fair market value of the Company’s stock on the date of the grant.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represent a right to receive shares of common stock at a future date determined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Compensation cost for these awards is based on the fair value on the date of grant and recognized as compensation expense on a straight-line basis over the requisite service period. For fiscal years 2016, 2015 and 2014, the Company recognized $38.4 million, $31.4 million and $26.7 million, respectively, in stock-based compensation expense related to these restricted stock unit awards.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2016, 2015 and 2014 was $61.81, $65.20 and $61.52, respectively. A summary of restricted stock unit activity for fiscal year 2016 is presented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980" w:type="dxa"/>
            <w:vAlign w:val="bottom"/>
            <w:gridSpan w:val="3"/>
          </w:tcPr>
          <w:p>
            <w:pPr>
              <w:jc w:val="center"/>
              <w:ind w:left="817"/>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152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April 3, 2015</w:t>
            </w:r>
          </w:p>
        </w:tc>
        <w:tc>
          <w:tcPr>
            <w:tcW w:w="1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1,973,921</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Awarded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1,153,513</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2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(55,052)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Released</w:t>
            </w:r>
          </w:p>
        </w:tc>
        <w:tc>
          <w:tcPr>
            <w:tcW w:w="148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(703,043)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148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2,369,339</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Vested and deferred at March 31, 2016</w:t>
            </w:r>
          </w:p>
        </w:tc>
        <w:tc>
          <w:tcPr>
            <w:tcW w:w="1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vMerge w:val="restart"/>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gridSpan w:val="2"/>
            <w:vMerge w:val="continue"/>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132,670</w:t>
            </w:r>
          </w:p>
        </w:tc>
        <w:tc>
          <w:tcPr>
            <w:tcW w:w="5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total fair value of shares vested related to restricted stock units during the fiscal years 2016, 2015 and 2014 was $43.8 million, $30.6 million and $25.2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Shares Used In Computing Diluted Net Income (Loss)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Fiscal Years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89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300" w:type="dxa"/>
            <w:vAlign w:val="bottom"/>
          </w:tcPr>
          <w:p>
            <w:pPr>
              <w:spacing w:after="0"/>
              <w:rPr>
                <w:sz w:val="11"/>
                <w:szCs w:val="11"/>
                <w:color w:val="auto"/>
              </w:rPr>
            </w:pPr>
          </w:p>
        </w:tc>
        <w:tc>
          <w:tcPr>
            <w:tcW w:w="9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April 3,</w:t>
            </w: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April 4,</w:t>
            </w:r>
          </w:p>
        </w:tc>
        <w:tc>
          <w:tcPr>
            <w:tcW w:w="100" w:type="dxa"/>
            <w:vAlign w:val="bottom"/>
          </w:tcPr>
          <w:p>
            <w:pPr>
              <w:spacing w:after="0"/>
              <w:rPr>
                <w:sz w:val="11"/>
                <w:szCs w:val="11"/>
                <w:color w:val="auto"/>
              </w:rPr>
            </w:pPr>
          </w:p>
        </w:tc>
      </w:tr>
      <w:tr>
        <w:trPr>
          <w:trHeight w:val="161"/>
        </w:trPr>
        <w:tc>
          <w:tcPr>
            <w:tcW w:w="8900" w:type="dxa"/>
            <w:vAlign w:val="bottom"/>
          </w:tcPr>
          <w:p>
            <w:pPr>
              <w:spacing w:after="0"/>
              <w:rPr>
                <w:sz w:val="14"/>
                <w:szCs w:val="14"/>
                <w:color w:val="auto"/>
              </w:rPr>
            </w:pP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gridSpan w:val="2"/>
          </w:tcPr>
          <w:p>
            <w:pPr>
              <w:jc w:val="center"/>
              <w:ind w:left="240"/>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8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900" w:type="dxa"/>
            <w:vAlign w:val="bottom"/>
          </w:tcPr>
          <w:p>
            <w:pPr>
              <w:spacing w:after="0"/>
              <w:rPr>
                <w:sz w:val="20"/>
                <w:szCs w:val="20"/>
                <w:color w:val="auto"/>
              </w:rPr>
            </w:pPr>
            <w:r>
              <w:rPr>
                <w:rFonts w:ascii="Arial" w:cs="Arial" w:eastAsia="Arial" w:hAnsi="Arial"/>
                <w:sz w:val="18"/>
                <w:szCs w:val="18"/>
                <w:color w:val="auto"/>
                <w:w w:val="94"/>
              </w:rPr>
              <w:t>Common shares outstanding used in calculating basic net income (loss) per share attributable to ViaSat, Inc. common</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90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620" w:type="dxa"/>
            <w:vAlign w:val="bottom"/>
          </w:tcPr>
          <w:p>
            <w:pPr>
              <w:jc w:val="right"/>
              <w:spacing w:after="0"/>
              <w:rPr>
                <w:sz w:val="20"/>
                <w:szCs w:val="20"/>
                <w:color w:val="auto"/>
              </w:rPr>
            </w:pPr>
            <w:r>
              <w:rPr>
                <w:rFonts w:ascii="Arial" w:cs="Arial" w:eastAsia="Arial" w:hAnsi="Arial"/>
                <w:sz w:val="18"/>
                <w:szCs w:val="18"/>
                <w:color w:val="auto"/>
              </w:rPr>
              <w:t>48,464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47,139</w:t>
            </w:r>
          </w:p>
        </w:tc>
        <w:tc>
          <w:tcPr>
            <w:tcW w:w="3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45,744</w:t>
            </w: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 as determined by application of the treasury stock method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Restricted stock units to acquire common stock as determined by application of the treasury stock method</w:t>
            </w:r>
          </w:p>
        </w:tc>
        <w:tc>
          <w:tcPr>
            <w:tcW w:w="620" w:type="dxa"/>
            <w:vAlign w:val="bottom"/>
          </w:tcPr>
          <w:p>
            <w:pPr>
              <w:jc w:val="right"/>
              <w:spacing w:after="0"/>
              <w:rPr>
                <w:sz w:val="20"/>
                <w:szCs w:val="20"/>
                <w:color w:val="auto"/>
              </w:rPr>
            </w:pPr>
            <w:r>
              <w:rPr>
                <w:rFonts w:ascii="Arial" w:cs="Arial" w:eastAsia="Arial" w:hAnsi="Arial"/>
                <w:sz w:val="18"/>
                <w:szCs w:val="18"/>
                <w:color w:val="auto"/>
              </w:rPr>
              <w:t>533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0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2"/>
              </w:rPr>
              <w:t>Potentially issuable shares in connection with certain terms of the ViaSat 401(k) Profit Sharing Plan and Employee Stock</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Plan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Shares used in computing diluted net income (loss) per share attributable to</w:t>
            </w: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900" w:type="dxa"/>
            <w:vAlign w:val="bottom"/>
          </w:tcPr>
          <w:p>
            <w:pPr>
              <w:ind w:left="220"/>
              <w:spacing w:after="0"/>
              <w:rPr>
                <w:sz w:val="20"/>
                <w:szCs w:val="20"/>
                <w:color w:val="auto"/>
              </w:rPr>
            </w:pPr>
            <w:r>
              <w:rPr>
                <w:rFonts w:ascii="Arial" w:cs="Arial" w:eastAsia="Arial" w:hAnsi="Arial"/>
                <w:sz w:val="18"/>
                <w:szCs w:val="18"/>
                <w:color w:val="auto"/>
              </w:rPr>
              <w:t>ViaSat, Inc. common stockholders</w:t>
            </w:r>
          </w:p>
        </w:tc>
        <w:tc>
          <w:tcPr>
            <w:tcW w:w="620" w:type="dxa"/>
            <w:vAlign w:val="bottom"/>
          </w:tcPr>
          <w:p>
            <w:pPr>
              <w:jc w:val="right"/>
              <w:spacing w:after="0"/>
              <w:rPr>
                <w:sz w:val="20"/>
                <w:szCs w:val="20"/>
                <w:color w:val="auto"/>
              </w:rPr>
            </w:pPr>
            <w:r>
              <w:rPr>
                <w:rFonts w:ascii="Arial" w:cs="Arial" w:eastAsia="Arial" w:hAnsi="Arial"/>
                <w:sz w:val="18"/>
                <w:szCs w:val="18"/>
                <w:color w:val="auto"/>
              </w:rPr>
              <w:t>49,445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48,285</w:t>
            </w:r>
          </w:p>
        </w:tc>
        <w:tc>
          <w:tcPr>
            <w:tcW w:w="3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45,744</w:t>
            </w:r>
          </w:p>
        </w:tc>
      </w:tr>
      <w:tr>
        <w:trPr>
          <w:trHeight w:val="20"/>
        </w:trPr>
        <w:tc>
          <w:tcPr>
            <w:tcW w:w="8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Antidilutive shares relating to stock options excluded from the calculation comprised 810,231 and 451,038 shares for the fiscal years ended March 31, 2016 and April 3, 2015, respectively. Antidilutive shares relating to restricted stock units excluded from the calculation comprised 4,138 and 285,481 for the fiscal years ended March 31, 2016 and April 3, 2015, respectively.</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weighted average number of shares used to calculate basic and diluted net income (loss) per share attributable to ViaSat, Inc. common stockholders is the same for the fiscal year ended April 4, 2014, as the Company incurred a net loss attributable to ViaSat, Inc. common stockholders for the fiscal year ended April 4, 2014 and inclusion of potentially dilutive shares of common stock would be antidilutive. Potentially dilutive shares of common stock excluded from the calculation for the fiscal year ended April 4, 2014 were 920,113 shares relating to stock options, 618,113 shares relating to restricted stock units and 151,619 shares relating to certain terms of the ViaSat 401(k) Profit Sharing Plan and Employee Stock Purchase Plan.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(loss) before income taxes by jurisdiction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Fiscal Years Ended</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8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352"/>
              <w:spacing w:after="0" w:line="129" w:lineRule="exact"/>
              <w:rPr>
                <w:sz w:val="20"/>
                <w:szCs w:val="20"/>
                <w:color w:val="auto"/>
              </w:rPr>
            </w:pPr>
            <w:r>
              <w:rPr>
                <w:rFonts w:ascii="Arial" w:cs="Arial" w:eastAsia="Arial" w:hAnsi="Arial"/>
                <w:sz w:val="14"/>
                <w:szCs w:val="14"/>
                <w:b w:val="1"/>
                <w:bCs w:val="1"/>
                <w:color w:val="auto"/>
                <w:w w:val="92"/>
              </w:rPr>
              <w:t>April 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6"/>
              </w:rPr>
              <w:t>April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tcPr>
          <w:p>
            <w:pPr>
              <w:jc w:val="center"/>
              <w:ind w:right="9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$ 20,280</w:t>
            </w: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5"/>
            <w:shd w:val="clear" w:color="auto" w:fill="CCEEFF"/>
          </w:tcPr>
          <w:p>
            <w:pPr>
              <w:jc w:val="right"/>
              <w:ind w:right="372"/>
              <w:spacing w:after="0"/>
              <w:rPr>
                <w:sz w:val="20"/>
                <w:szCs w:val="20"/>
                <w:color w:val="auto"/>
              </w:rPr>
            </w:pPr>
            <w:r>
              <w:rPr>
                <w:rFonts w:ascii="Arial" w:cs="Arial" w:eastAsia="Arial" w:hAnsi="Arial"/>
                <w:sz w:val="18"/>
                <w:szCs w:val="18"/>
                <w:color w:val="auto"/>
              </w:rPr>
              <w:t>$58,185</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(31,850)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Foreign</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(2,683)</w:t>
            </w:r>
          </w:p>
        </w:tc>
        <w:tc>
          <w:tcPr>
            <w:tcW w:w="1380" w:type="dxa"/>
            <w:vAlign w:val="bottom"/>
            <w:gridSpan w:val="5"/>
          </w:tcPr>
          <w:p>
            <w:pPr>
              <w:jc w:val="right"/>
              <w:ind w:right="312"/>
              <w:spacing w:after="0"/>
              <w:rPr>
                <w:sz w:val="20"/>
                <w:szCs w:val="20"/>
                <w:color w:val="auto"/>
              </w:rPr>
            </w:pPr>
            <w:r>
              <w:rPr>
                <w:rFonts w:ascii="Arial" w:cs="Arial" w:eastAsia="Arial" w:hAnsi="Arial"/>
                <w:sz w:val="18"/>
                <w:szCs w:val="18"/>
                <w:color w:val="auto"/>
              </w:rPr>
              <w:t>(4,467)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5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$ 17,597</w:t>
            </w: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5"/>
            <w:shd w:val="clear" w:color="auto" w:fill="CCEEFF"/>
          </w:tcPr>
          <w:p>
            <w:pPr>
              <w:jc w:val="right"/>
              <w:ind w:right="3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53,718</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(34,604)</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The (benefit from) provision for income taxes includes the following:</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9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ind w:right="72"/>
              <w:spacing w:after="0"/>
              <w:rPr>
                <w:sz w:val="20"/>
                <w:szCs w:val="20"/>
                <w:color w:val="auto"/>
              </w:rPr>
            </w:pPr>
            <w:r>
              <w:rPr>
                <w:rFonts w:ascii="Arial" w:cs="Arial" w:eastAsia="Arial" w:hAnsi="Arial"/>
                <w:sz w:val="14"/>
                <w:szCs w:val="14"/>
                <w:b w:val="1"/>
                <w:bCs w:val="1"/>
                <w:color w:val="auto"/>
                <w:w w:val="85"/>
              </w:rPr>
              <w:t>Fiscal Years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8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March 31,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352"/>
              <w:spacing w:after="0" w:line="129" w:lineRule="exact"/>
              <w:rPr>
                <w:sz w:val="20"/>
                <w:szCs w:val="20"/>
                <w:color w:val="auto"/>
              </w:rPr>
            </w:pPr>
            <w:r>
              <w:rPr>
                <w:rFonts w:ascii="Arial" w:cs="Arial" w:eastAsia="Arial" w:hAnsi="Arial"/>
                <w:sz w:val="14"/>
                <w:szCs w:val="14"/>
                <w:b w:val="1"/>
                <w:bCs w:val="1"/>
                <w:color w:val="auto"/>
                <w:w w:val="92"/>
              </w:rPr>
              <w:t>April 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6"/>
              </w:rPr>
              <w:t>April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860" w:type="dxa"/>
            <w:vAlign w:val="bottom"/>
            <w:gridSpan w:val="3"/>
          </w:tcPr>
          <w:p>
            <w:pPr>
              <w:jc w:val="center"/>
              <w:ind w:left="356"/>
              <w:spacing w:after="0"/>
              <w:rPr>
                <w:sz w:val="20"/>
                <w:szCs w:val="20"/>
                <w:color w:val="auto"/>
              </w:rPr>
            </w:pPr>
            <w:r>
              <w:rPr>
                <w:rFonts w:ascii="Arial" w:cs="Arial" w:eastAsia="Arial" w:hAnsi="Arial"/>
                <w:sz w:val="14"/>
                <w:szCs w:val="14"/>
                <w:b w:val="1"/>
                <w:bCs w:val="1"/>
                <w:color w:val="auto"/>
                <w:w w:val="83"/>
              </w:rPr>
              <w:t>2015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center"/>
              <w:ind w:right="9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tax provision</w:t>
            </w: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Federal</w:t>
            </w:r>
          </w:p>
        </w:tc>
        <w:tc>
          <w:tcPr>
            <w:tcW w:w="580" w:type="dxa"/>
            <w:vAlign w:val="bottom"/>
          </w:tcPr>
          <w:p>
            <w:pPr>
              <w:jc w:val="right"/>
              <w:spacing w:after="0"/>
              <w:rPr>
                <w:sz w:val="20"/>
                <w:szCs w:val="20"/>
                <w:color w:val="auto"/>
              </w:rPr>
            </w:pPr>
            <w:r>
              <w:rPr>
                <w:rFonts w:ascii="Arial" w:cs="Arial" w:eastAsia="Arial" w:hAnsi="Arial"/>
                <w:sz w:val="18"/>
                <w:szCs w:val="18"/>
                <w:color w:val="auto"/>
              </w:rPr>
              <w:t>$   132</w:t>
            </w:r>
          </w:p>
        </w:tc>
        <w:tc>
          <w:tcPr>
            <w:tcW w:w="220" w:type="dxa"/>
            <w:vAlign w:val="bottom"/>
          </w:tcPr>
          <w:p>
            <w:pPr>
              <w:spacing w:after="0"/>
              <w:rPr>
                <w:sz w:val="18"/>
                <w:szCs w:val="18"/>
                <w:color w:val="auto"/>
              </w:rPr>
            </w:pPr>
          </w:p>
        </w:tc>
        <w:tc>
          <w:tcPr>
            <w:tcW w:w="1380" w:type="dxa"/>
            <w:vAlign w:val="bottom"/>
            <w:gridSpan w:val="5"/>
          </w:tcPr>
          <w:p>
            <w:pPr>
              <w:jc w:val="right"/>
              <w:ind w:right="312"/>
              <w:spacing w:after="0"/>
              <w:rPr>
                <w:sz w:val="20"/>
                <w:szCs w:val="20"/>
                <w:color w:val="auto"/>
              </w:rPr>
            </w:pPr>
            <w:r>
              <w:rPr>
                <w:rFonts w:ascii="Arial" w:cs="Arial" w:eastAsia="Arial" w:hAnsi="Arial"/>
                <w:sz w:val="18"/>
                <w:szCs w:val="18"/>
                <w:color w:val="auto"/>
              </w:rPr>
              <w:t>$  (216)</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5"/>
            <w:shd w:val="clear" w:color="auto" w:fill="CCEEFF"/>
          </w:tcPr>
          <w:p>
            <w:pPr>
              <w:jc w:val="right"/>
              <w:ind w:right="372"/>
              <w:spacing w:after="0"/>
              <w:rPr>
                <w:sz w:val="20"/>
                <w:szCs w:val="20"/>
                <w:color w:val="auto"/>
              </w:rPr>
            </w:pPr>
            <w:r>
              <w:rPr>
                <w:rFonts w:ascii="Arial" w:cs="Arial" w:eastAsia="Arial" w:hAnsi="Arial"/>
                <w:sz w:val="18"/>
                <w:szCs w:val="18"/>
                <w:color w:val="auto"/>
              </w:rPr>
              <w:t>1,507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Foreign</w:t>
            </w: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3"/>
          </w:tcPr>
          <w:p>
            <w:pPr>
              <w:jc w:val="right"/>
              <w:ind w:right="372"/>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2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1,406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Deferred tax (benefit) provision</w:t>
            </w: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5"/>
            <w:shd w:val="clear" w:color="auto" w:fill="CCEEFF"/>
          </w:tcPr>
          <w:p>
            <w:pPr>
              <w:jc w:val="right"/>
              <w:ind w:right="372"/>
              <w:spacing w:after="0"/>
              <w:rPr>
                <w:sz w:val="20"/>
                <w:szCs w:val="20"/>
                <w:color w:val="auto"/>
              </w:rPr>
            </w:pPr>
            <w:r>
              <w:rPr>
                <w:rFonts w:ascii="Arial" w:cs="Arial" w:eastAsia="Arial" w:hAnsi="Arial"/>
                <w:sz w:val="18"/>
                <w:szCs w:val="18"/>
                <w:color w:val="auto"/>
              </w:rPr>
              <w:t>14,546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State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(7,090)</w:t>
            </w:r>
          </w:p>
        </w:tc>
        <w:tc>
          <w:tcPr>
            <w:tcW w:w="1380" w:type="dxa"/>
            <w:vAlign w:val="bottom"/>
            <w:gridSpan w:val="5"/>
          </w:tcPr>
          <w:p>
            <w:pPr>
              <w:jc w:val="right"/>
              <w:ind w:right="312"/>
              <w:spacing w:after="0"/>
              <w:rPr>
                <w:sz w:val="20"/>
                <w:szCs w:val="20"/>
                <w:color w:val="auto"/>
              </w:rPr>
            </w:pPr>
            <w:r>
              <w:rPr>
                <w:rFonts w:ascii="Arial" w:cs="Arial" w:eastAsia="Arial" w:hAnsi="Arial"/>
                <w:sz w:val="18"/>
                <w:szCs w:val="18"/>
                <w:color w:val="auto"/>
              </w:rPr>
              <w:t>(1,477)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(16,032)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1380" w:type="dxa"/>
            <w:vAlign w:val="bottom"/>
            <w:gridSpan w:val="5"/>
            <w:shd w:val="clear" w:color="auto" w:fill="CCEEFF"/>
          </w:tcPr>
          <w:p>
            <w:pPr>
              <w:jc w:val="right"/>
              <w:ind w:right="312"/>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(4,996)</w:t>
            </w:r>
          </w:p>
        </w:tc>
        <w:tc>
          <w:tcPr>
            <w:tcW w:w="1380" w:type="dxa"/>
            <w:vAlign w:val="bottom"/>
            <w:gridSpan w:val="5"/>
          </w:tcPr>
          <w:p>
            <w:pPr>
              <w:jc w:val="right"/>
              <w:ind w:right="372"/>
              <w:spacing w:after="0"/>
              <w:rPr>
                <w:sz w:val="20"/>
                <w:szCs w:val="20"/>
                <w:color w:val="auto"/>
              </w:rPr>
            </w:pPr>
            <w:r>
              <w:rPr>
                <w:rFonts w:ascii="Arial" w:cs="Arial" w:eastAsia="Arial" w:hAnsi="Arial"/>
                <w:sz w:val="18"/>
                <w:szCs w:val="18"/>
                <w:color w:val="auto"/>
              </w:rPr>
              <w:t>12,421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(27,297)</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(benefit from) provision for income taxes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(4,173)</w:t>
            </w:r>
          </w:p>
        </w:tc>
        <w:tc>
          <w:tcPr>
            <w:tcW w:w="1380" w:type="dxa"/>
            <w:vAlign w:val="bottom"/>
            <w:gridSpan w:val="5"/>
            <w:shd w:val="clear" w:color="auto" w:fill="CCEEFF"/>
          </w:tcPr>
          <w:p>
            <w:pPr>
              <w:jc w:val="right"/>
              <w:ind w:right="3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13,827</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(25,947)</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Significant components of the Company’s net deferred tax assets are as follows: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9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As of</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4"/>
          </w:tcPr>
          <w:p>
            <w:pPr>
              <w:jc w:val="center"/>
              <w:ind w:right="452"/>
              <w:spacing w:after="0" w:line="129"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58"/>
              <w:spacing w:after="0" w:line="129"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14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5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Net operating loss carryforwards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$ 222,332</w:t>
            </w:r>
          </w:p>
        </w:tc>
        <w:tc>
          <w:tcPr>
            <w:tcW w:w="440" w:type="dxa"/>
            <w:vAlign w:val="bottom"/>
          </w:tcPr>
          <w:p>
            <w:pPr>
              <w:spacing w:after="0"/>
              <w:rPr>
                <w:sz w:val="18"/>
                <w:szCs w:val="18"/>
                <w:color w:val="auto"/>
              </w:rPr>
            </w:pP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w w:val="97"/>
              </w:rPr>
              <w:t>$ 223,642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Tax credit carryforwards</w:t>
            </w: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129,333</w:t>
            </w:r>
          </w:p>
        </w:tc>
        <w:tc>
          <w:tcPr>
            <w:tcW w:w="4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112,183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64,459</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72,807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(17,089)</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(15,550)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00" w:type="dxa"/>
            <w:vAlign w:val="bottom"/>
            <w:vMerge w:val="restart"/>
          </w:tcPr>
          <w:p>
            <w:pPr>
              <w:ind w:left="440"/>
              <w:spacing w:after="0"/>
              <w:rPr>
                <w:sz w:val="20"/>
                <w:szCs w:val="20"/>
                <w:color w:val="auto"/>
              </w:rPr>
            </w:pPr>
            <w:r>
              <w:rPr>
                <w:rFonts w:ascii="Arial" w:cs="Arial" w:eastAsia="Arial" w:hAnsi="Arial"/>
                <w:sz w:val="18"/>
                <w:szCs w:val="18"/>
                <w:color w:val="auto"/>
              </w:rPr>
              <w:t>Total deferred tax assets</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50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399,035</w:t>
            </w:r>
          </w:p>
        </w:tc>
        <w:tc>
          <w:tcPr>
            <w:tcW w:w="440" w:type="dxa"/>
            <w:vAlign w:val="bottom"/>
          </w:tcPr>
          <w:p>
            <w:pPr>
              <w:spacing w:after="0"/>
              <w:rPr>
                <w:sz w:val="19"/>
                <w:szCs w:val="19"/>
                <w:color w:val="auto"/>
              </w:rPr>
            </w:pP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393,082</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Intangible assets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(82,295)</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(66,340)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Property, equipment and satellites</w:t>
            </w: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(182,030)</w:t>
            </w:r>
          </w:p>
        </w:tc>
        <w:tc>
          <w:tcPr>
            <w:tcW w:w="4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(194,242)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00" w:type="dxa"/>
            <w:vAlign w:val="bottom"/>
            <w:vMerge w:val="restart"/>
          </w:tcPr>
          <w:p>
            <w:pPr>
              <w:ind w:left="440"/>
              <w:spacing w:after="0"/>
              <w:rPr>
                <w:sz w:val="20"/>
                <w:szCs w:val="20"/>
                <w:color w:val="auto"/>
              </w:rPr>
            </w:pPr>
            <w:r>
              <w:rPr>
                <w:rFonts w:ascii="Arial" w:cs="Arial" w:eastAsia="Arial" w:hAnsi="Arial"/>
                <w:sz w:val="18"/>
                <w:szCs w:val="18"/>
                <w:color w:val="auto"/>
              </w:rPr>
              <w:t>Total deferred tax liabilities</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50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(264,325)</w:t>
            </w:r>
          </w:p>
        </w:tc>
        <w:tc>
          <w:tcPr>
            <w:tcW w:w="440" w:type="dxa"/>
            <w:vAlign w:val="bottom"/>
          </w:tcPr>
          <w:p>
            <w:pPr>
              <w:spacing w:after="0"/>
              <w:rPr>
                <w:sz w:val="19"/>
                <w:szCs w:val="19"/>
                <w:color w:val="auto"/>
              </w:rPr>
            </w:pPr>
          </w:p>
        </w:tc>
        <w:tc>
          <w:tcPr>
            <w:tcW w:w="900" w:type="dxa"/>
            <w:vAlign w:val="bottom"/>
            <w:gridSpan w:val="5"/>
          </w:tcPr>
          <w:p>
            <w:pPr>
              <w:jc w:val="right"/>
              <w:ind w:right="40"/>
              <w:spacing w:after="0"/>
              <w:rPr>
                <w:sz w:val="20"/>
                <w:szCs w:val="20"/>
                <w:color w:val="auto"/>
              </w:rPr>
            </w:pPr>
            <w:r>
              <w:rPr>
                <w:rFonts w:ascii="Arial" w:cs="Arial" w:eastAsia="Arial" w:hAnsi="Arial"/>
                <w:sz w:val="18"/>
                <w:szCs w:val="18"/>
                <w:color w:val="auto"/>
              </w:rPr>
              <w:t>(260,582)</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$ 134,710</w:t>
            </w:r>
          </w:p>
        </w:tc>
        <w:tc>
          <w:tcPr>
            <w:tcW w:w="4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7"/>
              </w:rPr>
              <w:t>$ 132,500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00" w:type="dxa"/>
            <w:vAlign w:val="bottom"/>
            <w:vMerge w:val="restart"/>
          </w:tcPr>
          <w:p>
            <w:pPr>
              <w:ind w:left="4620"/>
              <w:spacing w:after="0"/>
              <w:rPr>
                <w:sz w:val="20"/>
                <w:szCs w:val="20"/>
                <w:color w:val="auto"/>
              </w:rPr>
            </w:pPr>
            <w:r>
              <w:rPr>
                <w:rFonts w:ascii="Arial" w:cs="Arial" w:eastAsia="Arial" w:hAnsi="Arial"/>
                <w:sz w:val="18"/>
                <w:szCs w:val="18"/>
                <w:color w:val="auto"/>
              </w:rPr>
              <w:t>F-31</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65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 reconciliation of the (benefit from) provision for income taxes to the amount computed by applying the statutory federal income tax rate to income before income taxes is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5"/>
              </w:rPr>
              <w:t>Fiscal Years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400" w:type="dxa"/>
            <w:vAlign w:val="bottom"/>
          </w:tcPr>
          <w:p>
            <w:pPr>
              <w:spacing w:after="0"/>
              <w:rPr>
                <w:sz w:val="11"/>
                <w:szCs w:val="11"/>
                <w:color w:val="auto"/>
              </w:rPr>
            </w:pPr>
          </w:p>
        </w:tc>
        <w:tc>
          <w:tcPr>
            <w:tcW w:w="84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2"/>
              </w:rPr>
              <w:t>March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92"/>
              </w:rPr>
              <w:t>April 3,</w:t>
            </w:r>
          </w:p>
        </w:tc>
        <w:tc>
          <w:tcPr>
            <w:tcW w:w="66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April 4,</w:t>
            </w:r>
          </w:p>
        </w:tc>
        <w:tc>
          <w:tcPr>
            <w:tcW w:w="100" w:type="dxa"/>
            <w:vAlign w:val="bottom"/>
          </w:tcPr>
          <w:p>
            <w:pPr>
              <w:spacing w:after="0"/>
              <w:rPr>
                <w:sz w:val="11"/>
                <w:szCs w:val="11"/>
                <w:color w:val="auto"/>
              </w:rPr>
            </w:pPr>
          </w:p>
        </w:tc>
      </w:tr>
      <w:tr>
        <w:trPr>
          <w:trHeight w:val="161"/>
        </w:trPr>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2015</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 at federal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18,808</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(12,132)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State tax provision, net of federal benefit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4,014</w:t>
            </w:r>
          </w:p>
        </w:tc>
        <w:tc>
          <w:tcPr>
            <w:tcW w:w="5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(3,555)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credits, net of valuation allowance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(16,016)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(14,055)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1,966</w:t>
            </w:r>
          </w:p>
        </w:tc>
        <w:tc>
          <w:tcPr>
            <w:tcW w:w="5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1,337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meals and entertainment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478</w:t>
            </w:r>
          </w:p>
        </w:tc>
        <w:tc>
          <w:tcPr>
            <w:tcW w:w="5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effective tax rate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Foreign effective tax rate differential, net of valuation allowance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898</w:t>
            </w:r>
          </w:p>
        </w:tc>
        <w:tc>
          <w:tcPr>
            <w:tcW w:w="5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5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Total (benefit from) provision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(4,173)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13,827</w:t>
            </w:r>
          </w:p>
        </w:tc>
        <w:tc>
          <w:tcPr>
            <w:tcW w:w="5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(25,947)</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March 31, 2016, the Company had federal and state research credit carryforwards of $96.7 million and $104.0 million, respectively, which begin to expire in fiscal year 2026 and fiscal year 2018, respectively. As of March 31, 2016, the Company had alternative minimum tax (AMT) and foreign tax credit (FTC) carryforwards of $0.4 million and $1.2 million, respectively. The AMT credit does not expire and the FTC begins to expire in fiscal year 2021. As of March 31, 2016, the Company had federal and state net operating loss carryforwards of $708.6 million and $585.5 million, respectively, which begin to expire in fiscal year 2020 and fiscal year 2016, respectively.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recognizes excess tax benefits associated with share-based compensation to stockholders’ equity only when realized. When assessing whether excess tax benefits relating to share-based compensation have been realized, the Company follows the with-and-without approach excluding any indirect effects of the excess tax deductions. Under this approach, excess tax benefits related to share-based compensation are not deemed to be realized until after the utilization of all other tax benefits available to the Company. During fiscal year 2016, the Company did not realize any excess tax benefits. As of March 31, 2016, the Company had $52.9 million of unrealized excess tax benefits associated with share-based compensation. These tax benefits will be accounted for as a credit to additional paid-in capital if and when realized, rather than a reduction of the provision for income taxes.</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accordance with the authoritative guidance for income taxes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A valuation allowance of $17.1 million at March 31, 2016 and $15.6 million at April 3, 2015 has been established relating to state net operating loss carryforwards and research credit carryforwards that, based on management’s estimate of future taxable income attributable to certain states and generation of additional research credits, are considered more likely than not to expire unused.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740" w:type="dxa"/>
            <w:vAlign w:val="bottom"/>
          </w:tcPr>
          <w:p>
            <w:pPr>
              <w:spacing w:after="0"/>
              <w:rPr>
                <w:sz w:val="11"/>
                <w:szCs w:val="11"/>
                <w:color w:val="auto"/>
              </w:rPr>
            </w:pPr>
          </w:p>
        </w:tc>
        <w:tc>
          <w:tcPr>
            <w:tcW w:w="8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9"/>
              </w:rPr>
              <w:t>March 31,</w:t>
            </w:r>
          </w:p>
        </w:tc>
        <w:tc>
          <w:tcPr>
            <w:tcW w:w="280" w:type="dxa"/>
            <w:vAlign w:val="bottom"/>
          </w:tcPr>
          <w:p>
            <w:pPr>
              <w:spacing w:after="0"/>
              <w:rPr>
                <w:sz w:val="11"/>
                <w:szCs w:val="11"/>
                <w:color w:val="auto"/>
              </w:rPr>
            </w:pPr>
          </w:p>
        </w:tc>
        <w:tc>
          <w:tcPr>
            <w:tcW w:w="9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April 3,</w:t>
            </w:r>
          </w:p>
        </w:tc>
        <w:tc>
          <w:tcPr>
            <w:tcW w:w="180" w:type="dxa"/>
            <w:vAlign w:val="bottom"/>
          </w:tcPr>
          <w:p>
            <w:pPr>
              <w:spacing w:after="0"/>
              <w:rPr>
                <w:sz w:val="11"/>
                <w:szCs w:val="11"/>
                <w:color w:val="auto"/>
              </w:rPr>
            </w:pPr>
          </w:p>
        </w:tc>
        <w:tc>
          <w:tcPr>
            <w:tcW w:w="58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April 4,</w:t>
            </w:r>
          </w:p>
        </w:tc>
        <w:tc>
          <w:tcPr>
            <w:tcW w:w="100" w:type="dxa"/>
            <w:vAlign w:val="bottom"/>
          </w:tcPr>
          <w:p>
            <w:pPr>
              <w:spacing w:after="0"/>
              <w:rPr>
                <w:sz w:val="11"/>
                <w:szCs w:val="11"/>
                <w:color w:val="auto"/>
              </w:rPr>
            </w:pPr>
          </w:p>
        </w:tc>
      </w:tr>
      <w:tr>
        <w:trPr>
          <w:trHeight w:val="161"/>
        </w:trPr>
        <w:tc>
          <w:tcPr>
            <w:tcW w:w="6740" w:type="dxa"/>
            <w:vAlign w:val="bottom"/>
          </w:tcPr>
          <w:p>
            <w:pPr>
              <w:spacing w:after="0"/>
              <w:rPr>
                <w:sz w:val="14"/>
                <w:szCs w:val="14"/>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220"/>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fiscal year</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$ 41,769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$37,395</w:t>
            </w:r>
          </w:p>
        </w:tc>
        <w:tc>
          <w:tcPr>
            <w:tcW w:w="3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$34,491</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(Decrease) increase related to prior year tax positions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(249)</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positions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3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4,459</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Statute expirations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(1,306)</w:t>
            </w:r>
          </w:p>
        </w:tc>
      </w:tr>
      <w:tr>
        <w:trPr>
          <w:trHeight w:val="27"/>
        </w:trPr>
        <w:tc>
          <w:tcPr>
            <w:tcW w:w="6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fiscal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$ 45,080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41,769</w:t>
            </w:r>
          </w:p>
        </w:tc>
        <w:tc>
          <w:tcPr>
            <w:tcW w:w="3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37,395</w:t>
            </w:r>
          </w:p>
        </w:tc>
      </w:tr>
      <w:tr>
        <w:trPr>
          <w:trHeight w:val="20"/>
        </w:trPr>
        <w:tc>
          <w:tcPr>
            <w:tcW w:w="6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Of the total unrecognized tax benefits at March 31, 2016, $36.8 million would reduce the Company’s annual effective tax rate if recognized, subject to valuation allowance consideration.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next twelve months it is reasonably possible that the amount of unrecognized tax benefits will not change significantly.</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subject to periodic audits by domestic and foreign tax authorities. By statute, the Company’s U.S. federal income tax returns are subject to examination by the Internal Revenue Service (“IRS”) for fiscal years 2013 through 2015. Additionally, tax credit carryovers that were generated in prior years and utilized in these years may also be subject to examination by the IRS. With few exceptions, fiscal years 2012 to 2015 remain open to examination by state and foreign taxing jurisdictions. The Company believes that it has appropriate support for the income tax positions taken on its tax returns and its accruals for tax liabilities are adequate for all open years based on an assessment of many factors, including past experience and interpretations. The Company’s policy is to recognize interest expense and penalties related to income tax matters as a component of income tax expense. There were no accrued interest or penalties associated with uncertain tax positions as of March 31, 2016 and April 3,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Acquisitions and Strategic Partnering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Eutelsat equity strategic partnering arrangements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February 2016, the Company entered into a framework and subscription agreement (the Framework Agreement) with Eutelsat, pursuant to which the Company has agreed to enter into a strategic partnering arrangement with Eutelsat to own and operate satellite broadband infrastructure and equipment and provide satellite-based broadband internet services in the European region. The arrangement will consist of two entities coordinating efforts to expand the European broadband market: an entity to be owned 51% by Eutelsat and 49% by the Company following the closing will own and operate Eutelsat’s KA-SAT satellite and related assets and offer wholesale satellite capacity services in the European region; and an entity to be owned 51% by the Company and 49% by Eutelsat following the closing will purchase wholesale satellite capacity services and offer retail satellite-based broadband internet services in the European region. At the closing under the Framework Agreement, Eutelsat will contribute and transfer assets relating to Eutelsat’s existing wholesale satellite broadband business (including its KA-SAT satellite) to a newly formed subsidiary of Eutelsat in exchange for the issuance of new shares in such subsidiary, and following such contribution and issuance, the Company will purchase 49% of the issued shares of Eutelsat’s subsidiary from Eutelsat for €132.5 million and, similarly, Eutelsat will purchase 49% of the issued shares of a second newly formed subsidiary of the Company for an immaterial amount. Also at the closing, the Company and Eutelsat will enter into shareholders’ agreements and other ancillary agreements with respect to the ownership, management and operation of the two entities.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closing of the transactions under the Framework Agreement is subject to customary conditions, including the receipt of required regulatory approvals and third-party consents. The Company currently anticipates that the closing will occur in the second quarter of fiscal year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NetNearU acquisition</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June 6, 2014, the Company completed the acquisition of all outstanding shares of NetNearU. The purchase price for NetNearU was $60.2 million in cash consideration. The net cash outlay for the acquisition, after taking into account cash acquired of $4.1 million, was $56.1 million.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accounts for business combinations pursuant to the authoritative guidance for business combinations (ASC 805). Accordingly,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Merger-related transaction costs incurred by the Company during the first quarter of fiscal year 2015 were approximately $0.4 million, which were recorded in SG&amp;A expenses.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price allocation of the acquired assets and assumed liabilities based on the estimated fair values as of June 6, 2014 is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300" w:type="dxa"/>
            <w:vAlign w:val="bottom"/>
            <w:gridSpan w:val="4"/>
          </w:tcPr>
          <w:p>
            <w:pPr>
              <w:ind w:left="234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6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assumed</w:t>
            </w:r>
          </w:p>
        </w:tc>
        <w:tc>
          <w:tcPr>
            <w:tcW w:w="2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56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assigned to identifiable intangible assets are amortized on a straight-line basis over their estimated useful lives and are as follows: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8"/>
              </w:rPr>
              <w:t>Fair value</w:t>
            </w:r>
          </w:p>
        </w:tc>
        <w:tc>
          <w:tcPr>
            <w:tcW w:w="18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average life</w:t>
            </w:r>
          </w:p>
        </w:tc>
      </w:t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560" w:type="dxa"/>
            <w:vAlign w:val="bottom"/>
            <w:gridSpan w:val="3"/>
          </w:tcPr>
          <w:p>
            <w:pPr>
              <w:ind w:left="2720"/>
              <w:spacing w:after="0"/>
              <w:rPr>
                <w:sz w:val="20"/>
                <w:szCs w:val="20"/>
                <w:color w:val="auto"/>
              </w:rPr>
            </w:pPr>
            <w:r>
              <w:rPr>
                <w:rFonts w:ascii="Arial" w:cs="Arial" w:eastAsia="Arial" w:hAnsi="Arial"/>
                <w:sz w:val="14"/>
                <w:szCs w:val="14"/>
                <w:b w:val="1"/>
                <w:bCs w:val="1"/>
                <w:color w:val="auto"/>
                <w:w w:val="84"/>
              </w:rPr>
              <w:t>(In thousands)</w:t>
            </w:r>
          </w:p>
        </w:tc>
        <w:tc>
          <w:tcPr>
            <w:tcW w:w="10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 years)</w:t>
            </w: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w:t>
            </w:r>
          </w:p>
        </w:tc>
        <w:tc>
          <w:tcPr>
            <w:tcW w:w="2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10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10,950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Trade name</w:t>
            </w: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282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20" w:type="dxa"/>
            <w:vAlign w:val="bottom"/>
            <w:gridSpan w:val="2"/>
          </w:tcPr>
          <w:p>
            <w:pPr>
              <w:ind w:left="880"/>
              <w:spacing w:after="0"/>
              <w:rPr>
                <w:sz w:val="20"/>
                <w:szCs w:val="20"/>
                <w:color w:val="auto"/>
              </w:rPr>
            </w:pPr>
            <w:r>
              <w:rPr>
                <w:rFonts w:ascii="Arial" w:cs="Arial" w:eastAsia="Arial" w:hAnsi="Arial"/>
                <w:sz w:val="18"/>
                <w:szCs w:val="18"/>
                <w:color w:val="auto"/>
              </w:rPr>
              <w:t>F-34</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intangible assets acquired in the NetNearU business combination were determined, in accordance with the authoritative guidance for business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combinations, based on the estimated fair values using valuation techniques consistent with the market approach and/or income approach to measure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remaining useful lives were estimated based on the underlying agreements and/or the future economic benefit expected to be received from the assets.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NetNearU has developed a comprehensive network management system for Wi-Fi and other internet access networks that the Company has used to extend the Company’s Exede</w:t>
      </w:r>
      <w:r>
        <w:rPr>
          <w:rFonts w:ascii="Arial" w:cs="Arial" w:eastAsia="Arial" w:hAnsi="Arial"/>
          <w:sz w:val="10"/>
          <w:szCs w:val="10"/>
          <w:color w:val="auto"/>
        </w:rPr>
        <w:t>®</w:t>
      </w:r>
      <w:r>
        <w:rPr>
          <w:rFonts w:ascii="Arial" w:cs="Arial" w:eastAsia="Arial" w:hAnsi="Arial"/>
          <w:sz w:val="16"/>
          <w:szCs w:val="16"/>
          <w:color w:val="auto"/>
        </w:rPr>
        <w:t xml:space="preserve"> broadband services to a wider subscriber base in multiple markets, including commercial airlines, live events, hospitality, enterprise networking and government broadband projects. NetNearU’s primary operations currently support government applications with the potential for future expansion into commercial applications. These current benefits and additional opportunities were among the factors that were taken into account in setting the purchase price and contributed to the recognition of preliminary estimated goodwill, which was recorded within the Company’s government systems segment. The intangible assets and goodwill recognized are not deductible for federal income tax purposes.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consolidated financial statements include the operating results of NetNearU from the date of acquisition. Pro forma results of operations have not been presented because the effect of the acquisition was insignificant to the financial statements for all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a sponsor of a voluntary deferred compensation plan under Section 401(k) of the Internal Revenue Code. Under the plan, the Company may make discretionary contributions to the plan which vest over six years. The Company’s discretionary matching contributions to the plan are based on the amount of employee contributions and can be made in cash or the Company’s common stock at the Company’s election. Subsequent to the 2016 fiscal year end, the Company elected to settle the discretionary contributions liability in shares of the Company’s common stock, consistent with fiscal year 2015. Based on the closing price of the Company’s common stock at the 2016 fiscal year end, the Company would issue 184,889 shares of common stock at this time. Discretionary contributions accrued by the Company as of March 31, 2016 and April 3, 2015 amounted to $13.6 million and $11.6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fourth quarter of fiscal year 2016, construction also commenced on two ViaSat-3 class satellites, the Company’s third-generation high-capacity Ka-band satellite design, pursuant to a limited authorization to proceed entered into with the satellite manufacturer under which the Company’s payment obligations are limited to $56.5 million in the aggregate.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the satellite construction arrangements described above, the Company also enters into various other satellite-related purchase commitments, including with respect to the provision of launch services, operation of our satellites and satellite insurance. As of March 31, 2016, future minimum payments under the ViaSat-2 satellite construction contract, the ViaSat-3 limited authorization to proceed and other satellite-related purchase commitments for the next five fiscal years and thereafter were as follows: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0"/>
              </w:rPr>
              <w:t>Fiscal Years Ending</w:t>
            </w:r>
          </w:p>
        </w:tc>
        <w:tc>
          <w:tcPr>
            <w:tcW w:w="6540" w:type="dxa"/>
            <w:vAlign w:val="bottom"/>
            <w:gridSpan w:val="4"/>
          </w:tcPr>
          <w:p>
            <w:pPr>
              <w:ind w:left="5600"/>
              <w:spacing w:after="0"/>
              <w:rPr>
                <w:sz w:val="20"/>
                <w:szCs w:val="20"/>
                <w:color w:val="auto"/>
              </w:rPr>
            </w:pPr>
            <w:r>
              <w:rPr>
                <w:rFonts w:ascii="Arial" w:cs="Arial" w:eastAsia="Arial" w:hAnsi="Arial"/>
                <w:sz w:val="14"/>
                <w:szCs w:val="14"/>
                <w:b w:val="1"/>
                <w:bCs w:val="1"/>
                <w:color w:val="auto"/>
                <w:w w:val="95"/>
              </w:rPr>
              <w:t>(In thousands)</w:t>
            </w:r>
          </w:p>
        </w:tc>
      </w:tr>
      <w:tr>
        <w:trPr>
          <w:trHeight w:val="210"/>
        </w:trPr>
        <w:tc>
          <w:tcPr>
            <w:tcW w:w="2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578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175,935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2018</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36,056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2020</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Thereafter</w:t>
            </w:r>
          </w:p>
        </w:tc>
        <w:tc>
          <w:tcPr>
            <w:tcW w:w="5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331,183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January 2008, the Company entered into several agreements with Space Systems/Loral, Inc. (SS/L), its former parent company Loral Space &amp; Communications, Inc. (Loral) and Telesat Canada related to the Company’s ViaSat-1 satellite, which was placed into service in January 2012. The Company’s contract with SS/L requires monthly in-orbit satellite performance incentive payments, including interest, over a fifteen-year period from December 2011 until December 2026, subject to the continued satisfactory performance of the satellite. The Company recorded the net present value of these expected future payments as a liability and as a component of the cost of the satellite during the third quarter of fiscal year 2012. As of March 31, 2016, the Company’s estimated satellite performance incentives obligation and accrued interest was approximately $22.0 million, of which $2.5 million and $19.5 million have been classified current in accrued liabilities and non-current in other liabilities, respectively. Under the satellite construction contract with SS/L, the Company may incur up to $32.0 million in total costs for satellite performance incentives obligation and related interest earned over the fifteen-year period with potential future minimum payments of $2.1 million, $2.3 million, $2.4 million, $2.6 million and $2.8 million in fiscal years 2017, 2018, 2019, 2020 and 2021, respectively, with $19.8 million commitments thereafter.</w:t>
      </w:r>
    </w:p>
    <w:p>
      <w:pPr>
        <w:spacing w:after="0" w:line="12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of approximately $44.8 million, $15.4 million, $11.7 million, $9.5 million, $3.7 million and none in fiscal years 2017, 2018, 2019, 2020, 2021 and thereafter, respectively.</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leases office and other facilities under non-cancelable operating leases with initial terms ranging from one to fifteen years which expire between fiscal year 2017 and fiscal year 2027 and provide for pre-negotiated fixed rental rates during the terms of the lease. Certain of the Company’s facilities leases contain option provisions which allow for extension of the lease terms.</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For operating leases, minimum lease payments, including minimum scheduled rent increases, are recognized as rent expense on a straight-line basis over the lease term as that term is defined in the authoritative guidance for leases including any option periods considered in the lease term and any periods during which the Company has use of the property but is not charged rent by a landlord (“rent holiday”). Leasehold improvement incentives paid to the Company by a landlord are recorded as a liability and amortized as a reduction of rent expense over the lease term. Total rent expense was $27.7 million, $24.5 million and $22.3 million in fiscal years 2016, 2015 and 2014, respectively.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future minimum lease payments for the next five fiscal years and thereafter were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0"/>
              </w:rPr>
              <w:t>Fiscal Years Ending</w:t>
            </w:r>
          </w:p>
        </w:tc>
        <w:tc>
          <w:tcPr>
            <w:tcW w:w="6540" w:type="dxa"/>
            <w:vAlign w:val="bottom"/>
            <w:gridSpan w:val="4"/>
          </w:tcPr>
          <w:p>
            <w:pPr>
              <w:ind w:left="5600"/>
              <w:spacing w:after="0"/>
              <w:rPr>
                <w:sz w:val="20"/>
                <w:szCs w:val="20"/>
                <w:color w:val="auto"/>
              </w:rPr>
            </w:pPr>
            <w:r>
              <w:rPr>
                <w:rFonts w:ascii="Arial" w:cs="Arial" w:eastAsia="Arial" w:hAnsi="Arial"/>
                <w:sz w:val="14"/>
                <w:szCs w:val="14"/>
                <w:b w:val="1"/>
                <w:bCs w:val="1"/>
                <w:color w:val="auto"/>
                <w:w w:val="95"/>
              </w:rPr>
              <w:t>(In thousands)</w:t>
            </w:r>
          </w:p>
        </w:tc>
      </w:tr>
      <w:tr>
        <w:trPr>
          <w:trHeight w:val="210"/>
        </w:trPr>
        <w:tc>
          <w:tcPr>
            <w:tcW w:w="2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578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2018</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2020</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Thereafter</w:t>
            </w:r>
          </w:p>
        </w:tc>
        <w:tc>
          <w:tcPr>
            <w:tcW w:w="5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205,691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380"/>
        <w:spacing w:after="0" w:line="347" w:lineRule="auto"/>
        <w:rPr>
          <w:sz w:val="20"/>
          <w:szCs w:val="20"/>
          <w:color w:val="auto"/>
        </w:rPr>
      </w:pPr>
      <w:r>
        <w:rPr>
          <w:rFonts w:ascii="Arial" w:cs="Arial" w:eastAsia="Arial" w:hAnsi="Arial"/>
          <w:sz w:val="18"/>
          <w:szCs w:val="18"/>
          <w:b w:val="1"/>
          <w:bCs w:val="1"/>
          <w:color w:val="auto"/>
        </w:rPr>
        <w:t xml:space="preserve">Note 12 — Contingencies and Certain Matters Resolved During Fiscal Year 2015 </w:t>
      </w:r>
      <w:r>
        <w:rPr>
          <w:rFonts w:ascii="Arial" w:cs="Arial" w:eastAsia="Arial" w:hAnsi="Arial"/>
          <w:sz w:val="18"/>
          <w:szCs w:val="18"/>
          <w:b w:val="1"/>
          <w:bCs w:val="1"/>
          <w:i w:val="1"/>
          <w:iCs w:val="1"/>
          <w:color w:val="auto"/>
        </w:rPr>
        <w:t>Contingencies</w:t>
      </w:r>
    </w:p>
    <w:p>
      <w:pPr>
        <w:spacing w:after="0" w:line="2"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2016, the Company’s majority-owned subsidiary TrellisWare was informed by the Civil Division of the U.S. Attorney’s Office for the Southern District of California that it is investigating TrellisWare’s eligibility for certain prior government contracts and whether TrellisWare’s conduct in connection therewith violated the False Claims Act. At this time, the Company cannot determine whether the government will initiate a case and, if so, whether TrellisWare would be liable for any damages or penalties, or in what amount. Although the outcome of this investigation is difficult to predict, an unfavorable resolution could have a material impact on the Company’s financial results.</w:t>
      </w:r>
    </w:p>
    <w:p>
      <w:pPr>
        <w:spacing w:after="0" w:line="143"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2016. As of March 31, 2016, the DCAA had completed its incurred cost audit for fiscal year 2004 and approved the Company’s incurred cost claims for fiscal years 2005 through 2015 without further audit. Although the Company has recorded contract revenues subsequent to fiscal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2016 and April 3, 2015, the Company had $2.5 million and $4.3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Matters Resolved During Fiscal Year 2015</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September 2014, the Company entered into a settlement agreement with SS/L and Loral (the Settlement Agreement), pursuant to which SS/L and Loral are required to pay the Company a total of $108.7 million, inclusive of interest, over a two and a half year period from the date of settlement. In exchange, the Company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 accounted for the amounts payable by SS/L and Loral under the Settlement Agreement as a multiple-element arrangement and allocated the total consideration to the identifiable elements based upon their fair value. The consideration assigned to each element was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Implied license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 damages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108,712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fiscal year 2016, the Company recorded $27.5 million with respect to amounts realized under the Settlement Agreement, of which $25.3 million was recognized as product revenues in the Company’s satellite services segment and $2.2 million was recognized as interest income in the consolidated financial statements. During fiscal year 2015, the Company recorded $53.7 million with respect to amounts realized under the Settlement Agreement, of which $33.0 million was recognized as product revenues and $18.7 million was recognized as a reduction to SG&amp;A expenses in the Company’s satellite services segment, and $2.0 million was recognized as interest income in the consolidated financial statements. The remaining payments under the Settlement Agreement will be recognized in future periods when realized, and will be recorded as product revenues in the satellite services segment and interest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Product Warranty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that case, future adjustments will be made to the recorded warranty obligation. The following table reflects the change in the Company’s warranty accrual in fiscal years 2016, 2015 and 2014.</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Fiscal Years Ended</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80" w:type="dxa"/>
            <w:vAlign w:val="bottom"/>
          </w:tcPr>
          <w:p>
            <w:pPr>
              <w:spacing w:after="0"/>
              <w:rPr>
                <w:sz w:val="11"/>
                <w:szCs w:val="11"/>
                <w:color w:val="auto"/>
              </w:rPr>
            </w:pPr>
          </w:p>
        </w:tc>
        <w:tc>
          <w:tcPr>
            <w:tcW w:w="76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9"/>
              </w:rPr>
              <w:t>March 31,</w:t>
            </w:r>
          </w:p>
        </w:tc>
        <w:tc>
          <w:tcPr>
            <w:tcW w:w="360" w:type="dxa"/>
            <w:vAlign w:val="bottom"/>
          </w:tcPr>
          <w:p>
            <w:pPr>
              <w:spacing w:after="0"/>
              <w:rPr>
                <w:sz w:val="11"/>
                <w:szCs w:val="11"/>
                <w:color w:val="auto"/>
              </w:rPr>
            </w:pPr>
          </w:p>
        </w:tc>
        <w:tc>
          <w:tcPr>
            <w:tcW w:w="9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April 3,</w:t>
            </w:r>
          </w:p>
        </w:tc>
        <w:tc>
          <w:tcPr>
            <w:tcW w:w="140" w:type="dxa"/>
            <w:vAlign w:val="bottom"/>
          </w:tcPr>
          <w:p>
            <w:pPr>
              <w:spacing w:after="0"/>
              <w:rPr>
                <w:sz w:val="11"/>
                <w:szCs w:val="11"/>
                <w:color w:val="auto"/>
              </w:rPr>
            </w:pPr>
          </w:p>
        </w:tc>
        <w:tc>
          <w:tcPr>
            <w:tcW w:w="58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April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$ 15,545</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$17,023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600" w:type="dxa"/>
            <w:vAlign w:val="bottom"/>
          </w:tcPr>
          <w:p>
            <w:pPr>
              <w:jc w:val="right"/>
              <w:spacing w:after="0"/>
              <w:rPr>
                <w:sz w:val="20"/>
                <w:szCs w:val="20"/>
                <w:color w:val="auto"/>
              </w:rPr>
            </w:pPr>
            <w:r>
              <w:rPr>
                <w:rFonts w:ascii="Arial" w:cs="Arial" w:eastAsia="Arial" w:hAnsi="Arial"/>
                <w:sz w:val="18"/>
                <w:szCs w:val="18"/>
                <w:color w:val="auto"/>
              </w:rPr>
              <w:t>4,327</w:t>
            </w:r>
          </w:p>
        </w:tc>
        <w:tc>
          <w:tcPr>
            <w:tcW w:w="16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5,725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(8,438)</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(7,203)</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$ 11,434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15,545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17,023</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services to consumers, enterprises, commercial airlines and mobile broadband customers primarily in the United States. The Company’s commercial networks segment develops and offers advanced end-to-end satellite and wireless communication systems, ground networking equipment and space-to-earth connectivity systems, some of which are ultimately used by the Company’s satellite services segment. The Company’s government systems segment develops and offers network-centric, IP-based fixed and mobile secure government communications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revenues and operating profits (losses) for the fiscal years ended March 31, 2016, April 3, 2015 and April 4, 2014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Fiscal Years Ended</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9"/>
              </w:rPr>
              <w:t>March 31,</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2"/>
              </w:rPr>
              <w:t>April 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April 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2015</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25,606</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33,576</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466,284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559,234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Commercial Networks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331,052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250,736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347,130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410,521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363,446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196,940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172,099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607,461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535,545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Elimination of intersegment revenues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1,417,431</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1,382,535</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ind w:left="460"/>
              <w:spacing w:after="0"/>
              <w:rPr>
                <w:sz w:val="20"/>
                <w:szCs w:val="20"/>
                <w:color w:val="auto"/>
              </w:rPr>
            </w:pPr>
            <w:r>
              <w:rPr>
                <w:rFonts w:ascii="Arial" w:cs="Arial" w:eastAsia="Arial" w:hAnsi="Arial"/>
                <w:sz w:val="18"/>
                <w:szCs w:val="18"/>
                <w:color w:val="auto"/>
              </w:rPr>
              <w:t>Operating profits (losses):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Satellite Services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62,379</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Commercial Networks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(111,339)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(33,616)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(12,134)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Government Systems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Elimination of intersegment operating profits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Segment operating profit before corporate and amortization of acquired intangible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101,110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ind w:left="44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(14,614)</w:t>
            </w:r>
          </w:p>
        </w:tc>
        <w:tc>
          <w:tcPr>
            <w:tcW w:w="0" w:type="dxa"/>
            <w:vAlign w:val="bottom"/>
          </w:tcPr>
          <w:p>
            <w:pPr>
              <w:spacing w:after="0"/>
              <w:rPr>
                <w:sz w:val="1"/>
                <w:szCs w:val="1"/>
                <w:color w:val="auto"/>
              </w:rPr>
            </w:pPr>
          </w:p>
        </w:tc>
      </w:tr>
      <w:tr>
        <w:trPr>
          <w:trHeight w:val="222"/>
        </w:trPr>
        <w:tc>
          <w:tcPr>
            <w:tcW w:w="7280" w:type="dxa"/>
            <w:vAlign w:val="bottom"/>
            <w:gridSpan w:val="3"/>
          </w:tcPr>
          <w:p>
            <w:pPr>
              <w:ind w:left="46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83,144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revenues in the satellite services segment included $25.3 million and $33.0 million for the fiscal years ended March 31, 2016, and April 3, 2015, respectively, relating to amounts realized under the Settlement Agreement. See Note 12.</w:t>
      </w:r>
    </w:p>
    <w:p>
      <w:pPr>
        <w:ind w:left="46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profits for the satellite services segment included $25.3 million and $51.8 million for the fiscal years ended March 31, 2016, and April 3, 2015, respectively, relating to amounts realized under the Settlement Agreement. See Note 12.</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60"/>
          </w:cols>
          <w:pgMar w:left="240" w:top="459" w:right="3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March 31, 2016, April 3, 2015 and April 4, 2014 were as follows:</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9"/>
              <w:spacing w:after="0"/>
              <w:rPr>
                <w:sz w:val="20"/>
                <w:szCs w:val="20"/>
                <w:color w:val="auto"/>
              </w:rPr>
            </w:pPr>
            <w:r>
              <w:rPr>
                <w:rFonts w:ascii="Arial" w:cs="Arial" w:eastAsia="Arial" w:hAnsi="Arial"/>
                <w:sz w:val="14"/>
                <w:szCs w:val="14"/>
                <w:b w:val="1"/>
                <w:bCs w:val="1"/>
                <w:color w:val="auto"/>
                <w:w w:val="79"/>
              </w:rPr>
              <w:t>As of</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March 31,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April 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April 4,</w:t>
            </w: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57,529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63,790</w:t>
            </w:r>
          </w:p>
        </w:tc>
        <w:tc>
          <w:tcPr>
            <w:tcW w:w="3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73,382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212,943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229,455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311,927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273,313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206,848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582,399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554,371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509,685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1,823,447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1,604,007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1,450,430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2,405,846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2,158,378</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1,960,115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acquired intangible assets, net and goodwill included in segment assets as of March 31, 2016 and April 3, 2015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142"/>
              <w:spacing w:after="0"/>
              <w:rPr>
                <w:sz w:val="20"/>
                <w:szCs w:val="20"/>
                <w:color w:val="auto"/>
              </w:rPr>
            </w:pPr>
            <w:r>
              <w:rPr>
                <w:rFonts w:ascii="Arial" w:cs="Arial" w:eastAsia="Arial" w:hAnsi="Arial"/>
                <w:sz w:val="14"/>
                <w:szCs w:val="14"/>
                <w:b w:val="1"/>
                <w:bCs w:val="1"/>
                <w:color w:val="auto"/>
                <w:w w:val="93"/>
              </w:rPr>
              <w:t>Other Acquired Intangible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Assets, Net</w:t>
            </w:r>
          </w:p>
        </w:tc>
        <w:tc>
          <w:tcPr>
            <w:tcW w:w="5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Goodwill</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102"/>
              <w:spacing w:after="0" w:line="129" w:lineRule="exact"/>
              <w:rPr>
                <w:sz w:val="20"/>
                <w:szCs w:val="20"/>
                <w:color w:val="auto"/>
              </w:rPr>
            </w:pPr>
            <w:r>
              <w:rPr>
                <w:rFonts w:ascii="Arial" w:cs="Arial" w:eastAsia="Arial" w:hAnsi="Arial"/>
                <w:sz w:val="14"/>
                <w:szCs w:val="14"/>
                <w:b w:val="1"/>
                <w:bCs w:val="1"/>
                <w:color w:val="auto"/>
                <w:w w:val="85"/>
              </w:rPr>
              <w:t>As 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62"/>
              <w:spacing w:after="0" w:line="129" w:lineRule="exact"/>
              <w:rPr>
                <w:sz w:val="20"/>
                <w:szCs w:val="20"/>
                <w:color w:val="auto"/>
              </w:rPr>
            </w:pPr>
            <w:r>
              <w:rPr>
                <w:rFonts w:ascii="Arial" w:cs="Arial" w:eastAsia="Arial" w:hAnsi="Arial"/>
                <w:sz w:val="14"/>
                <w:szCs w:val="14"/>
                <w:b w:val="1"/>
                <w:bCs w:val="1"/>
                <w:color w:val="auto"/>
                <w:w w:val="79"/>
              </w:rPr>
              <w:t>As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79"/>
              </w:rPr>
              <w:t>As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1"/>
                <w:szCs w:val="11"/>
                <w:color w:val="auto"/>
              </w:rPr>
            </w:pPr>
          </w:p>
        </w:tc>
      </w:tr>
      <w:tr>
        <w:trPr>
          <w:trHeight w:val="149"/>
        </w:trPr>
        <w:tc>
          <w:tcPr>
            <w:tcW w:w="59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April 3,</w:t>
            </w:r>
          </w:p>
        </w:tc>
        <w:tc>
          <w:tcPr>
            <w:tcW w:w="5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April 3,</w:t>
            </w:r>
          </w:p>
        </w:tc>
      </w:tr>
      <w:tr>
        <w:trPr>
          <w:trHeight w:val="161"/>
        </w:trPr>
        <w:tc>
          <w:tcPr>
            <w:tcW w:w="5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2016</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2016</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Commercial Networks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6,581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43,994</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18,272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23,024</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63,241</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63,438</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33,604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42,340</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117,040</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117,241</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fiscal years ended March 31, 2016, April 3, 2015 and April 4, 2014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5"/>
              </w:rPr>
              <w:t>Fiscal Years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1"/>
                <w:szCs w:val="11"/>
                <w:color w:val="auto"/>
              </w:rPr>
            </w:pPr>
          </w:p>
        </w:tc>
        <w:tc>
          <w:tcPr>
            <w:tcW w:w="10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2"/>
              </w:rPr>
              <w:t>April 3,</w:t>
            </w: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April 4,</w:t>
            </w:r>
          </w:p>
        </w:tc>
        <w:tc>
          <w:tcPr>
            <w:tcW w:w="100" w:type="dxa"/>
            <w:vAlign w:val="bottom"/>
          </w:tcPr>
          <w:p>
            <w:pPr>
              <w:spacing w:after="0"/>
              <w:rPr>
                <w:sz w:val="11"/>
                <w:szCs w:val="11"/>
                <w:color w:val="auto"/>
              </w:rPr>
            </w:pPr>
          </w:p>
        </w:tc>
      </w:tr>
      <w:tr>
        <w:trPr>
          <w:trHeight w:val="161"/>
        </w:trPr>
        <w:tc>
          <w:tcPr>
            <w:tcW w:w="4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4"/>
                <w:szCs w:val="14"/>
                <w:b w:val="1"/>
                <w:bCs w:val="1"/>
                <w:color w:val="auto"/>
                <w:w w:val="89"/>
              </w:rPr>
              <w:t>2015</w:t>
            </w: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50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9,122</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$11,058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$11,058</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Commercial Networks</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2,569</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1,452</w:t>
            </w:r>
          </w:p>
        </w:tc>
        <w:tc>
          <w:tcPr>
            <w:tcW w:w="58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3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16,438</w:t>
            </w:r>
          </w:p>
        </w:tc>
        <w:tc>
          <w:tcPr>
            <w:tcW w:w="120" w:type="dxa"/>
            <w:vAlign w:val="bottom"/>
          </w:tcPr>
          <w:p>
            <w:pPr>
              <w:spacing w:after="0"/>
              <w:rPr>
                <w:sz w:val="19"/>
                <w:szCs w:val="19"/>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17,966</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14,614</w:t>
            </w:r>
          </w:p>
        </w:tc>
        <w:tc>
          <w:tcPr>
            <w:tcW w:w="10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220" w:type="dxa"/>
            <w:vAlign w:val="bottom"/>
          </w:tcPr>
          <w:p>
            <w:pPr>
              <w:spacing w:after="0"/>
              <w:rPr>
                <w:sz w:val="24"/>
                <w:szCs w:val="24"/>
                <w:color w:val="auto"/>
              </w:rPr>
            </w:pPr>
          </w:p>
        </w:tc>
        <w:tc>
          <w:tcPr>
            <w:tcW w:w="3500" w:type="dxa"/>
            <w:vAlign w:val="bottom"/>
            <w:gridSpan w:val="2"/>
          </w:tcPr>
          <w:p>
            <w:pPr>
              <w:ind w:left="860"/>
              <w:spacing w:after="0"/>
              <w:rPr>
                <w:sz w:val="20"/>
                <w:szCs w:val="20"/>
                <w:color w:val="auto"/>
              </w:rPr>
            </w:pPr>
            <w:r>
              <w:rPr>
                <w:rFonts w:ascii="Arial" w:cs="Arial" w:eastAsia="Arial" w:hAnsi="Arial"/>
                <w:sz w:val="18"/>
                <w:szCs w:val="18"/>
                <w:color w:val="auto"/>
              </w:rPr>
              <w:t>F-41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459" w:right="3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information by geographic area for the fiscal years ended March 31, 2016, April 3, 2015 and April 4, 2014 was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198"/>
              <w:spacing w:after="0"/>
              <w:rPr>
                <w:sz w:val="20"/>
                <w:szCs w:val="20"/>
                <w:color w:val="auto"/>
              </w:rPr>
            </w:pPr>
            <w:r>
              <w:rPr>
                <w:rFonts w:ascii="Arial" w:cs="Arial" w:eastAsia="Arial" w:hAnsi="Arial"/>
                <w:sz w:val="14"/>
                <w:szCs w:val="14"/>
                <w:b w:val="1"/>
                <w:bCs w:val="1"/>
                <w:color w:val="auto"/>
                <w:w w:val="85"/>
              </w:rPr>
              <w:t>Fiscal Years Ended</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740" w:type="dxa"/>
            <w:vAlign w:val="bottom"/>
          </w:tcPr>
          <w:p>
            <w:pPr>
              <w:spacing w:after="0"/>
              <w:rPr>
                <w:sz w:val="11"/>
                <w:szCs w:val="11"/>
                <w:color w:val="auto"/>
              </w:rPr>
            </w:pPr>
          </w:p>
        </w:tc>
        <w:tc>
          <w:tcPr>
            <w:tcW w:w="84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1"/>
                <w:szCs w:val="11"/>
                <w:color w:val="auto"/>
              </w:rPr>
            </w:pPr>
          </w:p>
        </w:tc>
        <w:tc>
          <w:tcPr>
            <w:tcW w:w="12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April 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57"/>
              <w:spacing w:after="0" w:line="129" w:lineRule="exact"/>
              <w:rPr>
                <w:sz w:val="20"/>
                <w:szCs w:val="20"/>
                <w:color w:val="auto"/>
              </w:rPr>
            </w:pPr>
            <w:r>
              <w:rPr>
                <w:rFonts w:ascii="Arial" w:cs="Arial" w:eastAsia="Arial" w:hAnsi="Arial"/>
                <w:sz w:val="14"/>
                <w:szCs w:val="14"/>
                <w:b w:val="1"/>
                <w:bCs w:val="1"/>
                <w:color w:val="auto"/>
              </w:rPr>
              <w:t>April 4,</w:t>
            </w:r>
          </w:p>
        </w:tc>
        <w:tc>
          <w:tcPr>
            <w:tcW w:w="100" w:type="dxa"/>
            <w:vAlign w:val="bottom"/>
          </w:tcPr>
          <w:p>
            <w:pPr>
              <w:spacing w:after="0"/>
              <w:rPr>
                <w:sz w:val="11"/>
                <w:szCs w:val="11"/>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440" w:type="dxa"/>
            <w:vAlign w:val="bottom"/>
            <w:tcBorders>
              <w:bottom w:val="single" w:sz="8" w:color="auto"/>
            </w:tcBorders>
            <w:gridSpan w:val="2"/>
          </w:tcPr>
          <w:p>
            <w:pPr>
              <w:jc w:val="center"/>
              <w:ind w:left="478"/>
              <w:spacing w:after="0"/>
              <w:rPr>
                <w:sz w:val="20"/>
                <w:szCs w:val="20"/>
                <w:color w:val="auto"/>
              </w:rPr>
            </w:pPr>
            <w:r>
              <w:rPr>
                <w:rFonts w:ascii="Arial" w:cs="Arial" w:eastAsia="Arial" w:hAnsi="Arial"/>
                <w:sz w:val="14"/>
                <w:szCs w:val="14"/>
                <w:b w:val="1"/>
                <w:bCs w:val="1"/>
                <w:color w:val="auto"/>
                <w:w w:val="89"/>
              </w:rPr>
              <w:t>2015</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$ 1,207,651</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$ 1,149,700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1,044,737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840" w:type="dxa"/>
            <w:vAlign w:val="bottom"/>
          </w:tcPr>
          <w:p>
            <w:pPr>
              <w:jc w:val="right"/>
              <w:spacing w:after="0"/>
              <w:rPr>
                <w:sz w:val="20"/>
                <w:szCs w:val="20"/>
                <w:color w:val="auto"/>
              </w:rPr>
            </w:pPr>
            <w:r>
              <w:rPr>
                <w:rFonts w:ascii="Arial" w:cs="Arial" w:eastAsia="Arial" w:hAnsi="Arial"/>
                <w:sz w:val="18"/>
                <w:szCs w:val="18"/>
                <w:color w:val="auto"/>
              </w:rPr>
              <w:t>80,202</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89,982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127,696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79,213</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81,397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147,063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840" w:type="dxa"/>
            <w:vAlign w:val="bottom"/>
          </w:tcPr>
          <w:p>
            <w:pPr>
              <w:jc w:val="right"/>
              <w:spacing w:after="0"/>
              <w:rPr>
                <w:sz w:val="20"/>
                <w:szCs w:val="20"/>
                <w:color w:val="auto"/>
              </w:rPr>
            </w:pPr>
            <w:r>
              <w:rPr>
                <w:rFonts w:ascii="Arial" w:cs="Arial" w:eastAsia="Arial" w:hAnsi="Arial"/>
                <w:sz w:val="18"/>
                <w:szCs w:val="18"/>
                <w:color w:val="auto"/>
              </w:rPr>
              <w:t>38,957</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51,661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25,811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5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Total revenues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$ 1,417,431</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$ 1,382,535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1,351,462</w:t>
            </w: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book value of long-lived assets located outside the United States was $23.7 million at March 31, 2016, $14.3 million at April 3, 2015 and $18.5 million at April 4, 2014.</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24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40" w:type="dxa"/>
            <w:vAlign w:val="bottom"/>
            <w:gridSpan w:val="3"/>
          </w:tcPr>
          <w:p>
            <w:pPr>
              <w:jc w:val="center"/>
              <w:ind w:right="2612"/>
              <w:spacing w:after="0"/>
              <w:rPr>
                <w:sz w:val="20"/>
                <w:szCs w:val="20"/>
                <w:color w:val="auto"/>
              </w:rPr>
            </w:pPr>
            <w:r>
              <w:rPr>
                <w:rFonts w:ascii="Arial" w:cs="Arial" w:eastAsia="Arial" w:hAnsi="Arial"/>
                <w:sz w:val="18"/>
                <w:szCs w:val="18"/>
                <w:b w:val="1"/>
                <w:bCs w:val="1"/>
                <w:color w:val="auto"/>
                <w:w w:val="99"/>
              </w:rPr>
              <w:t>SCHEDULE II</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940" w:type="dxa"/>
            <w:vAlign w:val="bottom"/>
            <w:gridSpan w:val="3"/>
          </w:tcPr>
          <w:p>
            <w:pPr>
              <w:jc w:val="center"/>
              <w:ind w:right="2592"/>
              <w:spacing w:after="0"/>
              <w:rPr>
                <w:sz w:val="20"/>
                <w:szCs w:val="20"/>
                <w:color w:val="auto"/>
              </w:rPr>
            </w:pPr>
            <w:r>
              <w:rPr>
                <w:rFonts w:ascii="Arial" w:cs="Arial" w:eastAsia="Arial" w:hAnsi="Arial"/>
                <w:sz w:val="18"/>
                <w:szCs w:val="18"/>
                <w:b w:val="1"/>
                <w:bCs w:val="1"/>
                <w:color w:val="auto"/>
                <w:w w:val="98"/>
              </w:rPr>
              <w:t>VALUATION AND QUALIFYING ACCOUNTS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940" w:type="dxa"/>
            <w:vAlign w:val="bottom"/>
            <w:gridSpan w:val="3"/>
          </w:tcPr>
          <w:p>
            <w:pPr>
              <w:jc w:val="center"/>
              <w:ind w:right="2592"/>
              <w:spacing w:after="0"/>
              <w:rPr>
                <w:sz w:val="20"/>
                <w:szCs w:val="20"/>
                <w:color w:val="auto"/>
              </w:rPr>
            </w:pPr>
            <w:r>
              <w:rPr>
                <w:rFonts w:ascii="Arial" w:cs="Arial" w:eastAsia="Arial" w:hAnsi="Arial"/>
                <w:sz w:val="18"/>
                <w:szCs w:val="18"/>
                <w:b w:val="1"/>
                <w:bCs w:val="1"/>
                <w:color w:val="auto"/>
                <w:w w:val="88"/>
              </w:rPr>
              <w:t>For the Three Fiscal Years Ended March 31, 2016</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6660" w:type="dxa"/>
            <w:vAlign w:val="bottom"/>
          </w:tcPr>
          <w:p>
            <w:pPr>
              <w:spacing w:after="0"/>
              <w:rPr>
                <w:sz w:val="24"/>
                <w:szCs w:val="24"/>
                <w:color w:val="auto"/>
              </w:rPr>
            </w:pPr>
          </w:p>
        </w:tc>
        <w:tc>
          <w:tcPr>
            <w:tcW w:w="11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55"/>
        </w:trPr>
        <w:tc>
          <w:tcPr>
            <w:tcW w:w="3580" w:type="dxa"/>
            <w:vAlign w:val="bottom"/>
            <w:gridSpan w:val="3"/>
            <w:vMerge w:val="continue"/>
          </w:tcPr>
          <w:p>
            <w:pPr>
              <w:spacing w:after="0"/>
              <w:rPr>
                <w:sz w:val="13"/>
                <w:szCs w:val="13"/>
                <w:color w:val="auto"/>
              </w:rPr>
            </w:pPr>
          </w:p>
        </w:tc>
        <w:tc>
          <w:tcPr>
            <w:tcW w:w="6660" w:type="dxa"/>
            <w:vAlign w:val="bottom"/>
          </w:tcPr>
          <w:p>
            <w:pPr>
              <w:spacing w:after="0"/>
              <w:rPr>
                <w:sz w:val="13"/>
                <w:szCs w:val="13"/>
                <w:color w:val="auto"/>
              </w:rPr>
            </w:pPr>
          </w:p>
        </w:tc>
        <w:tc>
          <w:tcPr>
            <w:tcW w:w="1180" w:type="dxa"/>
            <w:vAlign w:val="bottom"/>
            <w:gridSpan w:val="5"/>
          </w:tcPr>
          <w:p>
            <w:pPr>
              <w:spacing w:after="0" w:line="148" w:lineRule="exact"/>
              <w:rPr>
                <w:sz w:val="20"/>
                <w:szCs w:val="20"/>
                <w:color w:val="auto"/>
              </w:rPr>
            </w:pPr>
            <w:r>
              <w:rPr>
                <w:rFonts w:ascii="Arial" w:cs="Arial" w:eastAsia="Arial" w:hAnsi="Arial"/>
                <w:sz w:val="14"/>
                <w:szCs w:val="14"/>
                <w:b w:val="1"/>
                <w:bCs w:val="1"/>
                <w:color w:val="auto"/>
                <w:w w:val="92"/>
              </w:rPr>
              <w:t>Doubtful Accounts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8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33"/>
              <w:spacing w:after="0" w:line="149" w:lineRule="exact"/>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29, 2013</w:t>
            </w:r>
          </w:p>
        </w:tc>
        <w:tc>
          <w:tcPr>
            <w:tcW w:w="6820" w:type="dxa"/>
            <w:vAlign w:val="bottom"/>
            <w:gridSpan w:val="2"/>
            <w:shd w:val="clear" w:color="auto" w:fill="CCEEFF"/>
          </w:tcPr>
          <w:p>
            <w:pPr>
              <w:ind w:left="6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Balance, April 4, 2014</w:t>
            </w:r>
          </w:p>
        </w:tc>
        <w:tc>
          <w:tcPr>
            <w:tcW w:w="6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3"/>
            <w:vMerge w:val="continue"/>
          </w:tcPr>
          <w:p>
            <w:pPr>
              <w:spacing w:after="0"/>
              <w:rPr>
                <w:sz w:val="19"/>
                <w:szCs w:val="19"/>
                <w:color w:val="auto"/>
              </w:rPr>
            </w:pPr>
          </w:p>
        </w:tc>
        <w:tc>
          <w:tcPr>
            <w:tcW w:w="6820" w:type="dxa"/>
            <w:vAlign w:val="bottom"/>
            <w:gridSpan w:val="2"/>
          </w:tcPr>
          <w:p>
            <w:pPr>
              <w:ind w:left="6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April 3, 2015</w:t>
            </w:r>
          </w:p>
        </w:tc>
        <w:tc>
          <w:tcPr>
            <w:tcW w:w="6820" w:type="dxa"/>
            <w:vAlign w:val="bottom"/>
            <w:gridSpan w:val="2"/>
            <w:shd w:val="clear" w:color="auto" w:fill="CCEEFF"/>
          </w:tcPr>
          <w:p>
            <w:pPr>
              <w:ind w:left="6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Balance, March 31, 2016</w:t>
            </w:r>
          </w:p>
        </w:tc>
        <w:tc>
          <w:tcPr>
            <w:tcW w:w="6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3"/>
            <w:vMerge w:val="continue"/>
          </w:tcPr>
          <w:p>
            <w:pPr>
              <w:spacing w:after="0"/>
              <w:rPr>
                <w:sz w:val="19"/>
                <w:szCs w:val="19"/>
                <w:color w:val="auto"/>
              </w:rPr>
            </w:pPr>
          </w:p>
        </w:tc>
        <w:tc>
          <w:tcPr>
            <w:tcW w:w="6820" w:type="dxa"/>
            <w:vAlign w:val="bottom"/>
            <w:gridSpan w:val="2"/>
          </w:tcPr>
          <w:p>
            <w:pPr>
              <w:ind w:left="6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Deferred Tax</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6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3"/>
              </w:rPr>
              <w:t>Asset Valuation</w:t>
            </w:r>
          </w:p>
        </w:tc>
        <w:tc>
          <w:tcPr>
            <w:tcW w:w="0" w:type="dxa"/>
            <w:vAlign w:val="bottom"/>
          </w:tcPr>
          <w:p>
            <w:pPr>
              <w:spacing w:after="0"/>
              <w:rPr>
                <w:sz w:val="1"/>
                <w:szCs w:val="1"/>
                <w:color w:val="auto"/>
              </w:rPr>
            </w:pPr>
          </w:p>
        </w:tc>
      </w:tr>
      <w:tr>
        <w:trPr>
          <w:trHeight w:val="155"/>
        </w:trPr>
        <w:tc>
          <w:tcPr>
            <w:tcW w:w="3580" w:type="dxa"/>
            <w:vAlign w:val="bottom"/>
            <w:gridSpan w:val="3"/>
            <w:vMerge w:val="continue"/>
          </w:tcPr>
          <w:p>
            <w:pPr>
              <w:spacing w:after="0"/>
              <w:rPr>
                <w:sz w:val="13"/>
                <w:szCs w:val="13"/>
                <w:color w:val="auto"/>
              </w:rPr>
            </w:pPr>
          </w:p>
        </w:tc>
        <w:tc>
          <w:tcPr>
            <w:tcW w:w="6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Allowance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8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29, 2013</w:t>
            </w:r>
          </w:p>
        </w:tc>
        <w:tc>
          <w:tcPr>
            <w:tcW w:w="6940" w:type="dxa"/>
            <w:vAlign w:val="bottom"/>
            <w:gridSpan w:val="3"/>
            <w:shd w:val="clear" w:color="auto" w:fill="CCEEFF"/>
          </w:tcPr>
          <w:p>
            <w:pPr>
              <w:ind w:left="68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gridSpan w:val="3"/>
          </w:tcPr>
          <w:p>
            <w:pPr>
              <w:spacing w:after="0"/>
              <w:rPr>
                <w:sz w:val="20"/>
                <w:szCs w:val="20"/>
                <w:color w:val="auto"/>
              </w:rPr>
            </w:pPr>
            <w:r>
              <w:rPr>
                <w:rFonts w:ascii="Arial" w:cs="Arial" w:eastAsia="Arial" w:hAnsi="Arial"/>
                <w:sz w:val="18"/>
                <w:szCs w:val="18"/>
                <w:color w:val="auto"/>
              </w:rPr>
              <w:t>Balance, April 4, 2014</w:t>
            </w:r>
          </w:p>
        </w:tc>
        <w:tc>
          <w:tcPr>
            <w:tcW w:w="6940" w:type="dxa"/>
            <w:vAlign w:val="bottom"/>
            <w:gridSpan w:val="3"/>
          </w:tcPr>
          <w:p>
            <w:pPr>
              <w:ind w:left="68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12,832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April 3, 2015</w:t>
            </w:r>
          </w:p>
        </w:tc>
        <w:tc>
          <w:tcPr>
            <w:tcW w:w="6940" w:type="dxa"/>
            <w:vAlign w:val="bottom"/>
            <w:gridSpan w:val="3"/>
            <w:shd w:val="clear" w:color="auto" w:fill="CCEEFF"/>
          </w:tcPr>
          <w:p>
            <w:pPr>
              <w:ind w:left="68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gridSpan w:val="3"/>
          </w:tcPr>
          <w:p>
            <w:pPr>
              <w:spacing w:after="0"/>
              <w:rPr>
                <w:sz w:val="20"/>
                <w:szCs w:val="20"/>
                <w:color w:val="auto"/>
              </w:rPr>
            </w:pPr>
            <w:r>
              <w:rPr>
                <w:rFonts w:ascii="Arial" w:cs="Arial" w:eastAsia="Arial" w:hAnsi="Arial"/>
                <w:sz w:val="18"/>
                <w:szCs w:val="18"/>
                <w:color w:val="auto"/>
              </w:rPr>
              <w:t>Balance, March 31, 2016</w:t>
            </w:r>
          </w:p>
        </w:tc>
        <w:tc>
          <w:tcPr>
            <w:tcW w:w="6940" w:type="dxa"/>
            <w:vAlign w:val="bottom"/>
            <w:gridSpan w:val="3"/>
          </w:tcPr>
          <w:p>
            <w:pPr>
              <w:ind w:left="68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17,089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EQUITY PARTICIPATION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2700" w:val="left"/>
          <w:tab w:leader="none" w:pos="6160" w:val="left"/>
        </w:tabs>
        <w:rPr>
          <w:sz w:val="20"/>
          <w:szCs w:val="20"/>
          <w:color w:val="auto"/>
        </w:rPr>
      </w:pPr>
      <w:r>
        <w:rPr>
          <w:rFonts w:ascii="Arial" w:cs="Arial" w:eastAsia="Arial" w:hAnsi="Arial"/>
          <w:sz w:val="18"/>
          <w:szCs w:val="18"/>
          <w:b w:val="1"/>
          <w:bCs w:val="1"/>
          <w:color w:val="auto"/>
        </w:rPr>
        <w:t>Grant:</w:t>
      </w:r>
      <w:r>
        <w:rPr>
          <w:sz w:val="20"/>
          <w:szCs w:val="20"/>
          <w:color w:val="auto"/>
        </w:rPr>
        <w:tab/>
      </w:r>
      <w:r>
        <w:rPr>
          <w:rFonts w:ascii="Arial" w:cs="Arial" w:eastAsia="Arial" w:hAnsi="Arial"/>
          <w:sz w:val="18"/>
          <w:szCs w:val="18"/>
          <w:color w:val="auto"/>
        </w:rPr>
        <w:t>Restricted Stock Units (“RSUs”)</w:t>
      </w:r>
      <w:r>
        <w:rPr>
          <w:sz w:val="20"/>
          <w:szCs w:val="20"/>
          <w:color w:val="auto"/>
        </w:rPr>
        <w:tab/>
      </w: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5951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2804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28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ELECTRONIC ACCEPTANCE OF RSU AWARD:</w:t>
      </w:r>
    </w:p>
    <w:p>
      <w:pPr>
        <w:spacing w:after="0" w:line="252" w:lineRule="exact"/>
        <w:rPr>
          <w:sz w:val="20"/>
          <w:szCs w:val="20"/>
          <w:color w:val="auto"/>
        </w:rPr>
      </w:pPr>
    </w:p>
    <w:p>
      <w:pPr>
        <w:jc w:val="both"/>
        <w:ind w:left="260" w:right="220"/>
        <w:spacing w:after="0" w:line="274" w:lineRule="auto"/>
        <w:rPr>
          <w:sz w:val="20"/>
          <w:szCs w:val="20"/>
          <w:color w:val="auto"/>
        </w:rPr>
      </w:pPr>
      <w:r>
        <w:rPr>
          <w:rFonts w:ascii="Arial" w:cs="Arial" w:eastAsia="Arial" w:hAnsi="Arial"/>
          <w:sz w:val="17"/>
          <w:szCs w:val="17"/>
          <w:color w:val="auto"/>
        </w:rPr>
        <w:t>By clicking on the “</w:t>
      </w:r>
      <w:r>
        <w:rPr>
          <w:rFonts w:ascii="Arial" w:cs="Arial" w:eastAsia="Arial" w:hAnsi="Arial"/>
          <w:sz w:val="17"/>
          <w:szCs w:val="17"/>
          <w:b w:val="1"/>
          <w:bCs w:val="1"/>
          <w:color w:val="auto"/>
        </w:rPr>
        <w:t>ACCEPT</w:t>
      </w:r>
      <w:r>
        <w:rPr>
          <w:rFonts w:ascii="Arial" w:cs="Arial" w:eastAsia="Arial" w:hAnsi="Arial"/>
          <w:sz w:val="17"/>
          <w:szCs w:val="17"/>
          <w:color w:val="auto"/>
        </w:rPr>
        <w:t>” box on the “</w:t>
      </w:r>
      <w:r>
        <w:rPr>
          <w:rFonts w:ascii="Arial" w:cs="Arial" w:eastAsia="Arial" w:hAnsi="Arial"/>
          <w:sz w:val="17"/>
          <w:szCs w:val="17"/>
          <w:b w:val="1"/>
          <w:bCs w:val="1"/>
          <w:color w:val="auto"/>
        </w:rPr>
        <w:t>Grant Acceptance: View/Accept Grant</w:t>
      </w:r>
      <w:r>
        <w:rPr>
          <w:rFonts w:ascii="Arial" w:cs="Arial" w:eastAsia="Arial" w:hAnsi="Arial"/>
          <w:sz w:val="17"/>
          <w:szCs w:val="17"/>
          <w:color w:val="auto"/>
        </w:rPr>
        <w:t>” Page, you agree to be bound by the terms and conditions of this Restricted Stock Unit Award Agreement, including any applicable country-specific terms in the appendix hereto, (together, the “Agreement”) and the 1996 Equity Participation Plan of ViaSat, Inc. (as amended from time to time, the “Plan”). You acknowledge that you have reviewed and fully understand all of the provisions of this Agreement and the Plan, and have had the opportunity to obtain advice of counsel prior to accepting the grant of RSUs pursuant to this Agreement. You hereby agree to accept as binding, conclusive and final all decisions or interpretations of the Compensation and Human Resources Committee of the Board (the “Committee”) upon any questions relating to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CONDITIONS OF RSU AWARD:</w:t>
      </w:r>
    </w:p>
    <w:p>
      <w:pPr>
        <w:spacing w:after="0" w:line="229" w:lineRule="exact"/>
        <w:rPr>
          <w:sz w:val="20"/>
          <w:szCs w:val="20"/>
          <w:color w:val="auto"/>
        </w:rPr>
      </w:pPr>
    </w:p>
    <w:p>
      <w:pPr>
        <w:jc w:val="both"/>
        <w:ind w:firstLine="8"/>
        <w:spacing w:after="0" w:line="264"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Effective on the Grant Date, you have been granted the number of shares indicated above of RSUs providing you the right to receive Common Stock of ViaSat, Inc., a Delaware corporation (the “Company”), as the RSU vests, in accordance with the provisions of this Agreement and the provisions of the Plan.</w:t>
      </w:r>
    </w:p>
    <w:p>
      <w:pPr>
        <w:spacing w:after="0" w:line="181" w:lineRule="exact"/>
        <w:rPr>
          <w:rFonts w:ascii="Arial" w:cs="Arial" w:eastAsia="Arial" w:hAnsi="Arial"/>
          <w:sz w:val="18"/>
          <w:szCs w:val="18"/>
          <w:color w:val="auto"/>
        </w:rPr>
      </w:pPr>
    </w:p>
    <w:p>
      <w:pPr>
        <w:jc w:val="both"/>
        <w:ind w:firstLine="8"/>
        <w:spacing w:after="0" w:line="253" w:lineRule="auto"/>
        <w:tabs>
          <w:tab w:leader="none" w:pos="20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w:t>
      </w:r>
      <w:r>
        <w:rPr>
          <w:rFonts w:ascii="Arial" w:cs="Arial" w:eastAsia="Arial" w:hAnsi="Arial"/>
          <w:sz w:val="18"/>
          <w:szCs w:val="18"/>
          <w:color w:val="auto"/>
        </w:rPr>
        <w:t>. Until vested, the RSU shall be subject to forfeiture in the event of the termination of your employment or service (as applicable) with the Company and all of its Subsidiaries for any reason, whether such termination is occasioned by you, by the Company or any of its Subsidiaries, with or without cause or by mutual agreement (“Termination of Employment”). Termination of Employment means the Company has determined that you have stopped providing services to the Company Group (for any reason whatsoever, whether or not later found to be invalid or in breach of employment laws in the jurisdiction where you are employed or the terms of your employment agreement, if any)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active services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RSU grant (including whether you may still be considered to be providing services while on an approved leave of absence).</w:t>
      </w:r>
    </w:p>
    <w:p>
      <w:pPr>
        <w:spacing w:after="0" w:line="197" w:lineRule="exact"/>
        <w:rPr>
          <w:rFonts w:ascii="Arial" w:cs="Arial" w:eastAsia="Arial" w:hAnsi="Arial"/>
          <w:sz w:val="18"/>
          <w:szCs w:val="18"/>
          <w:color w:val="auto"/>
        </w:rPr>
      </w:pPr>
    </w:p>
    <w:p>
      <w:pPr>
        <w:jc w:val="both"/>
        <w:ind w:right="20" w:firstLine="8"/>
        <w:spacing w:after="0" w:line="264" w:lineRule="auto"/>
        <w:tabs>
          <w:tab w:leader="none" w:pos="19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Until vested, the RSU or any right or interest therein is not transferable except by will or the laws of descent and distribution. Until Common Stock is issued upon settlement of the RSU, you will not be deemed for any purpose to be, or have rights as, a Company shareholder by virtue of this award. You are not entitled to vote any shares of Common Stock by virtue of this award.</w:t>
      </w:r>
    </w:p>
    <w:p>
      <w:pPr>
        <w:spacing w:after="0" w:line="181" w:lineRule="exact"/>
        <w:rPr>
          <w:rFonts w:ascii="Arial" w:cs="Arial" w:eastAsia="Arial" w:hAnsi="Arial"/>
          <w:sz w:val="18"/>
          <w:szCs w:val="18"/>
          <w:color w:val="auto"/>
        </w:rPr>
      </w:pPr>
    </w:p>
    <w:p>
      <w:pPr>
        <w:jc w:val="both"/>
        <w:ind w:firstLine="8"/>
        <w:spacing w:after="0" w:line="25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RSU will vest and no longer be subject to the restrictions of and forfeiture under this Agreement in one-fourth (1/4</w:t>
      </w:r>
      <w:r>
        <w:rPr>
          <w:rFonts w:ascii="Arial" w:cs="Arial" w:eastAsia="Arial" w:hAnsi="Arial"/>
          <w:sz w:val="15"/>
          <w:szCs w:val="15"/>
          <w:color w:val="auto"/>
        </w:rPr>
        <w:t>th</w:t>
      </w:r>
      <w:r>
        <w:rPr>
          <w:rFonts w:ascii="Arial" w:cs="Arial" w:eastAsia="Arial" w:hAnsi="Arial"/>
          <w:sz w:val="18"/>
          <w:szCs w:val="18"/>
          <w:color w:val="auto"/>
        </w:rPr>
        <w:t xml:space="preserve"> or 25%) increments on each anniversary of the Grant Date. Notwithstanding the foregoing, the RSU shall be fully vested upon your Termination of Employment by reason of death or permanent disability. “Permanent disability”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188" w:lineRule="exact"/>
        <w:rPr>
          <w:rFonts w:ascii="Arial" w:cs="Arial" w:eastAsia="Arial" w:hAnsi="Arial"/>
          <w:sz w:val="18"/>
          <w:szCs w:val="18"/>
          <w:color w:val="auto"/>
        </w:rPr>
      </w:pPr>
    </w:p>
    <w:p>
      <w:pPr>
        <w:ind w:firstLine="8"/>
        <w:spacing w:after="0" w:line="277" w:lineRule="auto"/>
        <w:tabs>
          <w:tab w:leader="none" w:pos="19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 Within ten days following the vesting of the RSU, you will be issued shares of Common Stock equal to the number of vested shares, in settlement of the RSU (subject to the withholding requirements described in Section 6 below, as applicable).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Withholding; Indemnity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464"/>
        <w:spacing w:after="0" w:line="264" w:lineRule="auto"/>
        <w:tabs>
          <w:tab w:leader="none" w:pos="702"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 understand that you (and not the Company) shall be responsible for any Tax Liability (as defined below) arising as a result of this Agreement or the transactions relating to the RSU. You agree to indemnify and keep indemnified the Company, any Subsidiary and your employing company (the “Employer”), if different (collectively, the “Company Group”), from and against any such Tax Liability.</w:t>
      </w:r>
    </w:p>
    <w:p>
      <w:pPr>
        <w:spacing w:after="0" w:line="181" w:lineRule="exact"/>
        <w:rPr>
          <w:rFonts w:ascii="Arial" w:cs="Arial" w:eastAsia="Arial" w:hAnsi="Arial"/>
          <w:sz w:val="18"/>
          <w:szCs w:val="18"/>
          <w:color w:val="auto"/>
        </w:rPr>
      </w:pPr>
    </w:p>
    <w:p>
      <w:pPr>
        <w:jc w:val="both"/>
        <w:ind w:firstLine="464"/>
        <w:spacing w:after="0" w:line="259" w:lineRule="auto"/>
        <w:tabs>
          <w:tab w:leader="none" w:pos="71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has the authority to deduct or withhold, or require you to remit to the Company, an amount sufficient to satisfy any Tax Liability. At any time not less than five business days before any such Tax Liability arises, you may satisfy your Tax Liability, in whole or in part, by either: (i) electing to have the Company withhold from your salary or other cash compensation payable to you or shares otherwise to be delivered upon settlement of the RSU with a Fair Market Value equal to the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23" w:name="page124"/>
    <w:bookmarkEnd w:id="12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minimum amount of the tax withholding obligation, or (ii) paying the amount of the Tax Liability directly to the Company in cash. </w:t>
      </w:r>
      <w:r>
        <w:rPr>
          <w:rFonts w:ascii="Arial" w:cs="Arial" w:eastAsia="Arial" w:hAnsi="Arial"/>
          <w:sz w:val="16"/>
          <w:szCs w:val="16"/>
          <w:b w:val="1"/>
          <w:bCs w:val="1"/>
          <w:color w:val="auto"/>
        </w:rPr>
        <w:t>Unless you choose to</w:t>
      </w:r>
      <w:r>
        <w:rPr>
          <w:rFonts w:ascii="Arial" w:cs="Arial" w:eastAsia="Arial" w:hAnsi="Arial"/>
          <w:sz w:val="16"/>
          <w:szCs w:val="16"/>
          <w:color w:val="auto"/>
        </w:rPr>
        <w:t xml:space="preserve"> </w:t>
      </w:r>
      <w:r>
        <w:rPr>
          <w:rFonts w:ascii="Arial" w:cs="Arial" w:eastAsia="Arial" w:hAnsi="Arial"/>
          <w:sz w:val="16"/>
          <w:szCs w:val="16"/>
          <w:b w:val="1"/>
          <w:bCs w:val="1"/>
          <w:color w:val="auto"/>
        </w:rPr>
        <w:t>satisfy your Tax Liability in accordance with subsection (ii) above, your Tax Liability will be automatically satisfied in accordance with subsection</w:t>
      </w:r>
    </w:p>
    <w:p>
      <w:pPr>
        <w:spacing w:after="0" w:line="1" w:lineRule="exact"/>
        <w:rPr>
          <w:sz w:val="20"/>
          <w:szCs w:val="20"/>
          <w:color w:val="auto"/>
        </w:rPr>
      </w:pPr>
    </w:p>
    <w:p>
      <w:pPr>
        <w:jc w:val="both"/>
        <w:ind w:firstLine="8"/>
        <w:spacing w:after="0" w:line="285" w:lineRule="auto"/>
        <w:tabs>
          <w:tab w:leader="none" w:pos="243"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above. The Committee or the Board will have the right to disapprove an election to pay your Tax Liability under subsection (ii) in its sole discretion. In the event your Tax Liability will be satisfied under subsection (i)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RSU as the Company determines to be appropriate to generate cash proceeds sufficient to satisfy your Tax Liability. Your acceptance of this RSU constitutes your instruction and authorization to the Company and such brokerage firm to complete the transactions described in the previous sentence, as applicable. </w:t>
      </w:r>
      <w:r>
        <w:rPr>
          <w:rFonts w:ascii="Arial" w:cs="Arial" w:eastAsia="Arial" w:hAnsi="Arial"/>
          <w:sz w:val="16"/>
          <w:szCs w:val="16"/>
          <w:color w:val="auto"/>
        </w:rPr>
        <w:t>Such shares will be sold on the day the Tax Liability arises or as soon thereafter as practicable. The shares may be sold as part of a</w:t>
      </w:r>
      <w:r>
        <w:rPr>
          <w:rFonts w:ascii="Arial" w:cs="Arial" w:eastAsia="Arial" w:hAnsi="Arial"/>
          <w:sz w:val="16"/>
          <w:szCs w:val="16"/>
          <w:b w:val="1"/>
          <w:bCs w:val="1"/>
          <w:color w:val="auto"/>
        </w:rPr>
        <w:t xml:space="preserve"> </w:t>
      </w:r>
      <w:r>
        <w:rPr>
          <w:rFonts w:ascii="Arial" w:cs="Arial" w:eastAsia="Arial" w:hAnsi="Arial"/>
          <w:sz w:val="16"/>
          <w:szCs w:val="16"/>
          <w:color w:val="auto"/>
        </w:rPr>
        <w:t>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the proceeds of such sale exceed your Tax Liability,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 The Company may refuse to issue any Common Stock in settlement of your RSU to you until your Tax Liability is satisfied. To the maximum extent permitted by law, the Company has the right to retain without notice from shares issuable under the RSU or from salary payable to you, shares or cash having a value sufficient to satisfy your tax withholding obligation.</w:t>
      </w:r>
    </w:p>
    <w:p>
      <w:pPr>
        <w:spacing w:after="0" w:line="168" w:lineRule="exact"/>
        <w:rPr>
          <w:rFonts w:ascii="Arial" w:cs="Arial" w:eastAsia="Arial" w:hAnsi="Arial"/>
          <w:sz w:val="16"/>
          <w:szCs w:val="16"/>
          <w:b w:val="1"/>
          <w:bCs w:val="1"/>
          <w:color w:val="auto"/>
        </w:rPr>
      </w:pPr>
    </w:p>
    <w:p>
      <w:pPr>
        <w:jc w:val="both"/>
        <w:ind w:firstLine="464"/>
        <w:spacing w:after="0" w:line="272" w:lineRule="auto"/>
        <w:tabs>
          <w:tab w:leader="none" w:pos="704" w:val="left"/>
        </w:tabs>
        <w:numPr>
          <w:ilvl w:val="1"/>
          <w:numId w:val="41"/>
        </w:numPr>
        <w:rPr>
          <w:rFonts w:ascii="Arial" w:cs="Arial" w:eastAsia="Arial" w:hAnsi="Arial"/>
          <w:sz w:val="17"/>
          <w:szCs w:val="17"/>
          <w:color w:val="auto"/>
        </w:rPr>
      </w:pPr>
      <w:r>
        <w:rPr>
          <w:rFonts w:ascii="Arial" w:cs="Arial" w:eastAsia="Arial" w:hAnsi="Arial"/>
          <w:sz w:val="17"/>
          <w:szCs w:val="17"/>
          <w:color w:val="auto"/>
        </w:rPr>
        <w:t>For purposes of this Agreement, your “Tax Liability” shall mean (i) all federal, state, local and foreign withholding or other taxes applicable to your taxable income, plus (ii) if permitted under the laws of the jurisdiction in which you reside, any liability of the Company Group for income tax, withholding tax and any social security contributions, payroll tax, fringe benefit tax, payment on account obligation or other employment related taxes in any jurisdiction, in each case that may arise as a result of (w) the grant, vesting or settlement of the RSU, (x) the issuance to you of shares of Common Stock on the vesting or settlement of the RSU, (y) the disposition of any shares of Common Stock that were the subject of the RSU, or (z) any other transactions contemplated by this Agreement. To avoid negative accounting treatment, the Company may withhold for the Tax Liability by considering applicable minimum statutory withholding amounts or other applicable withholding rates.</w:t>
      </w:r>
    </w:p>
    <w:p>
      <w:pPr>
        <w:spacing w:after="0" w:line="178"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In accepting the grant, you acknowledge, understand and agree that:</w:t>
      </w:r>
    </w:p>
    <w:p>
      <w:pPr>
        <w:spacing w:after="0" w:line="225" w:lineRule="exact"/>
        <w:rPr>
          <w:rFonts w:ascii="Arial" w:cs="Arial" w:eastAsia="Arial" w:hAnsi="Arial"/>
          <w:sz w:val="18"/>
          <w:szCs w:val="18"/>
          <w:color w:val="auto"/>
        </w:rPr>
      </w:pPr>
    </w:p>
    <w:p>
      <w:pPr>
        <w:jc w:val="both"/>
        <w:ind w:firstLine="464"/>
        <w:spacing w:after="0" w:line="264" w:lineRule="auto"/>
        <w:tabs>
          <w:tab w:leader="none" w:pos="722"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this agreement, the RSU grant and your participation in the Plan shall not create a right to employment, shall not be interpreted as forming an employment or service contract with the Company Group, and shall not interfere with the ability of the Company Group to terminate your employment or service relationship (if any);</w:t>
      </w:r>
    </w:p>
    <w:p>
      <w:pPr>
        <w:spacing w:after="0" w:line="181" w:lineRule="exact"/>
        <w:rPr>
          <w:rFonts w:ascii="Arial" w:cs="Arial" w:eastAsia="Arial" w:hAnsi="Arial"/>
          <w:sz w:val="18"/>
          <w:szCs w:val="18"/>
          <w:color w:val="auto"/>
        </w:rPr>
      </w:pPr>
    </w:p>
    <w:p>
      <w:pPr>
        <w:ind w:firstLine="464"/>
        <w:spacing w:after="0" w:line="342" w:lineRule="auto"/>
        <w:tabs>
          <w:tab w:leader="none" w:pos="717" w:val="left"/>
        </w:tabs>
        <w:numPr>
          <w:ilvl w:val="1"/>
          <w:numId w:val="42"/>
        </w:numPr>
        <w:rPr>
          <w:rFonts w:ascii="Arial" w:cs="Arial" w:eastAsia="Arial" w:hAnsi="Arial"/>
          <w:sz w:val="16"/>
          <w:szCs w:val="16"/>
          <w:color w:val="auto"/>
        </w:rPr>
      </w:pPr>
      <w:r>
        <w:rPr>
          <w:rFonts w:ascii="Arial" w:cs="Arial" w:eastAsia="Arial" w:hAnsi="Arial"/>
          <w:sz w:val="16"/>
          <w:szCs w:val="16"/>
          <w:color w:val="auto"/>
        </w:rPr>
        <w:t>you have no right or entitlement to be granted an award of RSU or shares of Common Stock; the grant of the RSU is voluntary and occasional and does not create any contractual or other right to receive future grants of RSUs, or benefits in lieu of RSUs, even if RSUs have been granted in the past;</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RSU and the shares of Common Stock subject to the RSU are not intended to replace any pension rights or compensation;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124" w:name="page125"/>
    <w:bookmarkEnd w:id="124"/>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decisions with respect to future RSUs or other grants, if any, will be at the sole discretion of the Company;</w:t>
      </w:r>
    </w:p>
    <w:p>
      <w:pPr>
        <w:spacing w:after="0" w:line="225" w:lineRule="exact"/>
        <w:rPr>
          <w:rFonts w:ascii="Arial" w:cs="Arial" w:eastAsia="Arial" w:hAnsi="Arial"/>
          <w:sz w:val="18"/>
          <w:szCs w:val="18"/>
          <w:color w:val="auto"/>
        </w:rPr>
      </w:pPr>
    </w:p>
    <w:p>
      <w:pPr>
        <w:ind w:firstLine="464"/>
        <w:spacing w:after="0" w:line="277" w:lineRule="auto"/>
        <w:tabs>
          <w:tab w:leader="none" w:pos="7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225" w:lineRule="exact"/>
        <w:rPr>
          <w:rFonts w:ascii="Arial" w:cs="Arial" w:eastAsia="Arial" w:hAnsi="Arial"/>
          <w:sz w:val="18"/>
          <w:szCs w:val="18"/>
          <w:color w:val="auto"/>
        </w:rPr>
      </w:pPr>
    </w:p>
    <w:p>
      <w:pPr>
        <w:jc w:val="both"/>
        <w:ind w:firstLine="464"/>
        <w:spacing w:after="0" w:line="264" w:lineRule="auto"/>
        <w:tabs>
          <w:tab w:leader="none" w:pos="7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RSU and the shares of Common Stock subject to the RSU,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 with certainty;</w:t>
      </w:r>
    </w:p>
    <w:p>
      <w:pPr>
        <w:spacing w:after="0" w:line="225" w:lineRule="exact"/>
        <w:rPr>
          <w:rFonts w:ascii="Arial" w:cs="Arial" w:eastAsia="Arial" w:hAnsi="Arial"/>
          <w:sz w:val="18"/>
          <w:szCs w:val="18"/>
          <w:color w:val="auto"/>
        </w:rPr>
      </w:pPr>
    </w:p>
    <w:p>
      <w:pPr>
        <w:ind w:firstLine="464"/>
        <w:spacing w:after="0" w:line="342" w:lineRule="auto"/>
        <w:tabs>
          <w:tab w:leader="none" w:pos="677"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unless otherwise agreed with the Company, the RSU and any shares of Common Stock acquired under the Plan, and the income and value of same, are not granted as consideration for, or in connection with, any service you may provide as a director of any Subsidiary or affiliate of the Company;</w:t>
      </w:r>
    </w:p>
    <w:p>
      <w:pPr>
        <w:spacing w:after="0" w:line="123" w:lineRule="exact"/>
        <w:rPr>
          <w:rFonts w:ascii="Arial" w:cs="Arial" w:eastAsia="Arial" w:hAnsi="Arial"/>
          <w:sz w:val="16"/>
          <w:szCs w:val="16"/>
          <w:color w:val="auto"/>
        </w:rPr>
      </w:pPr>
    </w:p>
    <w:p>
      <w:pPr>
        <w:jc w:val="both"/>
        <w:ind w:firstLine="464"/>
        <w:spacing w:after="0" w:line="264" w:lineRule="auto"/>
        <w:tabs>
          <w:tab w:leader="none" w:pos="6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RSU and the benefits evidenced by this Agreement do not create any entitlement to have the RSU or any such benefits transferred to, or assumed by, another company nor to be exchanged, cashed out or substituted for, in connection with any corporate transaction affecting the shares of Common Stock; and</w:t>
      </w:r>
    </w:p>
    <w:p>
      <w:pPr>
        <w:spacing w:after="0" w:line="181" w:lineRule="exact"/>
        <w:rPr>
          <w:sz w:val="20"/>
          <w:szCs w:val="20"/>
          <w:color w:val="auto"/>
        </w:rPr>
      </w:pPr>
    </w:p>
    <w:p>
      <w:pPr>
        <w:ind w:left="680" w:hanging="216"/>
        <w:spacing w:after="0"/>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following provisions apply only if you are providing services outside the United States:</w:t>
      </w:r>
    </w:p>
    <w:p>
      <w:pPr>
        <w:spacing w:after="0" w:line="225" w:lineRule="exact"/>
        <w:rPr>
          <w:rFonts w:ascii="Arial" w:cs="Arial" w:eastAsia="Arial" w:hAnsi="Arial"/>
          <w:sz w:val="18"/>
          <w:szCs w:val="18"/>
          <w:color w:val="auto"/>
        </w:rPr>
      </w:pPr>
    </w:p>
    <w:p>
      <w:pPr>
        <w:ind w:firstLine="921"/>
        <w:spacing w:after="0" w:line="277" w:lineRule="auto"/>
        <w:tabs>
          <w:tab w:leader="none" w:pos="1234"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RSU and the shares of Common Stock subject to the RSU, and the income and value of same, are not part of normal or expected compensation or salary for any purpose; and</w:t>
      </w:r>
    </w:p>
    <w:p>
      <w:pPr>
        <w:spacing w:after="0" w:line="170" w:lineRule="exact"/>
        <w:rPr>
          <w:rFonts w:ascii="Arial" w:cs="Arial" w:eastAsia="Arial" w:hAnsi="Arial"/>
          <w:sz w:val="18"/>
          <w:szCs w:val="18"/>
          <w:color w:val="auto"/>
        </w:rPr>
      </w:pPr>
    </w:p>
    <w:p>
      <w:pPr>
        <w:jc w:val="both"/>
        <w:ind w:firstLine="921"/>
        <w:spacing w:after="0" w:line="264" w:lineRule="auto"/>
        <w:tabs>
          <w:tab w:leader="none" w:pos="121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Company Group shall not be liable for any foreign exchange rate fluctuation between your local currency and the United States Dollar that may affect the value of the RSU or of any amounts due to you pursuant to the settlement of the RSU or the subsequent sale of any shares of Common Stock acquired upon settlement;</w:t>
      </w:r>
    </w:p>
    <w:p>
      <w:pPr>
        <w:spacing w:after="0" w:line="181" w:lineRule="exact"/>
        <w:rPr>
          <w:rFonts w:ascii="Arial" w:cs="Arial" w:eastAsia="Arial" w:hAnsi="Arial"/>
          <w:sz w:val="18"/>
          <w:szCs w:val="18"/>
          <w:color w:val="auto"/>
        </w:rPr>
      </w:pPr>
    </w:p>
    <w:p>
      <w:pPr>
        <w:jc w:val="both"/>
        <w:ind w:firstLine="921"/>
        <w:spacing w:after="0" w:line="297" w:lineRule="auto"/>
        <w:tabs>
          <w:tab w:leader="none" w:pos="1203" w:val="left"/>
        </w:tabs>
        <w:numPr>
          <w:ilvl w:val="2"/>
          <w:numId w:val="44"/>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RSU resulting from your Termination of Employment, and in consideration of the grant of the RSU to which you are otherwise not entitled, you irrevocably agree never to institute any claim against the Company Group, waive your ability, if any, to bring any such claim, and release the Company Group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w:t>
      </w:r>
    </w:p>
    <w:p>
      <w:pPr>
        <w:spacing w:after="0" w:line="158" w:lineRule="exact"/>
        <w:rPr>
          <w:rFonts w:ascii="Arial" w:cs="Arial" w:eastAsia="Arial" w:hAnsi="Arial"/>
          <w:sz w:val="16"/>
          <w:szCs w:val="16"/>
          <w:color w:val="auto"/>
        </w:rPr>
      </w:pPr>
    </w:p>
    <w:p>
      <w:pPr>
        <w:ind w:firstLine="8"/>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Plan Governs</w:t>
      </w:r>
      <w:r>
        <w:rPr>
          <w:rFonts w:ascii="Arial" w:cs="Arial" w:eastAsia="Arial" w:hAnsi="Arial"/>
          <w:sz w:val="16"/>
          <w:szCs w:val="16"/>
          <w:color w:val="auto"/>
        </w:rPr>
        <w:t>. This RSU award is granted under and governed by the terms and conditions of the Plan. By execution of this Agreement, you consent to the provisions of the Plan and this Agreement. Defined terms used herein shall have the meaning set forth in the Plan, unless otherwise defined herein.</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5" w:name="page126"/>
    <w:bookmarkEnd w:id="125"/>
    <w:p>
      <w:pPr>
        <w:jc w:val="both"/>
        <w:ind w:firstLine="8"/>
        <w:spacing w:after="0" w:line="276"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w:t>
      </w:r>
      <w:r>
        <w:rPr>
          <w:rFonts w:ascii="Arial" w:cs="Arial" w:eastAsia="Arial" w:hAnsi="Arial"/>
          <w:sz w:val="17"/>
          <w:szCs w:val="17"/>
          <w:color w:val="auto"/>
        </w:rPr>
        <w:t>. To the extent applicable, this Agreement and the RSUs shall be interpreted in accordance with Section 409A of the Code and Department of Treasury regulations and other interpretive guidance issued thereunder. This RSU award is not intended to constitute “nonqualified deferred compensation” within the meaning of Section 409A of the Code and the Department of Treasury regulations and other interpretive guidance issued thereunder. For purposes of Section 409A of the Code (including, without limitation, for purposes of Treasury Regulation Section 1.409A-2(b)(2)(iii)), each payment that you may be eligible to receive under this Agreement shall be treated as a separate and distinct payment.</w:t>
      </w:r>
    </w:p>
    <w:p>
      <w:pPr>
        <w:spacing w:after="0" w:line="172" w:lineRule="exact"/>
        <w:rPr>
          <w:rFonts w:ascii="Arial" w:cs="Arial" w:eastAsia="Arial" w:hAnsi="Arial"/>
          <w:sz w:val="17"/>
          <w:szCs w:val="17"/>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Protection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464"/>
        <w:spacing w:after="0" w:line="264" w:lineRule="auto"/>
        <w:tabs>
          <w:tab w:leader="none" w:pos="737" w:val="left"/>
        </w:tabs>
        <w:numPr>
          <w:ilvl w:val="1"/>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hereby explicitly and unambiguously consent to the collection, use and transfer, in electronic or other form, of your personal data as described in this Agreement and any other RSU grant materials by the Company Group for the exclusive purpose of implementing, administering and managing your participation in the Plan.</w:t>
      </w:r>
    </w:p>
    <w:p>
      <w:pPr>
        <w:spacing w:after="0" w:line="181" w:lineRule="exact"/>
        <w:rPr>
          <w:rFonts w:ascii="Arial" w:cs="Arial" w:eastAsia="Arial" w:hAnsi="Arial"/>
          <w:sz w:val="18"/>
          <w:szCs w:val="18"/>
          <w:b w:val="1"/>
          <w:bCs w:val="1"/>
          <w:i w:val="1"/>
          <w:iCs w:val="1"/>
          <w:color w:val="auto"/>
        </w:rPr>
      </w:pPr>
    </w:p>
    <w:p>
      <w:pPr>
        <w:jc w:val="both"/>
        <w:ind w:firstLine="464"/>
        <w:spacing w:after="0" w:line="302" w:lineRule="auto"/>
        <w:tabs>
          <w:tab w:leader="none" w:pos="731" w:val="left"/>
        </w:tabs>
        <w:numPr>
          <w:ilvl w:val="1"/>
          <w:numId w:val="4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You understand that the Company Group may hold certain personal information about you, including, but not limited to, your name, home address and telephone number, date of birth, social insurance number or other identification number, salary, nationality, job title, any shares of Common Stock or directorships held in the Company, details of all RSUs or any other entitlement to shares of stock awarded, canceled, exercised, vested, unvested or outstanding in your favor (“Data”), for the exclusive purpose of implementing, administering and managing the Plan.</w:t>
      </w:r>
    </w:p>
    <w:p>
      <w:pPr>
        <w:spacing w:after="0" w:line="154" w:lineRule="exact"/>
        <w:rPr>
          <w:rFonts w:ascii="Arial" w:cs="Arial" w:eastAsia="Arial" w:hAnsi="Arial"/>
          <w:sz w:val="16"/>
          <w:szCs w:val="16"/>
          <w:b w:val="1"/>
          <w:bCs w:val="1"/>
          <w:i w:val="1"/>
          <w:iCs w:val="1"/>
          <w:color w:val="auto"/>
        </w:rPr>
      </w:pPr>
    </w:p>
    <w:p>
      <w:pPr>
        <w:jc w:val="both"/>
        <w:ind w:firstLine="464"/>
        <w:spacing w:after="0" w:line="306" w:lineRule="auto"/>
        <w:tabs>
          <w:tab w:leader="none" w:pos="710" w:val="left"/>
        </w:tabs>
        <w:numPr>
          <w:ilvl w:val="1"/>
          <w:numId w:val="4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You understand that Data will be transferred to E*TRADE Securities LLC, or such other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the Data by contacting your local human resources representative. You authorize the Company Group, E*TRADE Securities LLC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if you reside outside the United States,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employment status or service and career with the Employer will not be adversely affected; the only adverse consequence of refusing or withdrawing your consent is that the Company would not be able to grant you RSUs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 This Section applies to information held, used or disclosed in any medium.</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26" w:name="page127"/>
    <w:bookmarkEnd w:id="126"/>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and Venue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77" w:lineRule="auto"/>
        <w:tabs>
          <w:tab w:leader="none" w:pos="721"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RSU grant and the provisions of this Agreement are governed by, and subject to, the laws of the State of California, without regard to the conflict of law provisions, as provided in the Plan.</w:t>
      </w:r>
    </w:p>
    <w:p>
      <w:pPr>
        <w:spacing w:after="0" w:line="170" w:lineRule="exact"/>
        <w:rPr>
          <w:rFonts w:ascii="Arial" w:cs="Arial" w:eastAsia="Arial" w:hAnsi="Arial"/>
          <w:sz w:val="18"/>
          <w:szCs w:val="18"/>
          <w:color w:val="auto"/>
        </w:rPr>
      </w:pPr>
    </w:p>
    <w:p>
      <w:pPr>
        <w:jc w:val="both"/>
        <w:ind w:firstLine="464"/>
        <w:spacing w:after="0" w:line="264" w:lineRule="auto"/>
        <w:tabs>
          <w:tab w:leader="none" w:pos="73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181" w:lineRule="exact"/>
        <w:rPr>
          <w:rFonts w:ascii="Arial" w:cs="Arial" w:eastAsia="Arial" w:hAnsi="Arial"/>
          <w:sz w:val="18"/>
          <w:szCs w:val="18"/>
          <w:color w:val="auto"/>
        </w:rPr>
      </w:pPr>
    </w:p>
    <w:p>
      <w:pPr>
        <w:ind w:firstLine="8"/>
        <w:spacing w:after="0" w:line="277"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you have received this Agreement or any other document related to the Plan translated into a language other than English and if the meaning of the translated version is different than the English version, the English version will control.</w:t>
      </w:r>
    </w:p>
    <w:p>
      <w:pPr>
        <w:spacing w:after="0" w:line="170" w:lineRule="exact"/>
        <w:rPr>
          <w:rFonts w:ascii="Arial" w:cs="Arial" w:eastAsia="Arial" w:hAnsi="Arial"/>
          <w:sz w:val="18"/>
          <w:szCs w:val="18"/>
          <w:color w:val="auto"/>
        </w:rPr>
      </w:pPr>
    </w:p>
    <w:p>
      <w:pPr>
        <w:jc w:val="both"/>
        <w:ind w:firstLine="8"/>
        <w:spacing w:after="0" w:line="264"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81" w:lineRule="exact"/>
        <w:rPr>
          <w:rFonts w:ascii="Arial" w:cs="Arial" w:eastAsia="Arial" w:hAnsi="Arial"/>
          <w:sz w:val="18"/>
          <w:szCs w:val="18"/>
          <w:color w:val="auto"/>
        </w:rPr>
      </w:pPr>
    </w:p>
    <w:p>
      <w:pPr>
        <w:ind w:firstLine="8"/>
        <w:spacing w:after="0" w:line="277"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jc w:val="both"/>
        <w:ind w:firstLine="8"/>
        <w:spacing w:after="0" w:line="259" w:lineRule="auto"/>
        <w:tabs>
          <w:tab w:leader="none" w:pos="29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RSU grant shall be subject to any special terms and conditions set forth in any Appendix to this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86" w:lineRule="exact"/>
        <w:rPr>
          <w:rFonts w:ascii="Arial" w:cs="Arial" w:eastAsia="Arial" w:hAnsi="Arial"/>
          <w:sz w:val="18"/>
          <w:szCs w:val="18"/>
          <w:color w:val="auto"/>
        </w:rPr>
      </w:pPr>
    </w:p>
    <w:p>
      <w:pPr>
        <w:jc w:val="both"/>
        <w:ind w:firstLine="8"/>
        <w:spacing w:after="0" w:line="286" w:lineRule="auto"/>
        <w:tabs>
          <w:tab w:leader="none" w:pos="27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Imposition of Other Requirements</w:t>
      </w:r>
      <w:r>
        <w:rPr>
          <w:rFonts w:ascii="Arial" w:cs="Arial" w:eastAsia="Arial" w:hAnsi="Arial"/>
          <w:sz w:val="17"/>
          <w:szCs w:val="17"/>
          <w:color w:val="auto"/>
        </w:rPr>
        <w:t>. The Company reserves the right to impose other requirements on your participation in the Plan, on the RSU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65" w:lineRule="exact"/>
        <w:rPr>
          <w:rFonts w:ascii="Arial" w:cs="Arial" w:eastAsia="Arial" w:hAnsi="Arial"/>
          <w:sz w:val="17"/>
          <w:szCs w:val="17"/>
          <w:color w:val="auto"/>
        </w:rPr>
      </w:pPr>
    </w:p>
    <w:p>
      <w:pPr>
        <w:ind w:firstLine="8"/>
        <w:spacing w:after="0" w:line="277"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70" w:lineRule="exact"/>
        <w:rPr>
          <w:rFonts w:ascii="Arial" w:cs="Arial" w:eastAsia="Arial" w:hAnsi="Arial"/>
          <w:sz w:val="18"/>
          <w:szCs w:val="18"/>
          <w:color w:val="auto"/>
        </w:rPr>
      </w:pPr>
    </w:p>
    <w:p>
      <w:pPr>
        <w:jc w:val="both"/>
        <w:ind w:firstLine="8"/>
        <w:spacing w:after="0" w:line="255"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You acknowledge that, depending on your country of residence, you may be subject to insider trading restrictions and/or market abuse laws, which may affect your ability to acquire or sell shares of Common Stock or rights to shares of Common Stock under the Plan during such times when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further acknowledge that it is your responsibility to comply with any applicable restrictions, and you are advised to speak to your personal advisor on this matter.</w:t>
      </w:r>
    </w:p>
    <w:p>
      <w:pPr>
        <w:spacing w:after="0" w:line="193" w:lineRule="exact"/>
        <w:rPr>
          <w:rFonts w:ascii="Arial" w:cs="Arial" w:eastAsia="Arial" w:hAnsi="Arial"/>
          <w:sz w:val="18"/>
          <w:szCs w:val="18"/>
          <w:color w:val="auto"/>
        </w:rPr>
      </w:pPr>
    </w:p>
    <w:p>
      <w:pPr>
        <w:ind w:firstLine="8"/>
        <w:spacing w:after="0" w:line="277" w:lineRule="auto"/>
        <w:tabs>
          <w:tab w:leader="none" w:pos="31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Foreign Asset / Account Reporting Requirements</w:t>
      </w:r>
      <w:r>
        <w:rPr>
          <w:rFonts w:ascii="Arial" w:cs="Arial" w:eastAsia="Arial" w:hAnsi="Arial"/>
          <w:sz w:val="18"/>
          <w:szCs w:val="18"/>
          <w:color w:val="auto"/>
        </w:rPr>
        <w:t>. You acknowledge that your country may have certain foreign asset and/or account reporting requirements and exchange controls which may affect your</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7" w:name="page128"/>
    <w:bookmarkEnd w:id="12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ability to acquire or hold shares of Common Stock under the Plan or cash received from participating in the Plan (including from any dividends received or sale proceeds arising from the sale of shares of Common Stock) in a brokerage or bank account outside your country. You understand that you may be required to report such accounts, assets or related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of Common Stock. You acknowledge that it is your responsibility to be compliant with all such requirements, and you are advised to speak to your personal advisor on this matter.</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EQUITY PARTICIPATION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VERSION)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GRANTEES OUTSIDE THE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Appendix includes additional terms and conditions that govern the RSUs granted to you under the Plan if you reside in one of the countries listed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capitalized terms used but not defined in this Appendix have the meanings set forth in the Plan and/or the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Appendix also includes information regarding exchange controls and certain other issues of which you should be aware with respect to your participation in the Plan. The information is based on the securities, exchange control and other laws in effect in the respective countries as of May 2016.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vest in the RSUs.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if you are a citizen or resident of a country other than the one in which you are currently working, transfer employment to another country after the Grant Date, or are considered a resident of another country for tax or exchange control purposes, the information contained herein may not be applicable to you.</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Australian Offer Document</w:t>
      </w:r>
      <w:r>
        <w:rPr>
          <w:rFonts w:ascii="Arial" w:cs="Arial" w:eastAsia="Arial" w:hAnsi="Arial"/>
          <w:sz w:val="18"/>
          <w:szCs w:val="18"/>
          <w:color w:val="auto"/>
        </w:rPr>
        <w:t>. This offer of RSUs under the Plan is intended to comply with the provisions of the Corporations Act 2001, ASIC Regulatory Guide 49 and ASIC Class Order CO 14/1000. Additional details are set forth in the Offer Document for the offer of RSUs to Australian-resident employees, which will be provided to you with the Agreement.</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Exchange control reporting is required for cash transactions exceeding A$10,000 and international fund transfers. The Australian bank assisting with the transaction will file the report. If there is no Australian bank involved in the transfer, you will be required to file the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w:t>
      </w:r>
      <w:r>
        <w:rPr>
          <w:rFonts w:ascii="Arial" w:cs="Arial" w:eastAsia="Arial" w:hAnsi="Arial"/>
          <w:sz w:val="15"/>
          <w:szCs w:val="15"/>
          <w:b w:val="1"/>
          <w:bCs w:val="1"/>
          <w:u w:val="single" w:color="auto"/>
          <w:color w:val="auto"/>
        </w:rPr>
        <w:t>ERMANY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29" w:name="page130"/>
    <w:bookmarkEnd w:id="129"/>
    <w:p>
      <w:pPr>
        <w:jc w:val="both"/>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Control Notification</w:t>
      </w:r>
      <w:r>
        <w:rPr>
          <w:rFonts w:ascii="Arial" w:cs="Arial" w:eastAsia="Arial" w:hAnsi="Arial"/>
          <w:sz w:val="18"/>
          <w:szCs w:val="18"/>
          <w:color w:val="auto"/>
        </w:rPr>
        <w:t>. Cross-border payments in connection with the sale of securities in excess of €12,500 must be reported monthly to the German Federal Bank. You are responsible for satisfying the reporting obligation and must file the report electronically by the fifth day of the month following the month in which the payment is made. A copy of the form can be accessed via the German Federal Bank’s website at www.bundesbank.de and is available in both German and English. No report is required for payments less than €12,500.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Indian residents must repatriate to India any proceeds from the sale of shares of Common Stock acquired under the Plan within 90 days of receipt and any cash dividends paid upon such shares of Common Stock within 180 days of receipt. If you repatriate funds pursuant to these requirements, the bank where the foreign currency is deposited will provide you with a foreign inward remittance certificate (“FIRC”). You should maintain the FIRC as evidence of the repatriation of funds in the event the Reserve Bank of India or the Employer requests proof of repatriation.</w:t>
      </w:r>
    </w:p>
    <w:p>
      <w:pPr>
        <w:spacing w:after="0" w:line="15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u w:val="single" w:color="auto"/>
          <w:color w:val="auto"/>
        </w:rPr>
        <w:t>Foreign Asset /Account Reporting</w:t>
      </w:r>
      <w:r>
        <w:rPr>
          <w:rFonts w:ascii="Arial" w:cs="Arial" w:eastAsia="Arial" w:hAnsi="Arial"/>
          <w:sz w:val="16"/>
          <w:szCs w:val="16"/>
          <w:color w:val="auto"/>
        </w:rPr>
        <w:t>. Indian residents are required to declare any foreign bank accounts and assets (including shares of Common Stock acquired under the Plan) on their annual tax returns. You should consult with your personal tax advisor to ensure compliance with applicable reporting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w:t>
      </w:r>
      <w:r>
        <w:rPr>
          <w:rFonts w:ascii="Arial" w:cs="Arial" w:eastAsia="Arial" w:hAnsi="Arial"/>
          <w:sz w:val="15"/>
          <w:szCs w:val="15"/>
          <w:b w:val="1"/>
          <w:bCs w:val="1"/>
          <w:u w:val="single" w:color="auto"/>
          <w:color w:val="auto"/>
        </w:rPr>
        <w:t>NITED</w:t>
      </w:r>
      <w:r>
        <w:rPr>
          <w:rFonts w:ascii="Arial" w:cs="Arial" w:eastAsia="Arial" w:hAnsi="Arial"/>
          <w:sz w:val="18"/>
          <w:szCs w:val="18"/>
          <w:b w:val="1"/>
          <w:bCs w:val="1"/>
          <w:u w:val="single" w:color="auto"/>
          <w:color w:val="auto"/>
        </w:rPr>
        <w:t xml:space="preserve"> K</w:t>
      </w:r>
      <w:r>
        <w:rPr>
          <w:rFonts w:ascii="Arial" w:cs="Arial" w:eastAsia="Arial" w:hAnsi="Arial"/>
          <w:sz w:val="15"/>
          <w:szCs w:val="15"/>
          <w:b w:val="1"/>
          <w:bCs w:val="1"/>
          <w:u w:val="single" w:color="auto"/>
          <w:color w:val="auto"/>
        </w:rPr>
        <w:t>INGDOM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United Kingdom, only Employees are eligible to be granted RSUs pursuant to the following additional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This section supplements Section 6 of the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You agree that if you do not pay or the Employer or the Company does not withhold from you the full amount of income tax that you owe due to the vesting of the RSUs, or the release or assignment of the RSUs for consideration, or the receipt of any other benefit in connection with the RSUs (the “Taxable Event”) within 90 days after the end of the tax year in which the Taxable Event occurs or such other period specified in Section 222(1)(c) of the U.K. Income Tax (Earnings and Pensions) Act 2003 (the “Due Date”), then the amount that should have been withheld shall constitute a loan owed by you to the Employer, effective as of the Due Date. You agree that the loan will bear interest at the then current rate of Her Majesty’s Revenue and Customs (“HMRC”) and will be immediately due and repayable by you, and the Company and/or the Employer may recover it at any time thereafter by withholding the funds from salary, bonus or any other funds due to you by the Employer, by withholding in shares of Common Stock issued upon vesting and settlement of the RSUs or from the cash proceeds from the sale of shares or by demanding cash or a cheque from the Participant. You also authorize the Company to delay the issuance of any shares of Common Stock to you unless and until the loan is repaid in full.</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if your are a director or executive officer (as within the meaning of Section 13(k) of the Exchange Act), the terms of the immediately foregoing provision will not apply. In the event that you are a director or executive officer and income tax is not collected from or paid by you by the Due Date, the amount of any uncollected income tax may constitute a benefit to you on which additional income tax and national insurance contributions may be payable. You acknowledge that the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0" w:name="page131"/>
    <w:bookmarkEnd w:id="13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the Employer may recover any such additional income tax and national insurance contributions at any time thereafter by any of the means referred to in Section 6 of the Agreement. However, you are primarily responsible for reporting and paying any income tax and national insurance contributions due on this additional benefit directly to HMRC under the self-assessment regime.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RSUs Payable in Shares</w:t>
      </w:r>
      <w:r>
        <w:rPr>
          <w:rFonts w:ascii="Arial" w:cs="Arial" w:eastAsia="Arial" w:hAnsi="Arial"/>
          <w:sz w:val="18"/>
          <w:szCs w:val="18"/>
          <w:color w:val="auto"/>
        </w:rPr>
        <w:t>. Notwithstanding any discretion in the Plan or anything to the contrary in the Agreement, RSUs do not provide any right for you to receive a cash payment; the RSUs are payable in shares of Common Stock only.</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21.1</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3740" w:type="dxa"/>
            <w:vAlign w:val="bottom"/>
          </w:tcPr>
          <w:p>
            <w:pPr>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r>
      <w:tr>
        <w:trPr>
          <w:trHeight w:val="189"/>
        </w:trPr>
        <w:tc>
          <w:tcPr>
            <w:tcW w:w="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Engreen,</w:t>
            </w:r>
          </w:p>
        </w:tc>
        <w:tc>
          <w:tcPr>
            <w:tcW w:w="3400" w:type="dxa"/>
            <w:vAlign w:val="bottom"/>
          </w:tcPr>
          <w:p>
            <w:pPr>
              <w:spacing w:after="0" w:line="189" w:lineRule="exact"/>
              <w:rPr>
                <w:sz w:val="20"/>
                <w:szCs w:val="20"/>
                <w:color w:val="auto"/>
              </w:rPr>
            </w:pPr>
            <w:r>
              <w:rPr>
                <w:rFonts w:ascii="Arial" w:cs="Arial" w:eastAsia="Arial" w:hAnsi="Arial"/>
                <w:sz w:val="18"/>
                <w:szCs w:val="18"/>
                <w:color w:val="auto"/>
              </w:rPr>
              <w:t>Inc.</w:t>
            </w:r>
          </w:p>
        </w:tc>
        <w:tc>
          <w:tcPr>
            <w:tcW w:w="3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California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Engreen India Private Limited</w:t>
            </w:r>
          </w:p>
        </w:tc>
        <w:tc>
          <w:tcPr>
            <w:tcW w:w="374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Euro Broadband Retail Sàrl</w:t>
            </w:r>
          </w:p>
        </w:tc>
        <w:tc>
          <w:tcPr>
            <w:tcW w:w="374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Exede Communications Limitada</w:t>
            </w:r>
          </w:p>
        </w:tc>
        <w:tc>
          <w:tcPr>
            <w:tcW w:w="374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Exede DEU GmbH</w:t>
            </w:r>
          </w:p>
        </w:tc>
        <w:tc>
          <w:tcPr>
            <w:tcW w:w="374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IOM Licensing Holding Company Limited</w:t>
            </w:r>
          </w:p>
        </w:tc>
        <w:tc>
          <w:tcPr>
            <w:tcW w:w="3740" w:type="dxa"/>
            <w:vAlign w:val="bottom"/>
          </w:tcPr>
          <w:p>
            <w:pPr>
              <w:spacing w:after="0"/>
              <w:rPr>
                <w:sz w:val="20"/>
                <w:szCs w:val="20"/>
                <w:color w:val="auto"/>
              </w:rPr>
            </w:pPr>
            <w:r>
              <w:rPr>
                <w:rFonts w:ascii="Arial" w:cs="Arial" w:eastAsia="Arial" w:hAnsi="Arial"/>
                <w:sz w:val="18"/>
                <w:szCs w:val="18"/>
                <w:color w:val="auto"/>
              </w:rPr>
              <w:t>Isle of Man</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Thames Space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(IOM) Limited</w:t>
            </w:r>
          </w:p>
        </w:tc>
        <w:tc>
          <w:tcPr>
            <w:tcW w:w="3740" w:type="dxa"/>
            <w:vAlign w:val="bottom"/>
          </w:tcPr>
          <w:p>
            <w:pPr>
              <w:spacing w:after="0"/>
              <w:rPr>
                <w:sz w:val="20"/>
                <w:szCs w:val="20"/>
                <w:color w:val="auto"/>
              </w:rPr>
            </w:pPr>
            <w:r>
              <w:rPr>
                <w:rFonts w:ascii="Arial" w:cs="Arial" w:eastAsia="Arial" w:hAnsi="Arial"/>
                <w:sz w:val="18"/>
                <w:szCs w:val="18"/>
                <w:color w:val="auto"/>
              </w:rPr>
              <w:t>Isle of Man</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Antenna Systems S.A.</w:t>
            </w:r>
          </w:p>
        </w:tc>
        <w:tc>
          <w:tcPr>
            <w:tcW w:w="374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Australia PTY Limited</w:t>
            </w:r>
          </w:p>
        </w:tc>
        <w:tc>
          <w:tcPr>
            <w:tcW w:w="374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China Services, Inc.</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Europe S.r.L.</w:t>
            </w:r>
          </w:p>
        </w:tc>
        <w:tc>
          <w:tcPr>
            <w:tcW w:w="374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India Pvt. Ltd.</w:t>
            </w:r>
          </w:p>
        </w:tc>
        <w:tc>
          <w:tcPr>
            <w:tcW w:w="374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Peru S.R.L.</w:t>
            </w:r>
          </w:p>
        </w:tc>
        <w:tc>
          <w:tcPr>
            <w:tcW w:w="3740" w:type="dxa"/>
            <w:vAlign w:val="bottom"/>
          </w:tcPr>
          <w:p>
            <w:pPr>
              <w:spacing w:after="0"/>
              <w:rPr>
                <w:sz w:val="20"/>
                <w:szCs w:val="20"/>
                <w:color w:val="auto"/>
              </w:rPr>
            </w:pPr>
            <w:r>
              <w:rPr>
                <w:rFonts w:ascii="Arial" w:cs="Arial" w:eastAsia="Arial" w:hAnsi="Arial"/>
                <w:sz w:val="18"/>
                <w:szCs w:val="18"/>
                <w:color w:val="auto"/>
              </w:rPr>
              <w:t>Peru</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Satellite Holdings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ViaSat Satellite Ventures Holdings Luxembourg S.a.r.l.  Luxembourg</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Stimulus, LLC</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Technologies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Tecnologia S.A. de C.V.</w:t>
            </w:r>
          </w:p>
        </w:tc>
        <w:tc>
          <w:tcPr>
            <w:tcW w:w="374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UK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Worldwide Limited</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Inc. Limitada</w:t>
            </w:r>
          </w:p>
        </w:tc>
        <w:tc>
          <w:tcPr>
            <w:tcW w:w="3740" w:type="dxa"/>
            <w:vAlign w:val="bottom"/>
          </w:tcPr>
          <w:p>
            <w:pPr>
              <w:spacing w:after="0"/>
              <w:rPr>
                <w:sz w:val="20"/>
                <w:szCs w:val="20"/>
                <w:color w:val="auto"/>
              </w:rPr>
            </w:pPr>
            <w:r>
              <w:rPr>
                <w:rFonts w:ascii="Arial" w:cs="Arial" w:eastAsia="Arial" w:hAnsi="Arial"/>
                <w:sz w:val="18"/>
                <w:szCs w:val="18"/>
                <w:color w:val="auto"/>
              </w:rPr>
              <w:t>Chile</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Wildblue Communications Canada Corp.</w:t>
            </w:r>
          </w:p>
        </w:tc>
        <w:tc>
          <w:tcPr>
            <w:tcW w:w="3740" w:type="dxa"/>
            <w:vAlign w:val="bottom"/>
          </w:tcPr>
          <w:p>
            <w:pPr>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0220"/>
          </w:cols>
          <w:pgMar w:left="14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333-74276, 333-85522, 333-135652, 333-141238, 333-143425 and 333-209452) and Form S-8 (File Nos. 333-21113, 333-40396, 333-67010, 333-68757, 333-82340, 333-109959, 333-131377, 333-131382, 333-153828, 333-159708, 333-160361, 333-167379, 333-169593, 333-182015, 333-184029, 333-191326, 333-204440, and 333-207064) of ViaSat, Inc. of our report dated May 26, 2016 relating to the financial statements, financial statement schedule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26, 2016</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26,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26,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460" w:right="180" w:firstLine="443"/>
        <w:spacing w:after="0" w:line="308" w:lineRule="auto"/>
        <w:tabs>
          <w:tab w:leader="none" w:pos="114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fiscal year ended March 31, 2016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460" w:right="660" w:firstLine="443"/>
        <w:spacing w:after="0" w:line="277" w:lineRule="auto"/>
        <w:tabs>
          <w:tab w:leader="none" w:pos="11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26,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460" w:right="180" w:firstLine="443"/>
        <w:spacing w:after="0" w:line="308" w:lineRule="auto"/>
        <w:tabs>
          <w:tab w:leader="none" w:pos="114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fiscal year ended March 31, 2016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460" w:right="660" w:firstLine="443"/>
        <w:spacing w:after="0" w:line="277" w:lineRule="auto"/>
        <w:tabs>
          <w:tab w:leader="none" w:pos="11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26,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2"/>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2"/>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lowerRoman"/>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lvl w:ilvl="1">
      <w:lvlJc w:val="left"/>
      <w:lvlText w:val="(%2)"/>
      <w:numFmt w:val="lowerLetter"/>
      <w:start w:val="1"/>
    </w:lvl>
  </w:abstractNum>
  <w:abstractNum w:abstractNumId="40">
    <w:nsid w:val="4B588F54"/>
    <w:multiLevelType w:val="hybridMultilevel"/>
    <w:lvl w:ilvl="0">
      <w:lvlJc w:val="left"/>
      <w:lvlText w:val="(%1)"/>
      <w:numFmt w:val="lowerLetter"/>
      <w:start w:val="9"/>
    </w:lvl>
    <w:lvl w:ilvl="1">
      <w:lvlJc w:val="left"/>
      <w:lvlText w:val="(%2)"/>
      <w:numFmt w:val="lowerLetter"/>
      <w:start w:val="3"/>
    </w:lvl>
  </w:abstractNum>
  <w:abstractNum w:abstractNumId="41">
    <w:nsid w:val="542289EC"/>
    <w:multiLevelType w:val="hybridMultilevel"/>
    <w:lvl w:ilvl="0">
      <w:lvlJc w:val="left"/>
      <w:lvlText w:val="%1."/>
      <w:numFmt w:val="decimal"/>
      <w:start w:val="7"/>
    </w:lvl>
    <w:lvl w:ilvl="1">
      <w:lvlJc w:val="left"/>
      <w:lvlText w:val="(%2)"/>
      <w:numFmt w:val="lowerLetter"/>
      <w:start w:val="1"/>
    </w:lvl>
  </w:abstractNum>
  <w:abstractNum w:abstractNumId="42">
    <w:nsid w:val="6DE91B18"/>
    <w:multiLevelType w:val="hybridMultilevel"/>
    <w:lvl w:ilvl="0">
      <w:lvlJc w:val="left"/>
      <w:lvlText w:val="(%1)"/>
      <w:numFmt w:val="lowerLetter"/>
      <w:start w:val="4"/>
    </w:lvl>
  </w:abstractNum>
  <w:abstractNum w:abstractNumId="43">
    <w:nsid w:val="38437FDB"/>
    <w:multiLevelType w:val="hybridMultilevel"/>
    <w:lvl w:ilvl="0">
      <w:lvlJc w:val="left"/>
      <w:lvlText w:val="%1"/>
      <w:numFmt w:val="decimal"/>
      <w:start w:val="1"/>
    </w:lvl>
    <w:lvl w:ilvl="1">
      <w:lvlJc w:val="left"/>
      <w:lvlText w:val="(%2)"/>
      <w:numFmt w:val="lowerLetter"/>
      <w:start w:val="12"/>
    </w:lvl>
    <w:lvl w:ilvl="2">
      <w:lvlJc w:val="left"/>
      <w:lvlText w:val="(%3)"/>
      <w:numFmt w:val="upperLetter"/>
      <w:start w:val="1"/>
    </w:lvl>
  </w:abstractNum>
  <w:abstractNum w:abstractNumId="44">
    <w:nsid w:val="7644A45C"/>
    <w:multiLevelType w:val="hybridMultilevel"/>
    <w:lvl w:ilvl="0">
      <w:lvlJc w:val="left"/>
      <w:lvlText w:val="%1."/>
      <w:numFmt w:val="decimal"/>
      <w:start w:val="8"/>
    </w:lvl>
    <w:lvl w:ilvl="1">
      <w:lvlJc w:val="left"/>
      <w:lvlText w:val="%2"/>
      <w:numFmt w:val="lowerLetter"/>
      <w:start w:val="1"/>
    </w:lvl>
    <w:lvl w:ilvl="2">
      <w:lvlJc w:val="left"/>
      <w:lvlText w:val="%3"/>
      <w:numFmt w:val="upperLetter"/>
      <w:start w:val="1"/>
    </w:lvl>
  </w:abstractNum>
  <w:abstractNum w:abstractNumId="45">
    <w:nsid w:val="32FFF902"/>
    <w:multiLevelType w:val="hybridMultilevel"/>
    <w:lvl w:ilvl="0">
      <w:lvlJc w:val="left"/>
      <w:lvlText w:val="%1."/>
      <w:numFmt w:val="decimal"/>
      <w:start w:val="9"/>
    </w:lvl>
    <w:lvl w:ilvl="1">
      <w:lvlJc w:val="left"/>
      <w:lvlText w:val="(%2)"/>
      <w:numFmt w:val="lowerLetter"/>
      <w:start w:val="1"/>
    </w:lvl>
  </w:abstractNum>
  <w:abstractNum w:abstractNumId="46">
    <w:nsid w:val="684A481A"/>
    <w:multiLevelType w:val="hybridMultilevel"/>
    <w:lvl w:ilvl="0">
      <w:lvlJc w:val="left"/>
      <w:lvlText w:val="%1."/>
      <w:numFmt w:val="decimal"/>
      <w:start w:val="11"/>
    </w:lvl>
    <w:lvl w:ilvl="1">
      <w:lvlJc w:val="left"/>
      <w:lvlText w:val="(%2)"/>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2019-12-29T10:29:12Z</dcterms:created>
  <dcterms:modified xsi:type="dcterms:W3CDTF">2019-12-29T10:29:12Z</dcterms:modified>
</cp:coreProperties>
</file>