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4"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under Rule 14a-12</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VIASAT, INC.</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34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-130175</wp:posOffset>
            </wp:positionV>
            <wp:extent cx="3627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640" w:hanging="212"/>
        <w:spacing w:after="0" w:line="30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702945</wp:posOffset>
            </wp:positionV>
            <wp:extent cx="1132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205740</wp:posOffset>
            </wp:positionV>
            <wp:extent cx="1551940"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October 2, 2008</w:t>
      </w:r>
    </w:p>
    <w:p>
      <w:pPr>
        <w:spacing w:after="0" w:line="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Fellow Stockholder:</w:t>
      </w:r>
    </w:p>
    <w:p>
      <w:pPr>
        <w:spacing w:after="0" w:line="131"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You are cordially invited to attend our 2008 annual meeting of stockholders, which will be held at the corporate offices of ViaSat, located at 6155 El Camino Real, Carlsbad, California on October 2, 2008 at 8:30 a.m. Pacific Time. We are holding the annual meeting for the following purposes:</w:t>
      </w:r>
    </w:p>
    <w:p>
      <w:pPr>
        <w:spacing w:after="0" w:line="87" w:lineRule="exact"/>
        <w:rPr>
          <w:sz w:val="20"/>
          <w:szCs w:val="20"/>
          <w:color w:val="auto"/>
        </w:rPr>
      </w:pPr>
    </w:p>
    <w:p>
      <w:pPr>
        <w:ind w:left="1080" w:right="100" w:firstLine="391"/>
        <w:spacing w:after="0" w:line="277" w:lineRule="auto"/>
        <w:tabs>
          <w:tab w:leader="none" w:pos="1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Mark D. Dankberg, Michael B. Targoff and Harvey P. White to serve as Class III Directors for a three-year term to expire at the 2011 annual meeting of stockholders.</w:t>
      </w:r>
    </w:p>
    <w:p>
      <w:pPr>
        <w:spacing w:after="0" w:line="75" w:lineRule="exact"/>
        <w:rPr>
          <w:rFonts w:ascii="Arial" w:cs="Arial" w:eastAsia="Arial" w:hAnsi="Arial"/>
          <w:sz w:val="18"/>
          <w:szCs w:val="18"/>
          <w:color w:val="auto"/>
        </w:rPr>
      </w:pPr>
    </w:p>
    <w:p>
      <w:pPr>
        <w:ind w:left="1080" w:right="40" w:firstLine="391"/>
        <w:spacing w:after="0" w:line="277" w:lineRule="auto"/>
        <w:tabs>
          <w:tab w:leader="none" w:pos="1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ViaSat’s independent registered public accounting firm for the fiscal year ending April 3, 2009.</w:t>
      </w:r>
    </w:p>
    <w:p>
      <w:pPr>
        <w:spacing w:after="0" w:line="75" w:lineRule="exact"/>
        <w:rPr>
          <w:rFonts w:ascii="Arial" w:cs="Arial" w:eastAsia="Arial" w:hAnsi="Arial"/>
          <w:sz w:val="18"/>
          <w:szCs w:val="18"/>
          <w:color w:val="auto"/>
        </w:rPr>
      </w:pPr>
    </w:p>
    <w:p>
      <w:pPr>
        <w:ind w:left="1640" w:hanging="169"/>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1996 Equity Participation Plan.</w:t>
      </w:r>
    </w:p>
    <w:p>
      <w:pPr>
        <w:spacing w:after="0" w:line="130" w:lineRule="exact"/>
        <w:rPr>
          <w:rFonts w:ascii="Arial" w:cs="Arial" w:eastAsia="Arial" w:hAnsi="Arial"/>
          <w:sz w:val="18"/>
          <w:szCs w:val="18"/>
          <w:color w:val="auto"/>
        </w:rPr>
      </w:pPr>
    </w:p>
    <w:p>
      <w:pPr>
        <w:ind w:left="1080" w:right="120" w:firstLine="391"/>
        <w:spacing w:after="0" w:line="277" w:lineRule="auto"/>
        <w:tabs>
          <w:tab w:leader="none" w:pos="1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other business that may properly come before the annual meeting or any adjournments or postponements of the meeting.</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These items are fully described in the proxy statement, which is part of this notice. We have not received notice of other matters that may be properly presented at the annual meeting.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All stockholders of record at the close of business on August 11, 2008, the record date, are entitled to vote at the annual meeting.</w:t>
      </w:r>
    </w:p>
    <w:p>
      <w:pPr>
        <w:spacing w:after="0" w:line="46" w:lineRule="exact"/>
        <w:rPr>
          <w:sz w:val="20"/>
          <w:szCs w:val="20"/>
          <w:color w:val="auto"/>
        </w:rPr>
      </w:pPr>
    </w:p>
    <w:p>
      <w:pPr>
        <w:ind w:left="700" w:right="40"/>
        <w:spacing w:after="0" w:line="254" w:lineRule="auto"/>
        <w:rPr>
          <w:sz w:val="20"/>
          <w:szCs w:val="20"/>
          <w:color w:val="auto"/>
        </w:rPr>
      </w:pPr>
      <w:r>
        <w:rPr>
          <w:rFonts w:ascii="Arial" w:cs="Arial" w:eastAsia="Arial" w:hAnsi="Arial"/>
          <w:sz w:val="18"/>
          <w:szCs w:val="18"/>
          <w:b w:val="1"/>
          <w:bCs w:val="1"/>
          <w:color w:val="auto"/>
        </w:rPr>
        <w:t xml:space="preserve">Your vote is very important. Whether or not you expect to attend the annual meeting in person, please complete, sign, date and return the enclosed proxy card as soon as possible to ensure that your shares are represented at the annual meeting. </w:t>
      </w:r>
      <w:r>
        <w:rPr>
          <w:rFonts w:ascii="Arial" w:cs="Arial" w:eastAsia="Arial" w:hAnsi="Arial"/>
          <w:sz w:val="18"/>
          <w:szCs w:val="18"/>
          <w:color w:val="auto"/>
        </w:rPr>
        <w:t>If your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held in “street name,” which means your shares are held of record by a broker, bank or other nominee, you must provide your broker, bank or nominee with instructions on how to vote your shares.</w:t>
      </w: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Mark D. Dankberg</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Executive Officer</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Carlsbad,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22,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329565</wp:posOffset>
            </wp:positionV>
            <wp:extent cx="6452870" cy="707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2870" cy="70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YOUR VOTE IS IMPORTANT.</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WHETHER OR NOT YOU PLAN TO ATTEND THE ANNUAL MEETING IN PERSON,</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PLEASE SIGN, DATE AND RETURN THE ACCOMPANYING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gridSpan w:val="10"/>
          </w:tcPr>
          <w:p>
            <w:pPr>
              <w:ind w:left="4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20"/>
                <w:szCs w:val="20"/>
                <w:color w:val="auto"/>
              </w:rPr>
            </w:pPr>
          </w:p>
        </w:tc>
      </w:tr>
      <w:tr>
        <w:trPr>
          <w:trHeight w:val="419"/>
        </w:trPr>
        <w:tc>
          <w:tcPr>
            <w:tcW w:w="700" w:type="dxa"/>
            <w:vAlign w:val="bottom"/>
          </w:tcPr>
          <w:p>
            <w:pPr>
              <w:spacing w:after="0"/>
              <w:rPr>
                <w:sz w:val="24"/>
                <w:szCs w:val="24"/>
                <w:color w:val="auto"/>
              </w:rPr>
            </w:pPr>
          </w:p>
        </w:tc>
        <w:tc>
          <w:tcPr>
            <w:tcW w:w="9440" w:type="dxa"/>
            <w:vAlign w:val="bottom"/>
            <w:gridSpan w:val="3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 ABOUT THE ANNUAL MEETING AND VOTING</w:t>
              </w:r>
            </w:hyperlink>
          </w:p>
        </w:tc>
        <w:tc>
          <w:tcPr>
            <w:tcW w:w="1280" w:type="dxa"/>
            <w:vAlign w:val="bottom"/>
          </w:tcPr>
          <w:p>
            <w:pPr>
              <w:jc w:val="right"/>
              <w:ind w:right="770"/>
              <w:spacing w:after="0"/>
              <w:rPr>
                <w:sz w:val="20"/>
                <w:szCs w:val="20"/>
                <w:color w:val="auto"/>
              </w:rPr>
            </w:pPr>
            <w:r>
              <w:rPr>
                <w:rFonts w:ascii="Arial" w:cs="Arial" w:eastAsia="Arial" w:hAnsi="Arial"/>
                <w:sz w:val="18"/>
                <w:szCs w:val="18"/>
                <w:b w:val="1"/>
                <w:bCs w:val="1"/>
                <w:color w:val="auto"/>
              </w:rPr>
              <w:t>1</w:t>
            </w:r>
          </w:p>
        </w:tc>
      </w:tr>
      <w:tr>
        <w:trPr>
          <w:trHeight w:val="196"/>
        </w:trPr>
        <w:tc>
          <w:tcPr>
            <w:tcW w:w="700" w:type="dxa"/>
            <w:vAlign w:val="bottom"/>
          </w:tcPr>
          <w:p>
            <w:pPr>
              <w:spacing w:after="0"/>
              <w:rPr>
                <w:sz w:val="17"/>
                <w:szCs w:val="17"/>
                <w:color w:val="auto"/>
              </w:rPr>
            </w:pPr>
          </w:p>
        </w:tc>
        <w:tc>
          <w:tcPr>
            <w:tcW w:w="6300" w:type="dxa"/>
            <w:vAlign w:val="bottom"/>
            <w:tcBorders>
              <w:top w:val="single" w:sz="8" w:color="0000EE"/>
            </w:tcBorders>
            <w:gridSpan w:val="36"/>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PROPOSAL 1: ELECTION OF DIRECTORS</w:t>
              </w:r>
            </w:hyperlink>
          </w:p>
        </w:tc>
        <w:tc>
          <w:tcPr>
            <w:tcW w:w="3140" w:type="dxa"/>
            <w:vAlign w:val="bottom"/>
            <w:gridSpan w:val="3"/>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Overview</w:t>
              </w:r>
            </w:hyperlink>
          </w:p>
        </w:tc>
        <w:tc>
          <w:tcPr>
            <w:tcW w:w="2660" w:type="dxa"/>
            <w:vAlign w:val="bottom"/>
            <w:tcBorders>
              <w:top w:val="single" w:sz="8" w:color="0000EE"/>
            </w:tcBorders>
            <w:gridSpan w:val="20"/>
          </w:tcPr>
          <w:p>
            <w:pPr>
              <w:spacing w:after="0"/>
              <w:rPr>
                <w:sz w:val="17"/>
                <w:szCs w:val="17"/>
                <w:color w:val="auto"/>
              </w:rPr>
            </w:pPr>
          </w:p>
        </w:tc>
        <w:tc>
          <w:tcPr>
            <w:tcW w:w="5880" w:type="dxa"/>
            <w:vAlign w:val="bottom"/>
            <w:gridSpan w:val="14"/>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Class III Directors with Terms Expiring at this Annual Meeting</w:t>
              </w:r>
            </w:hyperlink>
          </w:p>
        </w:tc>
        <w:tc>
          <w:tcPr>
            <w:tcW w:w="4700" w:type="dxa"/>
            <w:vAlign w:val="bottom"/>
            <w:gridSpan w:val="6"/>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Class I Directors with Terms Expiring in 2009</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Class II Directors with Terms Expiring in 2010</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Board Independence</w:t>
              </w:r>
            </w:hyperlink>
          </w:p>
        </w:tc>
        <w:tc>
          <w:tcPr>
            <w:tcW w:w="1900" w:type="dxa"/>
            <w:vAlign w:val="bottom"/>
            <w:tcBorders>
              <w:top w:val="single" w:sz="8" w:color="0000EE"/>
            </w:tcBorders>
            <w:gridSpan w:val="17"/>
          </w:tcPr>
          <w:p>
            <w:pPr>
              <w:spacing w:after="0"/>
              <w:rPr>
                <w:sz w:val="17"/>
                <w:szCs w:val="17"/>
                <w:color w:val="auto"/>
              </w:rPr>
            </w:pPr>
          </w:p>
        </w:tc>
        <w:tc>
          <w:tcPr>
            <w:tcW w:w="5880" w:type="dxa"/>
            <w:vAlign w:val="bottom"/>
            <w:gridSpan w:val="14"/>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Board Structure and Committee Composition</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Director Nomination Process</w:t>
              </w:r>
            </w:hyperlink>
          </w:p>
        </w:tc>
        <w:tc>
          <w:tcPr>
            <w:tcW w:w="1220" w:type="dxa"/>
            <w:vAlign w:val="bottom"/>
            <w:tcBorders>
              <w:top w:val="single" w:sz="8" w:color="0000EE"/>
            </w:tcBorders>
            <w:gridSpan w:val="12"/>
          </w:tcPr>
          <w:p>
            <w:pPr>
              <w:spacing w:after="0"/>
              <w:rPr>
                <w:sz w:val="17"/>
                <w:szCs w:val="17"/>
                <w:color w:val="auto"/>
              </w:rPr>
            </w:pPr>
          </w:p>
        </w:tc>
        <w:tc>
          <w:tcPr>
            <w:tcW w:w="5940" w:type="dxa"/>
            <w:vAlign w:val="bottom"/>
            <w:gridSpan w:val="15"/>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Communications with the Board</w:t>
              </w:r>
            </w:hyperlink>
          </w:p>
        </w:tc>
        <w:tc>
          <w:tcPr>
            <w:tcW w:w="6920" w:type="dxa"/>
            <w:vAlign w:val="bottom"/>
            <w:gridSpan w:val="24"/>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9</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Code of Ethics</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Recommendation of the Board</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12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PROPOSAL 2: RATIFICATION OF APPOINTMENT OF INDEPENDENT REGISTERED PUBLIC ACCOUNTING</w:t>
              </w:r>
            </w:hyperlink>
          </w:p>
        </w:tc>
        <w:tc>
          <w:tcPr>
            <w:tcW w:w="3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FIRM</w:t>
              </w:r>
            </w:hyperlink>
          </w:p>
        </w:tc>
        <w:tc>
          <w:tcPr>
            <w:tcW w:w="8780" w:type="dxa"/>
            <w:vAlign w:val="bottom"/>
            <w:gridSpan w:val="36"/>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10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Overview</w:t>
              </w:r>
            </w:hyperlink>
          </w:p>
        </w:tc>
        <w:tc>
          <w:tcPr>
            <w:tcW w:w="8540" w:type="dxa"/>
            <w:vAlign w:val="bottom"/>
            <w:gridSpan w:val="34"/>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Principal Accountant Fees and Services</w:t>
              </w:r>
            </w:hyperlink>
          </w:p>
        </w:tc>
        <w:tc>
          <w:tcPr>
            <w:tcW w:w="6400" w:type="dxa"/>
            <w:vAlign w:val="bottom"/>
            <w:gridSpan w:val="18"/>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Pre-Approval Policy of the Audit Committee</w:t>
              </w:r>
            </w:hyperlink>
          </w:p>
        </w:tc>
        <w:tc>
          <w:tcPr>
            <w:tcW w:w="6020" w:type="dxa"/>
            <w:vAlign w:val="bottom"/>
            <w:gridSpan w:val="16"/>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Recommendation of the Board</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440" w:type="dxa"/>
            <w:vAlign w:val="bottom"/>
            <w:gridSpan w:val="39"/>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PROPOSAL 3: AMENDMENT TO THE 1996 EQUITY PARTICIPATION PLAN</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1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Overview</w:t>
              </w:r>
            </w:hyperlink>
          </w:p>
        </w:tc>
        <w:tc>
          <w:tcPr>
            <w:tcW w:w="3140" w:type="dxa"/>
            <w:vAlign w:val="bottom"/>
            <w:gridSpan w:val="3"/>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Why You Should Vote for the Amendment to the Equity Plan</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Summary of the Equity Plan</w:t>
              </w:r>
            </w:hyperlink>
          </w:p>
        </w:tc>
        <w:tc>
          <w:tcPr>
            <w:tcW w:w="4860" w:type="dxa"/>
            <w:vAlign w:val="bottom"/>
            <w:gridSpan w:val="8"/>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U.S. Federal Income Tax Consequences</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Recommendation of the Board</w:t>
              </w:r>
            </w:hyperlink>
          </w:p>
        </w:tc>
        <w:tc>
          <w:tcPr>
            <w:tcW w:w="6400" w:type="dxa"/>
            <w:vAlign w:val="bottom"/>
            <w:gridSpan w:val="18"/>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440" w:type="dxa"/>
            <w:vAlign w:val="bottom"/>
            <w:gridSpan w:val="39"/>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OWNERSHIP OF SECURITIES</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20</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Beneficial Ownership Table</w:t>
              </w:r>
            </w:hyperlink>
          </w:p>
        </w:tc>
        <w:tc>
          <w:tcPr>
            <w:tcW w:w="320" w:type="dxa"/>
            <w:vAlign w:val="bottom"/>
            <w:tcBorders>
              <w:top w:val="single" w:sz="8" w:color="0000EE"/>
            </w:tcBorders>
            <w:gridSpan w:val="5"/>
          </w:tcPr>
          <w:p>
            <w:pPr>
              <w:spacing w:after="0"/>
              <w:rPr>
                <w:sz w:val="17"/>
                <w:szCs w:val="17"/>
                <w:color w:val="auto"/>
              </w:rPr>
            </w:pPr>
          </w:p>
        </w:tc>
        <w:tc>
          <w:tcPr>
            <w:tcW w:w="6900" w:type="dxa"/>
            <w:vAlign w:val="bottom"/>
            <w:gridSpan w:val="23"/>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Section 16(a) Beneficial Ownership Reporting Compliance</w:t>
              </w:r>
            </w:hyperlink>
          </w:p>
        </w:tc>
        <w:tc>
          <w:tcPr>
            <w:tcW w:w="5000" w:type="dxa"/>
            <w:vAlign w:val="bottom"/>
            <w:gridSpan w:val="9"/>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21</w:t>
            </w:r>
          </w:p>
        </w:tc>
      </w:tr>
      <w:tr>
        <w:trPr>
          <w:trHeight w:val="196"/>
        </w:trPr>
        <w:tc>
          <w:tcPr>
            <w:tcW w:w="700" w:type="dxa"/>
            <w:vAlign w:val="bottom"/>
          </w:tcPr>
          <w:p>
            <w:pPr>
              <w:spacing w:after="0"/>
              <w:rPr>
                <w:sz w:val="17"/>
                <w:szCs w:val="17"/>
                <w:color w:val="auto"/>
              </w:rPr>
            </w:pPr>
          </w:p>
        </w:tc>
        <w:tc>
          <w:tcPr>
            <w:tcW w:w="9440" w:type="dxa"/>
            <w:vAlign w:val="bottom"/>
            <w:gridSpan w:val="39"/>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EXECUTIVE COMPENSATION</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22</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gridSpan w:val="2"/>
          </w:tcPr>
          <w:p>
            <w:pPr>
              <w:spacing w:after="0"/>
              <w:rPr>
                <w:sz w:val="17"/>
                <w:szCs w:val="17"/>
                <w:color w:val="auto"/>
              </w:rPr>
            </w:pPr>
          </w:p>
        </w:tc>
        <w:tc>
          <w:tcPr>
            <w:tcW w:w="6420" w:type="dxa"/>
            <w:vAlign w:val="bottom"/>
            <w:gridSpan w:val="19"/>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29</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Summary Compensation Table</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Grants of Plan-Based Awards in Fiscal 2008</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7"/>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Outstanding Equity Awards at 2008 Fiscal Year-End</w:t>
              </w:r>
            </w:hyperlink>
          </w:p>
        </w:tc>
        <w:tc>
          <w:tcPr>
            <w:tcW w:w="5480" w:type="dxa"/>
            <w:vAlign w:val="bottom"/>
            <w:gridSpan w:val="10"/>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Option Exercises and Stock Vested in Fiscal 2008</w:t>
              </w:r>
            </w:hyperlink>
          </w:p>
        </w:tc>
        <w:tc>
          <w:tcPr>
            <w:tcW w:w="5680" w:type="dxa"/>
            <w:vAlign w:val="bottom"/>
            <w:gridSpan w:val="13"/>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3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Equity Compensation Plan Information</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Director Compensation</w:t>
              </w:r>
            </w:hyperlink>
          </w:p>
        </w:tc>
        <w:tc>
          <w:tcPr>
            <w:tcW w:w="1140" w:type="dxa"/>
            <w:vAlign w:val="bottom"/>
            <w:tcBorders>
              <w:top w:val="single" w:sz="8" w:color="0000EE"/>
            </w:tcBorders>
            <w:gridSpan w:val="10"/>
          </w:tcPr>
          <w:p>
            <w:pPr>
              <w:spacing w:after="0"/>
              <w:rPr>
                <w:sz w:val="17"/>
                <w:szCs w:val="17"/>
                <w:color w:val="auto"/>
              </w:rPr>
            </w:pPr>
          </w:p>
        </w:tc>
        <w:tc>
          <w:tcPr>
            <w:tcW w:w="6440" w:type="dxa"/>
            <w:vAlign w:val="bottom"/>
            <w:gridSpan w:val="20"/>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Compensation Committee Interlocks and Insider Participation</w:t>
              </w:r>
            </w:hyperlink>
          </w:p>
        </w:tc>
        <w:tc>
          <w:tcPr>
            <w:tcW w:w="4800" w:type="dxa"/>
            <w:vAlign w:val="bottom"/>
            <w:gridSpan w:val="7"/>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33</w:t>
            </w:r>
          </w:p>
        </w:tc>
      </w:tr>
      <w:tr>
        <w:trPr>
          <w:trHeight w:val="196"/>
        </w:trPr>
        <w:tc>
          <w:tcPr>
            <w:tcW w:w="700" w:type="dxa"/>
            <w:vAlign w:val="bottom"/>
          </w:tcPr>
          <w:p>
            <w:pPr>
              <w:spacing w:after="0"/>
              <w:rPr>
                <w:sz w:val="17"/>
                <w:szCs w:val="17"/>
                <w:color w:val="auto"/>
              </w:rPr>
            </w:pPr>
          </w:p>
        </w:tc>
        <w:tc>
          <w:tcPr>
            <w:tcW w:w="9440" w:type="dxa"/>
            <w:vAlign w:val="bottom"/>
            <w:gridSpan w:val="39"/>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CERTAIN RELATIONSHIPS AND RELATED TRANSACTIONS</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9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Review and Approval of Related Party Transactions</w:t>
              </w:r>
            </w:hyperlink>
          </w:p>
        </w:tc>
        <w:tc>
          <w:tcPr>
            <w:tcW w:w="4320" w:type="dxa"/>
            <w:vAlign w:val="bottom"/>
            <w:gridSpan w:val="5"/>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34</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Related Party Transactions</w:t>
              </w:r>
            </w:hyperlink>
          </w:p>
        </w:tc>
        <w:tc>
          <w:tcPr>
            <w:tcW w:w="5520" w:type="dxa"/>
            <w:vAlign w:val="bottom"/>
            <w:gridSpan w:val="12"/>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440" w:type="dxa"/>
            <w:vAlign w:val="bottom"/>
            <w:gridSpan w:val="39"/>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AUDIT COMMITTEE REPORT</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700" w:type="dxa"/>
            <w:vAlign w:val="bottom"/>
          </w:tcPr>
          <w:p>
            <w:pPr>
              <w:spacing w:after="0"/>
              <w:rPr>
                <w:sz w:val="17"/>
                <w:szCs w:val="17"/>
                <w:color w:val="auto"/>
              </w:rPr>
            </w:pPr>
          </w:p>
        </w:tc>
        <w:tc>
          <w:tcPr>
            <w:tcW w:w="258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MATTERS</w:t>
              </w:r>
            </w:hyperlink>
          </w:p>
        </w:tc>
        <w:tc>
          <w:tcPr>
            <w:tcW w:w="6860" w:type="dxa"/>
            <w:vAlign w:val="bottom"/>
            <w:gridSpan w:val="22"/>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36</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2380" w:type="dxa"/>
            <w:vAlign w:val="bottom"/>
            <w:gridSpan w:val="21"/>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Important Notice Regarding the Availability of Proxy Materials for the ViaSat Annual Meeting of Stockholders To Be Held on</w:t>
              </w:r>
            </w:hyperlink>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October 2, 2008</w:t>
              </w:r>
            </w:hyperlink>
          </w:p>
        </w:tc>
        <w:tc>
          <w:tcPr>
            <w:tcW w:w="7880" w:type="dxa"/>
            <w:vAlign w:val="bottom"/>
            <w:gridSpan w:val="32"/>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Stockholder Proposals for the 2009 Annual Meeting</w:t>
              </w:r>
            </w:hyperlink>
          </w:p>
        </w:tc>
        <w:tc>
          <w:tcPr>
            <w:tcW w:w="5500" w:type="dxa"/>
            <w:vAlign w:val="bottom"/>
            <w:gridSpan w:val="11"/>
          </w:tcPr>
          <w:p>
            <w:pPr>
              <w:spacing w:after="0"/>
              <w:rPr>
                <w:sz w:val="17"/>
                <w:szCs w:val="17"/>
                <w:color w:val="auto"/>
              </w:rPr>
            </w:pPr>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36</w:t>
            </w:r>
          </w:p>
        </w:tc>
      </w:tr>
      <w:tr>
        <w:trPr>
          <w:trHeight w:val="196"/>
        </w:trPr>
        <w:tc>
          <w:tcPr>
            <w:tcW w:w="700" w:type="dxa"/>
            <w:vAlign w:val="bottom"/>
          </w:tcPr>
          <w:p>
            <w:pPr>
              <w:spacing w:after="0"/>
              <w:rPr>
                <w:sz w:val="17"/>
                <w:szCs w:val="17"/>
                <w:color w:val="auto"/>
              </w:rPr>
            </w:pPr>
          </w:p>
        </w:tc>
        <w:tc>
          <w:tcPr>
            <w:tcW w:w="9440" w:type="dxa"/>
            <w:vAlign w:val="bottom"/>
            <w:gridSpan w:val="39"/>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APPENDIX A: 1996 EQUITY PARTICIPATION PLAN OF VIASAT, INC.</w:t>
              </w:r>
            </w:hyperlink>
          </w:p>
        </w:tc>
        <w:tc>
          <w:tcPr>
            <w:tcW w:w="12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A-1</w:t>
            </w:r>
          </w:p>
        </w:tc>
      </w:tr>
      <w:tr>
        <w:trPr>
          <w:trHeight w:val="247"/>
        </w:trPr>
        <w:tc>
          <w:tcPr>
            <w:tcW w:w="700" w:type="dxa"/>
            <w:vAlign w:val="bottom"/>
            <w:tcBorders>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30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340" w:type="dxa"/>
            <w:vAlign w:val="bottom"/>
            <w:tcBorders>
              <w:top w:val="single" w:sz="8" w:color="0000EE"/>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24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0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380" w:type="dxa"/>
            <w:vAlign w:val="bottom"/>
            <w:tcBorders>
              <w:top w:val="single" w:sz="8" w:color="0000EE"/>
              <w:bottom w:val="single" w:sz="8" w:color="808080"/>
            </w:tcBorders>
          </w:tcPr>
          <w:p>
            <w:pPr>
              <w:spacing w:after="0"/>
              <w:rPr>
                <w:sz w:val="21"/>
                <w:szCs w:val="21"/>
                <w:color w:val="auto"/>
              </w:rPr>
            </w:pPr>
          </w:p>
        </w:tc>
        <w:tc>
          <w:tcPr>
            <w:tcW w:w="680" w:type="dxa"/>
            <w:vAlign w:val="bottom"/>
            <w:tcBorders>
              <w:top w:val="single" w:sz="8" w:color="0000EE"/>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28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2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551940"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Carlsbad, California 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100330</wp:posOffset>
            </wp:positionV>
            <wp:extent cx="1132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97155</wp:posOffset>
            </wp:positionV>
            <wp:extent cx="1132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67"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October 2, 2008 at 8:30 a.m. Pacific Time at the corporate offices of ViaSat, located at 6155 El Camino Real, Carlsbad, California, and at any adjournments or postponements of the meeting, for the purposes set forth in the “Notice of Annual Meeting of Stockholders.”</w:t>
      </w:r>
    </w:p>
    <w:p>
      <w:pPr>
        <w:spacing w:after="0" w:line="26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We sent you this proxy statement and the enclosed proxy card because ViaSat’s Board of Directors is soliciting your proxy to vote at the 2008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60"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intend to begin mailing this proxy statement, the attached notice of annual meeting and the enclosed proxy card on or about August 22, 2008 to all stockholders of record entitled to vote at the annual meeting. Only stockholders who owned ViaSat common stock at the close of business on the record date, August 11, 2008, are entitled to vote at the annual meeting. On this record date, there were 30,747,998 shares of ViaSat common stock outstanding. Common stock is our only class of stock entitled to vote. We are also sending along with this proxy statement our 2008 fiscal year annual report, which includes our financial statements.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am I voting 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131" w:lineRule="exact"/>
        <w:rPr>
          <w:sz w:val="20"/>
          <w:szCs w:val="20"/>
          <w:color w:val="auto"/>
        </w:rPr>
      </w:pPr>
    </w:p>
    <w:p>
      <w:pPr>
        <w:ind w:left="1300" w:right="28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Mark D. Dankberg, Michael B. Targoff and Harvey P. White to serve as Class III Directors for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term to expire at the 2011 annual meeting of stockholders.</w:t>
      </w:r>
    </w:p>
    <w:p>
      <w:pPr>
        <w:spacing w:after="0" w:line="62" w:lineRule="exact"/>
        <w:rPr>
          <w:rFonts w:ascii="Arial" w:cs="Arial" w:eastAsia="Arial" w:hAnsi="Arial"/>
          <w:sz w:val="18"/>
          <w:szCs w:val="18"/>
          <w:color w:val="auto"/>
        </w:rPr>
      </w:pPr>
    </w:p>
    <w:p>
      <w:pPr>
        <w:ind w:left="1300" w:right="78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The ratification of the appointment of PricewaterhouseCoopers as ViaSat’s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the 2009 fiscal year.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amendment to the 1996 Equity Participation Plan.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also will consider any other business that properly comes before the annual meeting.</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31"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7"/>
          <w:szCs w:val="17"/>
          <w:color w:val="auto"/>
        </w:rPr>
        <w:t xml:space="preserve">Our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director nominees listed in this proxy statement (Proposal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appointment of PricewaterhouseCoopers as ViaSat’s independent registered public accounting firm (Proposal 2),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amendment to the 1996 Equity Participation Plan (Proposal 3).</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You are entitled to one vote for every share of ViaSat common stock that you own as of the close of business on August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by proxy?</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Your vote is important. Whether or not you plan to attend the annual meeting in person, we urge you to complete, sign, date and return the enclosed proxy card as soon as possible to ensure that your vote is recorded promptly. Returning the proxy card will not affect your right to attend the annual meeting or vote your shares in person.</w:t>
      </w:r>
    </w:p>
    <w:p>
      <w:pPr>
        <w:spacing w:after="0" w:line="87" w:lineRule="exact"/>
        <w:rPr>
          <w:sz w:val="20"/>
          <w:szCs w:val="20"/>
          <w:color w:val="auto"/>
        </w:rPr>
      </w:pPr>
    </w:p>
    <w:p>
      <w:pPr>
        <w:ind w:left="700" w:right="720" w:firstLine="397"/>
        <w:spacing w:after="0" w:line="264" w:lineRule="auto"/>
        <w:rPr>
          <w:sz w:val="20"/>
          <w:szCs w:val="20"/>
          <w:color w:val="auto"/>
        </w:rPr>
      </w:pPr>
      <w:r>
        <w:rPr>
          <w:rFonts w:ascii="Arial" w:cs="Arial" w:eastAsia="Arial" w:hAnsi="Arial"/>
          <w:sz w:val="18"/>
          <w:szCs w:val="18"/>
          <w:color w:val="auto"/>
        </w:rPr>
        <w:t>If you complete and submit your proxy card, the persons named as proxies will vote your shares in accordance with your instructions. If you submit a proxy card but do not fill out the voting instructions on the proxy card, your shares will be voted as recommended by the Board of Directors.</w:t>
      </w:r>
    </w:p>
    <w:p>
      <w:pPr>
        <w:spacing w:after="0" w:line="87" w:lineRule="exact"/>
        <w:rPr>
          <w:sz w:val="20"/>
          <w:szCs w:val="20"/>
          <w:color w:val="auto"/>
        </w:rPr>
      </w:pPr>
    </w:p>
    <w:p>
      <w:pPr>
        <w:jc w:val="both"/>
        <w:ind w:left="700" w:right="180" w:firstLine="397"/>
        <w:spacing w:after="0" w:line="259" w:lineRule="auto"/>
        <w:rPr>
          <w:sz w:val="20"/>
          <w:szCs w:val="20"/>
          <w:color w:val="auto"/>
        </w:rPr>
      </w:pPr>
      <w:r>
        <w:rPr>
          <w:rFonts w:ascii="Arial" w:cs="Arial" w:eastAsia="Arial" w:hAnsi="Arial"/>
          <w:sz w:val="18"/>
          <w:szCs w:val="18"/>
          <w:color w:val="auto"/>
        </w:rPr>
        <w:t>If any other matters are properly presented for voting at the annual meeting, or any adjournments or postponements of the annual meeting,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May I revoke my proxy?</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If you give us your proxy, you may revoke it at any time before your proxy is voted at the annual meeting. You may revoke your proxy in any of the following three ways:</w:t>
      </w:r>
    </w:p>
    <w:p>
      <w:pPr>
        <w:spacing w:after="0" w:line="76"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in another signed proxy bearing a later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annual meeting,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nominee, you must contact your broker, bank or nominee to revoke any prior instructions.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in person?</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you plan to attend the annual meeting and wish vote in person, we will give you a ballot when you arrive. However, if your shares are held in “street name” and you wish to vote at the annual meeting, you must bring to the annual meeting a “legal proxy” from the broker, bank or nominee that holds your shares. The legal proxy will give you the right to vote the shares. Even if you plan to attend the annual meeting, we recommend that you also vote by proxy as described above so that your vote will be counted if you later decide not to attend the meeting.</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135"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If your shares are registered in the name of a bank or brokerage firm,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or voting instruction card in the self-addressed, postage-paid envelope provided.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attend the annual meeting?</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You are entitled to attend the annual meeting only if you were a ViaSat stockholder or joint holder as of the close of business on the record date, August 11, 2008,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August 11, 2008. If you do not</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provide photo identification or comply with the other procedures outlined above, you will not be admitted to the annual meeting.</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A quorum is present when at least a majority of the outstanding shares entitled to vote are represented at the annual meeting either in person or by proxy. This year, approximately 15,374,000 shares must be represented to constitute a quorum at the meeting and permit us to conduct our business.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In the election of directors, the three nominees for director that receive the most votes will be elected. All other proposals require the favorable vote of a majority of those shares present, in person or by proxy, and entitled to vote on that proposal. Voting results will be tabulated and certified by our transfer agent, Computershare Investor Services LLC.</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135"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Shares held by persons attending the annual meeting but not voting, and shares represented by proxies that reflect abstentions as to a particular proposal will be counted as present for purposes of determining the presence of a quorum. Because directors are elected by a plurality of votes cast, abstentions will have no effect on the election of directors. With respect to all other proposals, abstentions have the same effect as a vote “AGAINST” the proposal.</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Shares represented by proxies that reflect a “broker non-vote” will be counted for purposes of determining whether a quorum exists. A “broker non-vote” occurs when a nominee holding shares for a beneficial owner has not received instructions from the beneficial owner and does not have discretionary authority to vote the shares. Assuming that a quorum is obtained, broker non-votes will not affect the outcome of any matter being voted on at the meeting.</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5"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68" w:lineRule="exact"/>
        <w:rPr>
          <w:sz w:val="20"/>
          <w:szCs w:val="20"/>
          <w:color w:val="auto"/>
        </w:rPr>
      </w:pPr>
    </w:p>
    <w:p>
      <w:pPr>
        <w:ind w:left="700" w:right="22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71"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If you share an address with another stockholder, you may receive only one set of proxy materials unless you have provided contrary instructions. The rules promulgated by the SEC permit companies, brokers, banks or other intermediaries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intermediary, and have consented to householding, either affirmatively or implicitly by not objecting to householding. If you would like to opt out of this practice for future mailings, and receive separate annual reports and proxy statements for each stockholder sharing the same address, please contact your broker, bank or other intermediary. You may also obtain a separate annual report or proxy statement without charge by sending a written request to ViaSat, Inc., Attention: Investor Relations, 6155 El Camino Real, Carlsbad, California 92009, or by email at ir@viasat.com. We will promptly send additional copies of the annual report or proxy statement upon receipt of such request.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ELECTION OF DIRECTORS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authorized number of directors is presently seven. In accordance with our certificate of incorporation, we divide our Board of Directors into three classes, with Class I and Class II consisting of two members, and Class III consisting of three members. We elect one class of directors to serve a three year term at each annual meeting of stockholders. At this year’s annual meeting of stockholders, we will elect three Class III Directors to hold office until the 2011 annual meeting. At next year’s annual meeting of stockholders, we will elect two Class I directors to hold office until the 2012 annual meeting, and the following year, we will elect two Class II directors to hold office until the 2013 annual meeting. Thereafter, elections will continue in a similar manner at subsequent annual meetings. Each elected director will continue to serve until his successor is duly elected or appointed.</w:t>
      </w:r>
    </w:p>
    <w:p>
      <w:pPr>
        <w:spacing w:after="0" w:line="83" w:lineRule="exact"/>
        <w:rPr>
          <w:sz w:val="20"/>
          <w:szCs w:val="20"/>
          <w:color w:val="auto"/>
        </w:rPr>
      </w:pPr>
    </w:p>
    <w:p>
      <w:pPr>
        <w:jc w:val="both"/>
        <w:ind w:left="700" w:right="80" w:firstLine="397"/>
        <w:spacing w:after="0" w:line="293" w:lineRule="auto"/>
        <w:rPr>
          <w:sz w:val="20"/>
          <w:szCs w:val="20"/>
          <w:color w:val="auto"/>
        </w:rPr>
      </w:pPr>
      <w:r>
        <w:rPr>
          <w:rFonts w:ascii="Arial" w:cs="Arial" w:eastAsia="Arial" w:hAnsi="Arial"/>
          <w:sz w:val="16"/>
          <w:szCs w:val="16"/>
          <w:color w:val="auto"/>
        </w:rPr>
        <w:t xml:space="preserve">The Board of Directors unanimously nominated Mark D. Dankberg, Michael B. Targoff and Harvey P. White as Class III nominees for election to the Board. Unless proxy cards are otherwise marked, the persons named as proxies will vote all proxies received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Messrs. Dankberg, Targoff and White.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70" w:lineRule="exact"/>
        <w:rPr>
          <w:sz w:val="20"/>
          <w:szCs w:val="20"/>
          <w:color w:val="auto"/>
        </w:rPr>
      </w:pPr>
    </w:p>
    <w:p>
      <w:pPr>
        <w:jc w:val="both"/>
        <w:ind w:left="700" w:right="80" w:firstLine="397"/>
        <w:spacing w:after="0" w:line="312" w:lineRule="auto"/>
        <w:rPr>
          <w:sz w:val="20"/>
          <w:szCs w:val="20"/>
          <w:color w:val="auto"/>
        </w:rPr>
      </w:pPr>
      <w:r>
        <w:rPr>
          <w:rFonts w:ascii="Arial" w:cs="Arial" w:eastAsia="Arial" w:hAnsi="Arial"/>
          <w:sz w:val="16"/>
          <w:szCs w:val="16"/>
          <w:color w:val="auto"/>
        </w:rPr>
        <w:t>The following table sets forth for each nominee to be elected at the annual meeting and for each director whose term of office will extend beyond the annual meeting, the age of each nominee or director, the positions currently held by each nominee or director with the company, the year in which each nominee’s or director’s current term will expire, and the class of director of each nominee or director.</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4060" w:type="dxa"/>
            <w:vAlign w:val="bottom"/>
          </w:tcPr>
          <w:p>
            <w:pPr>
              <w:ind w:left="2000"/>
              <w:spacing w:after="0"/>
              <w:rPr>
                <w:sz w:val="20"/>
                <w:szCs w:val="20"/>
                <w:color w:val="auto"/>
              </w:rPr>
            </w:pPr>
            <w:r>
              <w:rPr>
                <w:rFonts w:ascii="Arial" w:cs="Arial" w:eastAsia="Arial" w:hAnsi="Arial"/>
                <w:sz w:val="14"/>
                <w:szCs w:val="14"/>
                <w:b w:val="1"/>
                <w:bCs w:val="1"/>
                <w:color w:val="auto"/>
              </w:rPr>
              <w:t>Position with ViaSat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Expires</w:t>
            </w:r>
          </w:p>
        </w:tc>
        <w:tc>
          <w:tcPr>
            <w:tcW w:w="28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Class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Chairman and Chief Executive Officer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Robert W. Johnson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2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 Allen Lay</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Jeffrey M. Nash</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Michael B. Targoff</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0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2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-1002665</wp:posOffset>
            </wp:positionV>
            <wp:extent cx="17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-1002665</wp:posOffset>
            </wp:positionV>
            <wp:extent cx="26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III Directors with Terms Expiring at this Annual Meeting</w:t>
      </w:r>
    </w:p>
    <w:p>
      <w:pPr>
        <w:spacing w:after="0" w:line="135"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i w:val="1"/>
          <w:iCs w:val="1"/>
          <w:color w:val="auto"/>
        </w:rPr>
        <w:t xml:space="preserve">Mark D. Dankberg </w:t>
      </w:r>
      <w:r>
        <w:rPr>
          <w:rFonts w:ascii="Arial" w:cs="Arial" w:eastAsia="Arial" w:hAnsi="Arial"/>
          <w:sz w:val="16"/>
          <w:szCs w:val="16"/>
          <w:color w:val="auto"/>
        </w:rPr>
        <w:t>is a founder of ViaSat and has served as Chairman of the Board and Chief Executive Officer of ViaSat since its</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in May 1986. Mr. Dankberg also serves as a director of TrellisWare Technologies, Inc., a privately-held subsidiary of ViaSat that develops advanced signal processing technologies for communication applications. Mr. Dankberg is a director and member of the audit committee of REMEC, Inc., which is now in dissolution. In addition, Mr. Dankberg serves on the advisory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73"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i w:val="1"/>
          <w:iCs w:val="1"/>
          <w:color w:val="auto"/>
        </w:rPr>
        <w:t xml:space="preserve">Michael B. Targoff </w:t>
      </w:r>
      <w:r>
        <w:rPr>
          <w:rFonts w:ascii="Arial" w:cs="Arial" w:eastAsia="Arial" w:hAnsi="Arial"/>
          <w:sz w:val="16"/>
          <w:szCs w:val="16"/>
          <w:color w:val="auto"/>
        </w:rPr>
        <w:t>has been a director of ViaSat since February 2003. In February 2006, Mr. Targoff was elected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Loral Space &amp; Communications, Inc. (Loral). Since November 2005, he has served as the vice chairman of Loral’s board of directors and serves on the executive and compensation committees. Mr. Targoff originally joined Loral Space &amp; Communications Limited in 1981 and served as Senior Vice President and General Counsel until January 1996, when he was elected President and Chief Operating Officer of the newly formed Loral. In 1998, he founded Michael B. Targoff &amp; Co., which invests in telecommunications and related industry early stage companies. Mr. Targoff is chairman of the board and chairman of the audit committee of CPI</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International, Inc., a publicly-held company, and a director and chairman of the audit committee of Leap Wireless International, Inc., a publicly-held company. Mr. Targoff also serves on the board of directors of five private telecommunications companies. Prior to joining Loral Space &amp; Communications Limited in 1981, Mr. Targoff was a partner in the New York City law firm, Willkie Farr &amp; Gallagher. Mr. Targoff holds a B.A. degree from Brown University and a J.D. degree from the Columbia University School of Law, where he was a Hamilton Fisk Scholar and editor of the Columbia Journal of Law and Social Problems.</w:t>
      </w:r>
    </w:p>
    <w:p>
      <w:pPr>
        <w:spacing w:after="0" w:line="7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Harvey P. White </w:t>
      </w:r>
      <w:r>
        <w:rPr>
          <w:rFonts w:ascii="Arial" w:cs="Arial" w:eastAsia="Arial" w:hAnsi="Arial"/>
          <w:sz w:val="18"/>
          <w:szCs w:val="18"/>
          <w:color w:val="auto"/>
        </w:rPr>
        <w:t>has been a director of ViaSat since May 2005. Since June 2004, Mr. White has served as Chairman of (SHW)2</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a business development and consulting firm. From September 1998 through June 2004, Mr. White served as Chairman and Chief Executive Officer of Leap Wireless International, Inc. Prior to that, Mr. White was a co-founder of QUALCOMM Incorporated where he held various positions including director, President and Chief Operating Officer. Mr. White is the chairman of the board of two private companies, Quanlight, Inc. and YBR Solar, Inc. Mr. White attended West Virginia Wesleyan College and Marshall University where he received a B.A. degree in Economics.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 Directors with Terms Expiring in 2009</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Dr. Robert W. Johnson </w:t>
      </w:r>
      <w:r>
        <w:rPr>
          <w:rFonts w:ascii="Arial" w:cs="Arial" w:eastAsia="Arial" w:hAnsi="Arial"/>
          <w:sz w:val="16"/>
          <w:szCs w:val="16"/>
          <w:color w:val="auto"/>
        </w:rPr>
        <w:t>has been a director of ViaSat since 1986. Dr. Johnson has worked in the venture capital industry since 1980,</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acted as an independent investor since 1988. Dr. Johnson currently serves as a director of Hi/fn Inc., a publicly-held company that manufactures semiconductors and software for networking and data storage industries. Dr. Johnson holds B.S. and M.S. degrees in Electrical Engineering from Stanford University and M.B.A. and D.B.A. degrees from Harvard Business School.</w:t>
      </w:r>
    </w:p>
    <w:p>
      <w:pPr>
        <w:spacing w:after="0" w:line="60"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i w:val="1"/>
          <w:iCs w:val="1"/>
          <w:color w:val="auto"/>
        </w:rPr>
        <w:t xml:space="preserve">John P. Stenbit </w:t>
      </w:r>
      <w:r>
        <w:rPr>
          <w:rFonts w:ascii="Arial" w:cs="Arial" w:eastAsia="Arial" w:hAnsi="Arial"/>
          <w:sz w:val="17"/>
          <w:szCs w:val="17"/>
          <w:color w:val="auto"/>
        </w:rPr>
        <w:t>has been a director of ViaSat since August 2004. From 2001 to his retirement in March 2004, Mr. Stenbit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Assistant Secretary of Defense for Command, Control, Communications, and Intelligence (C3I) and later as Assistant Secretary of Defense of Networks and Information Integration/ Department of Defense Chief Information Officer, the C3I successor organization. From 1977 to 2001, Mr. Stenbit worked for TRW, retiring as Executive Vice President. Mr. Stenbit was a Fulbright Fellow and Aerospace Corporation Fellow at the Technische Hogeschool, Einhoven, Netherlands. Mr. Stenbit has chaired the Science Advisory Panel to the Director for the Administrator of the Federal Aviation Administration. Mr. Stenbit currently serves on the board of directors of the following publicly-held companies: SM&amp;A Corporation, Cogent, Inc., SI International, and Loral. He is also on the board of directors of The Mitre Corp. a private, not-for-profit corporation. Mr. Stenbit also serves on the Defense Science Board, the Technical Advisory Group of the National Reconnaissance Office, the Advisory Board of the National Security Agency, the Science Advisory Group of the US Strategic Command and the Naval Studies Board. He also does consulting for various government and commercial clients.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 Directors with Terms Expiring in 2010</w:t>
      </w:r>
    </w:p>
    <w:p>
      <w:pPr>
        <w:spacing w:after="0" w:line="135"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i w:val="1"/>
          <w:iCs w:val="1"/>
          <w:color w:val="auto"/>
        </w:rPr>
        <w:t xml:space="preserve">B. Allen Lay </w:t>
      </w:r>
      <w:r>
        <w:rPr>
          <w:rFonts w:ascii="Arial" w:cs="Arial" w:eastAsia="Arial" w:hAnsi="Arial"/>
          <w:sz w:val="17"/>
          <w:szCs w:val="17"/>
          <w:color w:val="auto"/>
        </w:rPr>
        <w:t>has been a director of ViaSat since 1996. From 1983 to 2001, he was a General Partner of Southern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a venture capital company. From 2001 to the present he has acted as a consultant to the venture capital industry. Mr. Lay is currently a director of NPI, LLC, a privately-held developer and supplier of proprietary and patentable ingredients for dietary supplements, and Canley Lamps, LLC, a privately-held manufacturer of specialty light bulbs.</w:t>
      </w:r>
    </w:p>
    <w:p>
      <w:pPr>
        <w:spacing w:after="0" w:line="7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Dr. Jeffrey M. Nash </w:t>
      </w:r>
      <w:r>
        <w:rPr>
          <w:rFonts w:ascii="Arial" w:cs="Arial" w:eastAsia="Arial" w:hAnsi="Arial"/>
          <w:sz w:val="18"/>
          <w:szCs w:val="18"/>
          <w:color w:val="auto"/>
        </w:rPr>
        <w:t>has been a director of ViaSat since 1987. From 1994 until 2003, he served as President of Digital Perceptions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 a privately-held consulting and software development firm serving the defense, remote sensing, communications, aviation and commercial computer industries. Since September 2003, he has been President and Chairman of Inclined Plane Inc., a privately-held consulting and intellectual property development company serving the defense, communications and media industries. In addition to his role at ViaSat, Dr. Nash serves as a director of two San Diego-based companies: Pepperball Technologies, Inc., a privately-held manufacturer of non-lethal personal defense equipment for law enforcement, security and personal defense applications, and REMEC, Inc., which is now in dissolution.</w:t>
      </w: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Independence</w:t>
      </w:r>
    </w:p>
    <w:p>
      <w:pPr>
        <w:spacing w:after="0" w:line="135"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criteria established by The Nasdaq Stock Market, or Nasdaq, for director independence include various objective standards and a subjective test. A member of the Board of Directors is not considered independent under the objective standards if, for example, he or she is (1) an employee of the company, or (2) a partner in, or an executive officer of, an entity to which the company made, or from which the company received, payments in the current or any of the past three fiscal years that exceed 5% of the recipient’s consolidated gross revenues for that year. The subjective test requires that each independent director not have a relationship which, in the opinion of the Board, would interfere with the exercise of independent judgment in carrying out the responsibilities of a director.</w:t>
      </w:r>
    </w:p>
    <w:p>
      <w:pPr>
        <w:spacing w:after="0" w:line="70"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None of the directors was disqualified from independent status under the objective standards, other than Mr. Dankberg, who does not qualify as independent because he is a ViaSat employee.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 In conducting this evaluation, the Board considered the following relationships that did not exceed Nasdaq objective standards but were identified by the Nomination and Evaluation Committee for further consideration by the Board under the subjective standard. Mr. Targoff currently serves as the Chief Executive Officer and as a member of the board of directors of companies with which ViaSat does business. Mr. Stenbit, a director of ViaSat, is also a non-employee director of another company with which ViaSat does business. The nature of these relationships and transactions are described in greater detail in “Certain Relationships and Related Transactions.” Based on all of the foregoing, the Board made a subjective determination that although it believes Mr. Targoff maintains the ability to exercise independent judgment in carrying out the responsibilities of a director, the Board would treat Mr. Targoff as a non-independent director as a matter of good corporate practice.</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a result, the Board of Directors affirmatively determined that each member of the Board other than Mr. Dankberg and</w:t>
      </w:r>
    </w:p>
    <w:p>
      <w:pPr>
        <w:spacing w:after="0" w:line="35"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Mr. Targoff is independent under the criteria established by Nasdaq for director independence. In addition to the Board level standards for director independence, all members of the Audit Committee, Compensation and Human Resources Committee, and Nomination and Evaluation Committee are independent directors.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135"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color w:val="auto"/>
        </w:rPr>
        <w:t xml:space="preserve">As of the date of this proxy statement, our Board of Directors has seven directors and the following five committees: (1) Audit Committee, (2) Compensation and Human Resources Committee, (3) Nomination and Evaluation Committee, (4) Corporate Governance Committee, and (5) Banking/Finance Committee. The membership during the last year and the function of each of the committees are described below. Each of the committees operates under a written charter which can be found on the “Investor Relations” section of our website at </w:t>
      </w:r>
      <w:r>
        <w:rPr>
          <w:rFonts w:ascii="Arial" w:cs="Arial" w:eastAsia="Arial" w:hAnsi="Arial"/>
          <w:sz w:val="17"/>
          <w:szCs w:val="17"/>
          <w:i w:val="1"/>
          <w:iCs w:val="1"/>
          <w:color w:val="auto"/>
        </w:rPr>
        <w:t>viasat.com</w:t>
      </w:r>
      <w:r>
        <w:rPr>
          <w:rFonts w:ascii="Arial" w:cs="Arial" w:eastAsia="Arial" w:hAnsi="Arial"/>
          <w:sz w:val="17"/>
          <w:szCs w:val="17"/>
          <w:color w:val="auto"/>
        </w:rPr>
        <w:t>. During our fiscal year ended March 28, 2008, the Board held eight meetings, including telephonic meetings. During this period, all of the directors attended or participated in at least 75% of the aggregate of the total number of meetings of the Board and the total number of meetings held by all committees of the Board on which each such director served. Although ViaSat does not have a formal policy regarding attendance by members of our Board at our annual meeting of stockholders, we encourage the attendance of our directors and director nominees at our annual meeting, and historically more than a majority have done so. Six of our directors attended last year’s annual meeting of stockholders.</w:t>
      </w:r>
    </w:p>
    <w:p>
      <w:pPr>
        <w:spacing w:after="0" w:line="200" w:lineRule="exact"/>
        <w:rPr>
          <w:sz w:val="20"/>
          <w:szCs w:val="20"/>
          <w:color w:val="auto"/>
        </w:rPr>
      </w:pP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 and</w:t>
            </w:r>
          </w:p>
        </w:tc>
        <w:tc>
          <w:tcPr>
            <w:tcW w:w="3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Nomination and</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Banking/Finance</w:t>
            </w:r>
          </w:p>
        </w:tc>
        <w:tc>
          <w:tcPr>
            <w:tcW w:w="0" w:type="dxa"/>
            <w:vAlign w:val="bottom"/>
          </w:tcPr>
          <w:p>
            <w:pPr>
              <w:spacing w:after="0"/>
              <w:rPr>
                <w:sz w:val="1"/>
                <w:szCs w:val="1"/>
                <w:color w:val="auto"/>
              </w:rPr>
            </w:pPr>
          </w:p>
        </w:tc>
      </w:tr>
      <w:tr>
        <w:trPr>
          <w:trHeight w:val="162"/>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Human Resources</w:t>
            </w:r>
          </w:p>
        </w:tc>
        <w:tc>
          <w:tcPr>
            <w:tcW w:w="3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Evaluation</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Governance</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3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3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Committee(1)</w:t>
            </w:r>
          </w:p>
        </w:tc>
        <w:tc>
          <w:tcPr>
            <w:tcW w:w="3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Committee(1)</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Robert W. Johnson</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 Allen Lay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Jeffrey M. Nash</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3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Michael B. Targoff</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Number of Meetings in Fiscal 2008</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80" w:type="dxa"/>
            <w:vAlign w:val="bottom"/>
            <w:gridSpan w:val="2"/>
          </w:tcPr>
          <w:p>
            <w:pPr>
              <w:jc w:val="center"/>
              <w:ind w:left="230"/>
              <w:spacing w:after="0"/>
              <w:rPr>
                <w:sz w:val="20"/>
                <w:szCs w:val="20"/>
                <w:color w:val="auto"/>
              </w:rPr>
            </w:pPr>
            <w:r>
              <w:rPr>
                <w:rFonts w:ascii="Arial" w:cs="Arial" w:eastAsia="Arial" w:hAnsi="Arial"/>
                <w:sz w:val="18"/>
                <w:szCs w:val="18"/>
                <w:color w:val="auto"/>
                <w:w w:val="79"/>
              </w:rPr>
              <w:t>8</w:t>
            </w:r>
          </w:p>
        </w:tc>
        <w:tc>
          <w:tcPr>
            <w:tcW w:w="1500" w:type="dxa"/>
            <w:vAlign w:val="bottom"/>
            <w:gridSpan w:val="2"/>
          </w:tcPr>
          <w:p>
            <w:pPr>
              <w:jc w:val="right"/>
              <w:ind w:right="481"/>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-1151890</wp:posOffset>
            </wp:positionV>
            <wp:extent cx="17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74295</wp:posOffset>
            </wp:positionV>
            <wp:extent cx="814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3" w:lineRule="exact"/>
        <w:rPr>
          <w:sz w:val="20"/>
          <w:szCs w:val="20"/>
          <w:color w:val="auto"/>
        </w:rPr>
      </w:pPr>
    </w:p>
    <w:p>
      <w:pPr>
        <w:ind w:left="1000" w:right="220" w:hanging="301"/>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as of April 29, 2008, the former Nominating and Corporate Governance Committee was reconstituted as the Nomination and Evaluation Committee, and a separate Corporate Governance Committee was established.</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Audit Committee reviews the professional services provided by our independent registered public accounting 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may be brought to its attention. The Board of Directors has determined that each of the four members of our Audit Committee is an “audit committee financial expert” as defined by the rules of the SEC. The responsibilities and activities of the Audit Committee are described in greater detail in the “Audit Committee Report.”</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and Human Resources Committee</w:t>
      </w:r>
    </w:p>
    <w:p>
      <w:pPr>
        <w:spacing w:after="0" w:line="131"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Compensation and Human Resources Committee is responsible for establishing and monitoring policies governing the compensation of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directors, officers and other managerial employees and the establishment and administration of our employee benefit plans. The objectives of the Compensation and Human Resources Committee are to encourage high performance, promote accountability and assure that employee interests are aligned with the interests of the ViaSat’s stockholders. For additional information concerning the Compensation and Human Resources Committee, see the “Compensation Discussion and Analysis.”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Nomination and Evaluation Committee</w:t>
      </w:r>
    </w:p>
    <w:p>
      <w:pPr>
        <w:spacing w:after="0" w:line="131"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Nomination and Evaluation Committee reviews and recommends nominees for election as directors and committee members, conducts the evaluation of the company’s Chief Executive Officer, and advises the Board with respect to Board and committee composition.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 Process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31"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In evaluating director nominees, the Nomination and Evaluation Committee will consider, among other things, the following factors:</w:t>
      </w:r>
    </w:p>
    <w:p>
      <w:pPr>
        <w:spacing w:after="0" w:line="76"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personal and professional integrity, ethics and values;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in our industry;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as a board member of another publicly-held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diversity of expertise and experience in substantive matters pertaining to our business relative to other board members;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practical and mature business judgment;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current directors, performance on the ViaSat Board.</w:t>
      </w:r>
    </w:p>
    <w:p>
      <w:pPr>
        <w:spacing w:after="0" w:line="131"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Other than the foregoing, there are no stated minimum criteria for director nominees, although the Nomination and Evaluation Committee may also consider such other facts as it may deem are in the best interests of ViaSat and its stockholders. The Nomination and Evaluation Committee does, however, believe it appropriate for at least one, and preferably several, members of our Board of Directors to meet the criteria for an “audit committee financial expert” as defined by SEC rules, and that a majority of the members of our Board be independent as required by the Nasdaq qualification standards.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Identification and Evaluation of Nominees for Directors</w:t>
      </w:r>
    </w:p>
    <w:p>
      <w:pPr>
        <w:spacing w:after="0" w:line="131"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The Nomination and Evaluation Committee identifies nominees for director by first evaluating the current members of our Board of Directors willing to continue in service. Current members with qualifications and skills that are consistent with the Nomination and Evaluation Committee’s criteria for Board service and who are willing to continue in service are considered for re-nomination, balancing the value of continuity of service by existing members of our Board with that of obtaining a new perspective. If any member of our Board does not wish to continue in service or if our Board decides not to re-nominate a member for re-election, the Nomination and Evaluation Committee identifies the desired skills and experience of a new nominee in light of the criteria above. The Nomination and Evaluation Committee may also poll our Board and members of management for their recommendations. The Nomination and Evaluation Committee may also review the composition and qualification of the boards of directors of our competitors, and may seek input from industry experts or analysts. The Nomination and Evaluation Committee reviews the qualifications, experience and background of the candidates. Final candidates are interviewed by the members of the Nomination and Evaluation Committee and by certain of our other independent directors and executive management. In making its determinations, the Nomination and Evaluation Committee evaluates each individual in the context of our Board as a whole, with the objective of assembling a group that can best perpetuate the success of ViaSat and represent stockholder interests through the exercise of sound judgment. After review and deliberation of all feedback and data, the Nomination and Evaluation Committee makes its recommendation to our Board. To date, the Nomination and Evaluation Committee has not relied on third-party search firms to identify candidates for the Board. The Nomination and Evaluation Committee may in the future choose to do so in those situations where particular qualifications are required or where existing contacts are not sufficient to identify an appropriate candidate.</w:t>
      </w:r>
    </w:p>
    <w:p>
      <w:pPr>
        <w:spacing w:after="0" w:line="299"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Nomination and Evaluation Committee will consider candidates recommended by any company stockholder who has held our common stock for at least one year and who holds a minimum of 1% of our outstanding shares. The recommending stockholder must submit to ViaSat the following in connection with recommending a candidate during the time periods indicated in the section titled “Stockholder Proposals for the 2009 Meeting”:</w:t>
      </w:r>
    </w:p>
    <w:p>
      <w:pPr>
        <w:spacing w:after="0" w:line="92"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detailed resumé of the recommended candidate;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explanation of the reasons why the stockholder believes the recommended candidate is qualified for service on our Board;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information that would be required by the rules of the SEC to be included in a proxy statement;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written consent of the recommended candidate;</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52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any arrangements or undertakings between the stockholder and the recommended candidate regarding the nomination;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proof of the recommending stockholder’s stock holdings in ViaSat.</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Recommendations received by stockholders will be processed and subject to the same criteria as other candidates recommended to the Nomination and Evaluation Committee.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with the Board</w:t>
      </w:r>
    </w:p>
    <w:p>
      <w:pPr>
        <w:spacing w:after="0" w:line="135"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Ethics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8"/>
          <w:szCs w:val="18"/>
          <w:i w:val="1"/>
          <w:iCs w:val="1"/>
          <w:color w:val="auto"/>
        </w:rPr>
        <w:t>investors.viasat.com</w:t>
      </w:r>
      <w:r>
        <w:rPr>
          <w:rFonts w:ascii="Arial" w:cs="Arial" w:eastAsia="Arial" w:hAnsi="Arial"/>
          <w:sz w:val="18"/>
          <w:szCs w:val="18"/>
          <w:color w:val="auto"/>
        </w:rPr>
        <w: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The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Messrs. Dankberg, Targoff and White.</w:t>
      </w: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Audit Committee has selected PricewaterhouseCoopers LLP as ViaSat’s independent registered public accounting firm for our fiscal year ending April 3, 2009.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77"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The following is a summary of the fees billed by PricewaterhouseCoopers for professional services rendered for the fiscal years ended March 28, 2008 and March 30, 2007:</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ee Category</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Fiscal 2008</w:t>
            </w:r>
          </w:p>
        </w:tc>
        <w:tc>
          <w:tcPr>
            <w:tcW w:w="3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Fiscal 2007</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Fees ($)</w:t>
            </w:r>
          </w:p>
        </w:tc>
        <w:tc>
          <w:tcPr>
            <w:tcW w:w="3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Fees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7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1,382,263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Audit-Related Fees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All Other Fees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1,416,253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consolidated financial statements and the audit of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review of financial statements included in our Form 10-Q quarterly reports, and services that are normally provided by the independent registered public accounting firm in connection with statutory and regulatory filings or engagements. For the fiscal year ended March 30, 2007, this category also includes fees related to the audit of management’s assessment of our internal control over financial reporting.</w:t>
      </w:r>
    </w:p>
    <w:p>
      <w:pPr>
        <w:spacing w:after="0" w:line="94"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This category consists of assurance and related services provided by PricewaterhouseCoopers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related to the 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92" w:lineRule="exact"/>
        <w:rPr>
          <w:sz w:val="20"/>
          <w:szCs w:val="20"/>
          <w:color w:val="auto"/>
        </w:rPr>
      </w:pPr>
    </w:p>
    <w:p>
      <w:pPr>
        <w:ind w:left="700" w:right="280" w:firstLine="397"/>
        <w:spacing w:after="0" w:line="286" w:lineRule="auto"/>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This category consists of professional services rendered by PricewaterhouseCoopers, primarily in connection with tax</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tax planning and tax advice activities. These services include assistance with the preparation of tax returns, claims for refunds, value added tax compliance, and consultations on state, local and international tax matters.</w:t>
      </w:r>
    </w:p>
    <w:p>
      <w:pPr>
        <w:spacing w:after="0" w:line="7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fees for products and services other than the services reported above, including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to PricewaterhouseCoopers’s on-line research tool.</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Policy of the Audit Committee</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In fiscal 2008, there were no exceptions to the policy of securing the pre-approval of the Audit Committee for any service provided by the independent registered public accounting firm.</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700" w:right="1520" w:firstLine="397"/>
        <w:spacing w:after="0" w:line="282" w:lineRule="auto"/>
        <w:rPr>
          <w:sz w:val="20"/>
          <w:szCs w:val="20"/>
          <w:color w:val="auto"/>
        </w:rPr>
      </w:pPr>
      <w:r>
        <w:rPr>
          <w:rFonts w:ascii="Arial" w:cs="Arial" w:eastAsia="Arial" w:hAnsi="Arial"/>
          <w:sz w:val="18"/>
          <w:szCs w:val="18"/>
          <w:color w:val="auto"/>
        </w:rPr>
        <w:t xml:space="preserve">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PricewaterhouseCoopers as ViaSat’s independent registered public accounting firm.</w:t>
      </w: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AMENDMENT TO THE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1996 EQUITY PARTICIPATION PLAN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are requesting that our stockholders vote in favor of an amendment to our 1996 Equity Participation Plan. In this proxy statement, we sometimes call this plan the Equity Plan. On July 29, 2008, our Board of Directors approved the amendment to the Equity Plan, subject to stockholder approval at the annual meeting.</w:t>
      </w:r>
    </w:p>
    <w:p>
      <w:pPr>
        <w:spacing w:after="0" w:line="87"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If approved by the stockholders, the amendment will increase the number of shares of common stock available for issuance under the Equity Plan. As of the record date, August 11, 2008, approximately 175,104 shares remained available for issuance under the Equity Plan, which is insufficient to meet our requirements during the next year. We are asking for approval of 2,000,000 shares over the number of shares we already have available for grant. After carefully forecasting our anticipated growth rate for the next few years, we believe that this increase will be sufficient for one to two years’ worth of equity-based grants under our current compensation program.</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amendment to the Equity Plan will also implement the following changes:</w:t>
      </w:r>
    </w:p>
    <w:p>
      <w:pPr>
        <w:spacing w:after="0" w:line="131"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of the Equity Plan will be extended until 2018.</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Non-employee directors will be eligible to receive all types of awards under the Equity Plan. Currently, non-employee directors are only eligible to receive stock options under the Equity Plan.</w:t>
      </w:r>
    </w:p>
    <w:p>
      <w:pPr>
        <w:spacing w:after="0" w:line="62" w:lineRule="exact"/>
        <w:rPr>
          <w:rFonts w:ascii="Arial" w:cs="Arial" w:eastAsia="Arial" w:hAnsi="Arial"/>
          <w:sz w:val="18"/>
          <w:szCs w:val="18"/>
          <w:color w:val="auto"/>
        </w:rPr>
      </w:pPr>
    </w:p>
    <w:p>
      <w:pPr>
        <w:ind w:left="1300" w:right="100" w:hanging="202"/>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list of performance criteria that may be used by our Compensation and Human Resources Committee for purposes of granting awards under the Equity Plan that are intended to qualify as performance-based compensation under Section 162(m) of the Internal Revenue Code, or the Code, has been expanded, as described below under the heading “Performance Criteria.”</w:t>
      </w:r>
    </w:p>
    <w:p>
      <w:pPr>
        <w:spacing w:after="0" w:line="52"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In addition, certain other immaterial changes have been included in the amendment to the Equity Plan to conform its terms to company practice.</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THE BOARD RECOMMENDS THAT</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YOU VOTE “FOR” THE AMENDMENT TO THE EQUITY PLAN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Why You Should Vote for the Amendment to the Equity Plan</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Incentive Awards Are an Important Part of Our Compensation Philosophy</w:t>
      </w:r>
    </w:p>
    <w:p>
      <w:pPr>
        <w:spacing w:after="0" w:line="131"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The Equity Plan is critical to our ongoing effort to 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including stock options and restricted stock units, to new and existing employees, directors and eligible consultants has helped us attract, retain and motivate the world’s best talent. Historically, we have primarily issued stock options and restricted stock units to our employees, directors and eligible consultants. These forms of equity compensation provide a strong incentive for employees, directors and consultants to work to grow the business and build stockholder value, and are attractive to employees, directors and consultants who share the entrepreneurial sprit that has made our company a success.</w:t>
      </w:r>
    </w:p>
    <w:p>
      <w:pPr>
        <w:spacing w:after="0" w:line="84"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We believe our strategy is working. During the last three years, our employee turnover rate, inclusive of both voluntary and involuntary turnover, has averaged about 7.8%, which is much lower than the annual 20.0% employee turnover rate for similar industries as reported in the 2008 Radford Benchmark Surveys — Overall Practices. Also, our equity incentive program is broad-based. As of the record date, approximately 71% of our outstanding equity awards were held by non-executive officer employees. Approximately 79% of the total stock options outstanding on the record date were fully vested and exercisable, and of these fully vested and exercisable options, 98% were “in-the-money,” which means that they have exercise prices that are less than the trading price of our common stock. We regard the decision by employees to hold onto their options instead of exercising and selling as evidence of their</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93" w:lineRule="auto"/>
        <w:rPr>
          <w:sz w:val="20"/>
          <w:szCs w:val="20"/>
          <w:color w:val="auto"/>
        </w:rPr>
      </w:pPr>
      <w:r>
        <w:rPr>
          <w:rFonts w:ascii="Arial" w:cs="Arial" w:eastAsia="Arial" w:hAnsi="Arial"/>
          <w:sz w:val="16"/>
          <w:szCs w:val="16"/>
          <w:color w:val="auto"/>
        </w:rPr>
        <w:t>belief that they can continue to build stockholder value. While stock options have historically been our primary equity compensation vehicle, we also recently began granting restricted stock units to certain of our employees, and the shares of stock underlying such awards are generally paid out immediately upon vesting of the restricted stock units award (unless the employee has elected to defer delivery of such shares of stock). The stock incentive programs ViaSat has in place have worked to build stockholder value by attracting and retaining extraordinarily talented employees. We believe we must continue to offer a competitive equity compensation plan in order to attract and motivate the world-class talent necessary for our continued growth and success.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Equity Plan Will No Longer Have Shares Available for Grant</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Under our current forecasts, the Equity Plan will run out of shares available for grant in the fall of 2008, and we will not be able to issue equity to our employees, directors and consultants unless our stockholders approve the amendment to the Equity Plan. While we could increase cash compensation if we are unable to grant equity incentives, we anticipate that we will have difficultly attracting, retaining and motivating our employees, directors and consultants if we are unable to make equity grants to them. Equity-based grants are a more effective compensation vehicle than cash at a growth-oriented, entrepreneurial company because they align employee and stockholder interests with a smaller impact on current income and cash flow. Therefore, we are asking our stockholders to approve the amendment to the Equity Plan.</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Manage Our Equity Incentive Award Use Carefully</w:t>
      </w:r>
    </w:p>
    <w:p>
      <w:pPr>
        <w:spacing w:after="0" w:line="131" w:lineRule="exact"/>
        <w:rPr>
          <w:sz w:val="20"/>
          <w:szCs w:val="20"/>
          <w:color w:val="auto"/>
        </w:rPr>
      </w:pPr>
    </w:p>
    <w:p>
      <w:pPr>
        <w:jc w:val="both"/>
        <w:ind w:left="700" w:right="140" w:firstLine="397"/>
        <w:spacing w:after="0" w:line="302" w:lineRule="auto"/>
        <w:rPr>
          <w:sz w:val="20"/>
          <w:szCs w:val="20"/>
          <w:color w:val="auto"/>
        </w:rPr>
      </w:pPr>
      <w:r>
        <w:rPr>
          <w:rFonts w:ascii="Arial" w:cs="Arial" w:eastAsia="Arial" w:hAnsi="Arial"/>
          <w:sz w:val="16"/>
          <w:szCs w:val="16"/>
          <w:color w:val="auto"/>
        </w:rPr>
        <w:t>We manage our long-term stockholder dilution by limiting the number of equity awards granted annually. The Compensation and Human Resources Committee carefully monitors our total dilution and equity expense to ensure that we maximize stockholder value by granting only the appropriate number of equity awards necessary to attract, reward and retain employees. As of the record date, we had the following awards outstanding and shares available for grant under our existing equity compensation plans:</w:t>
      </w:r>
    </w:p>
    <w:p>
      <w:pPr>
        <w:spacing w:after="0" w:line="5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60" w:type="dxa"/>
            <w:vAlign w:val="bottom"/>
          </w:tcPr>
          <w:p>
            <w:pPr>
              <w:ind w:left="1640"/>
              <w:spacing w:after="0"/>
              <w:rPr>
                <w:sz w:val="20"/>
                <w:szCs w:val="20"/>
                <w:color w:val="auto"/>
              </w:rPr>
            </w:pPr>
            <w:r>
              <w:rPr>
                <w:rFonts w:ascii="Arial" w:cs="Arial" w:eastAsia="Arial" w:hAnsi="Arial"/>
                <w:sz w:val="18"/>
                <w:szCs w:val="18"/>
                <w:b w:val="1"/>
                <w:bCs w:val="1"/>
                <w:color w:val="auto"/>
              </w:rPr>
              <w:t>Equity Compensation Plans as of August 11, 2008 (1)</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Restricted stock units outstanding</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910,372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available for grant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Weighted average exercise price of outstanding options</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term of outstanding options</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 This table excludes (a) the 2,000,000 additional shares we are requesting, and (b) the ViaSat, Inc. Employee Stock Purchase Plan.</w:t>
      </w:r>
    </w:p>
    <w:p>
      <w:pPr>
        <w:spacing w:after="0" w:line="15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requesting approval of the amendment to the Equity Plan, we are asking stockholders for a one to two year pool of shares to provide a predictable amount of equity for attracting, retaining and motivating employees, directors and consultants as we continue to grow. Since approval will result in a small increase in total dilution and this dilution may exceed the standard approval guidelines used by some stockholders, we ask that you consider the following:</w:t>
      </w:r>
    </w:p>
    <w:p>
      <w:pPr>
        <w:spacing w:after="0" w:line="92" w:lineRule="exact"/>
        <w:rPr>
          <w:sz w:val="20"/>
          <w:szCs w:val="20"/>
          <w:color w:val="auto"/>
        </w:rPr>
      </w:pPr>
    </w:p>
    <w:p>
      <w:pPr>
        <w:jc w:val="both"/>
        <w:ind w:left="1300" w:right="20" w:hanging="20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still a relatively young company that has grown rapidly. In the early years, a significant number of shares were necessary to build the world-class pool of talent that has created substantial stockholder value. Going forward, we believe fewer shares will be necessary to achieve this objective.</w:t>
      </w:r>
    </w:p>
    <w:p>
      <w:pPr>
        <w:spacing w:after="0" w:line="73" w:lineRule="exact"/>
        <w:rPr>
          <w:rFonts w:ascii="Arial" w:cs="Arial" w:eastAsia="Arial" w:hAnsi="Arial"/>
          <w:sz w:val="18"/>
          <w:szCs w:val="18"/>
          <w:color w:val="auto"/>
        </w:rPr>
      </w:pPr>
    </w:p>
    <w:p>
      <w:pPr>
        <w:ind w:left="1300" w:right="80" w:hanging="202"/>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mentioned earlier, of the approximately 5.6 million shares subject to options outstanding, approximately 4.5 million are vested and exercisable. This tendency of employees to hold in-the-money options that are fully vested is unusual and good for stockholders as it illustrates that employees have confidence in our future stock price appreciation and want to maintain a longer term ownership in the company.</w:t>
      </w:r>
    </w:p>
    <w:p>
      <w:pPr>
        <w:spacing w:after="0" w:line="78"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October 2006, we changed the expiration term of our option grants from ten years to six years. However, this change has not yet fully had its effect on reducing dilution. In the next five fiscal years, approximately</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300"/>
        <w:spacing w:after="0" w:line="277" w:lineRule="auto"/>
        <w:rPr>
          <w:sz w:val="20"/>
          <w:szCs w:val="20"/>
          <w:color w:val="auto"/>
        </w:rPr>
      </w:pPr>
      <w:r>
        <w:rPr>
          <w:rFonts w:ascii="Arial" w:cs="Arial" w:eastAsia="Arial" w:hAnsi="Arial"/>
          <w:sz w:val="18"/>
          <w:szCs w:val="18"/>
          <w:color w:val="auto"/>
        </w:rPr>
        <w:t>3.4 million of the approximately 5.6 million shares subject to outstanding options, or 60%, either have to be exercised or will expire.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Equity Plan Combines Compensation and Governance Best Practices</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Equity Plan includes provisions that are designed to protect our stockholders’ interests and to reflect corporate governance best practices including:</w:t>
      </w:r>
    </w:p>
    <w:p>
      <w:pPr>
        <w:spacing w:after="0" w:line="76" w:lineRule="exact"/>
        <w:rPr>
          <w:sz w:val="20"/>
          <w:szCs w:val="20"/>
          <w:color w:val="auto"/>
        </w:rPr>
      </w:pPr>
    </w:p>
    <w:p>
      <w:pPr>
        <w:ind w:left="1300" w:right="2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Continued broad-based eligibility for equity awards. </w:t>
      </w:r>
      <w:r>
        <w:rPr>
          <w:rFonts w:ascii="Arial" w:cs="Arial" w:eastAsia="Arial" w:hAnsi="Arial"/>
          <w:sz w:val="18"/>
          <w:szCs w:val="18"/>
          <w:color w:val="auto"/>
        </w:rPr>
        <w:t>We grant equity awards to a significant number of our employees. By</w:t>
      </w:r>
      <w:r>
        <w:rPr>
          <w:rFonts w:ascii="Arial" w:cs="Arial" w:eastAsia="Arial" w:hAnsi="Arial"/>
          <w:sz w:val="18"/>
          <w:szCs w:val="18"/>
          <w:i w:val="1"/>
          <w:iCs w:val="1"/>
          <w:color w:val="auto"/>
        </w:rPr>
        <w:t xml:space="preserve"> </w:t>
      </w:r>
      <w:r>
        <w:rPr>
          <w:rFonts w:ascii="Arial" w:cs="Arial" w:eastAsia="Arial" w:hAnsi="Arial"/>
          <w:sz w:val="18"/>
          <w:szCs w:val="18"/>
          <w:color w:val="auto"/>
        </w:rPr>
        <w:t>doing so, we link employee interests with stockholder interests throughout the organization and motivate our employees to act as owners of the business.</w:t>
      </w:r>
    </w:p>
    <w:p>
      <w:pPr>
        <w:spacing w:after="0" w:line="73" w:lineRule="exact"/>
        <w:rPr>
          <w:rFonts w:ascii="Arial" w:cs="Arial" w:eastAsia="Arial" w:hAnsi="Arial"/>
          <w:sz w:val="18"/>
          <w:szCs w:val="18"/>
          <w:color w:val="auto"/>
        </w:rPr>
      </w:pPr>
    </w:p>
    <w:p>
      <w:pPr>
        <w:ind w:left="1300" w:right="12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Stockholder approval is required for additional shares</w:t>
      </w:r>
      <w:r>
        <w:rPr>
          <w:rFonts w:ascii="Arial" w:cs="Arial" w:eastAsia="Arial" w:hAnsi="Arial"/>
          <w:sz w:val="18"/>
          <w:szCs w:val="18"/>
          <w:color w:val="auto"/>
        </w:rPr>
        <w:t>. The Equity Plan does not contain an annual “evergreen” provision.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Plan authorizes a fixed number of shares, so that stockholder approval is required to increase the maximum number of securities which may be issued under the Equity Plan.</w:t>
      </w:r>
    </w:p>
    <w:p>
      <w:pPr>
        <w:spacing w:after="0" w:line="73" w:lineRule="exact"/>
        <w:rPr>
          <w:rFonts w:ascii="Arial" w:cs="Arial" w:eastAsia="Arial" w:hAnsi="Arial"/>
          <w:sz w:val="18"/>
          <w:szCs w:val="18"/>
          <w:color w:val="auto"/>
        </w:rPr>
      </w:pPr>
    </w:p>
    <w:p>
      <w:pPr>
        <w:ind w:left="1300" w:right="140" w:hanging="202"/>
        <w:spacing w:after="0" w:line="286"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No discount stock options or stock appreciation rights. </w:t>
      </w:r>
      <w:r>
        <w:rPr>
          <w:rFonts w:ascii="Arial" w:cs="Arial" w:eastAsia="Arial" w:hAnsi="Arial"/>
          <w:sz w:val="17"/>
          <w:szCs w:val="17"/>
          <w:color w:val="auto"/>
        </w:rPr>
        <w:t>All stock options and stock appreciation rights will have an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equal to or greater than the fair market value of our common stock on the date the stock option or stock appreciation right is granted. To date we have not granted any stock appreciation rights under the Equity Plan.</w:t>
      </w:r>
    </w:p>
    <w:p>
      <w:pPr>
        <w:spacing w:after="0" w:line="57" w:lineRule="exact"/>
        <w:rPr>
          <w:rFonts w:ascii="Arial" w:cs="Arial" w:eastAsia="Arial" w:hAnsi="Arial"/>
          <w:sz w:val="17"/>
          <w:szCs w:val="17"/>
          <w:color w:val="auto"/>
        </w:rPr>
      </w:pPr>
    </w:p>
    <w:p>
      <w:pPr>
        <w:ind w:left="1300" w:right="28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Repricing is not allowed. </w:t>
      </w:r>
      <w:r>
        <w:rPr>
          <w:rFonts w:ascii="Arial" w:cs="Arial" w:eastAsia="Arial" w:hAnsi="Arial"/>
          <w:sz w:val="18"/>
          <w:szCs w:val="18"/>
          <w:color w:val="auto"/>
        </w:rPr>
        <w:t>The Equity Plan prohibits the repricing of stock options and stock appreciation rights without prior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w:t>
      </w:r>
    </w:p>
    <w:p>
      <w:pPr>
        <w:spacing w:after="0" w:line="62" w:lineRule="exact"/>
        <w:rPr>
          <w:rFonts w:ascii="Arial" w:cs="Arial" w:eastAsia="Arial" w:hAnsi="Arial"/>
          <w:sz w:val="18"/>
          <w:szCs w:val="18"/>
          <w:color w:val="auto"/>
        </w:rPr>
      </w:pPr>
    </w:p>
    <w:p>
      <w:pPr>
        <w:ind w:left="1300" w:right="120" w:hanging="202"/>
        <w:spacing w:after="0" w:line="276"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Reasonable share counting provisions. </w:t>
      </w:r>
      <w:r>
        <w:rPr>
          <w:rFonts w:ascii="Arial" w:cs="Arial" w:eastAsia="Arial" w:hAnsi="Arial"/>
          <w:sz w:val="17"/>
          <w:szCs w:val="17"/>
          <w:color w:val="auto"/>
        </w:rPr>
        <w:t>In general, when awards granted under the Equity Plan expire or are canceled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having been fully exercised, or are settled in cash, the shares reserved for those awards will be returned to the share reserve and be available for future awards. However, shares of common stock that are delivered by the grantee or withheld by ViaSat as payment of the exercise price in connection with the exercise of an option or payment of the tax withholding obligation in connection with any award will not be returned to the share reserve.</w:t>
      </w:r>
    </w:p>
    <w:p>
      <w:pPr>
        <w:spacing w:after="0" w:line="64" w:lineRule="exact"/>
        <w:rPr>
          <w:rFonts w:ascii="Arial" w:cs="Arial" w:eastAsia="Arial" w:hAnsi="Arial"/>
          <w:sz w:val="17"/>
          <w:szCs w:val="17"/>
          <w:color w:val="auto"/>
        </w:rPr>
      </w:pPr>
    </w:p>
    <w:p>
      <w:pPr>
        <w:ind w:left="1300" w:hanging="202"/>
        <w:spacing w:after="0" w:line="290"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Reasonable limit on full value awards. </w:t>
      </w:r>
      <w:r>
        <w:rPr>
          <w:rFonts w:ascii="Arial" w:cs="Arial" w:eastAsia="Arial" w:hAnsi="Arial"/>
          <w:sz w:val="16"/>
          <w:szCs w:val="16"/>
          <w:color w:val="auto"/>
        </w:rPr>
        <w:t>For purposes of calculating the shares that remain available for issuance under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Plan, grants of options and stock appreciation rights are counted as the grant of one share for each one share actually granted, as described above. In addition, with respect to a stock appreciation right award settled in shares of common stock, the share reserve will be reduced by the aggregate number of shares subject to the stock appreciation right and not just by the number of shares actually delivered upon exercise of the stock appreciation right. However, to protect our stockholders from potentially greater dilutive effect of full value awards, all grants of restricted stock, performance awards, dividend equivalents, restricted stock units and stock payments with a share purchase price less than fair market value on the date of grant are deducted from the Equity Plan’s share pool as two shares for every one share actually granted.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of the Equity Plan</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The following is a summary of the Equity Plan, as amended pursuant to this proposal. This summary does not purport to be complete, and is qualified in its entirety by reference to the full text of the 1996 Equity Participation Plan, as amended and restated to reflect the amendments pursuant to this proposal, a copy of which is attached as Appendix A to this proxy statement.</w:t>
      </w:r>
    </w:p>
    <w:p>
      <w:pPr>
        <w:spacing w:after="0" w:line="5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i w:val="1"/>
          <w:iCs w:val="1"/>
          <w:color w:val="auto"/>
        </w:rPr>
        <w:t xml:space="preserve">General Nature and Purpose. </w:t>
      </w:r>
      <w:r>
        <w:rPr>
          <w:rFonts w:ascii="Arial" w:cs="Arial" w:eastAsia="Arial" w:hAnsi="Arial"/>
          <w:sz w:val="17"/>
          <w:szCs w:val="17"/>
          <w:color w:val="auto"/>
        </w:rPr>
        <w:t>The Equity Plan was adopted (1) to further our growth, development and financial success by</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Equity Plan provides for the grant to our executive officers, other key employees, consultants and non-employee directors of a broad variety of stock-based compensation alternatives such as nonqualified stock options, incentive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stock options, restricted stock, restricted stock units, dividend equivalents, stock payments, stock appreciation rights and performance awards.</w:t>
      </w:r>
    </w:p>
    <w:p>
      <w:pPr>
        <w:spacing w:after="0" w:line="76" w:lineRule="exact"/>
        <w:rPr>
          <w:sz w:val="20"/>
          <w:szCs w:val="20"/>
          <w:color w:val="auto"/>
        </w:rPr>
      </w:pPr>
    </w:p>
    <w:p>
      <w:pPr>
        <w:jc w:val="both"/>
        <w:ind w:left="700" w:right="220" w:firstLine="397"/>
        <w:spacing w:after="0" w:line="26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and Human Resources Committee of the Board of Directors administers the Equity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administering the Equity Plan, the Compensation and Human Resources Committee is also authorized to adopt, amend and rescind rules relating to the administration of the Equity Plan.</w:t>
      </w:r>
    </w:p>
    <w:p>
      <w:pPr>
        <w:spacing w:after="0" w:line="8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Shares Subject to Equity Plan. </w:t>
      </w:r>
      <w:r>
        <w:rPr>
          <w:rFonts w:ascii="Arial" w:cs="Arial" w:eastAsia="Arial" w:hAnsi="Arial"/>
          <w:sz w:val="17"/>
          <w:szCs w:val="17"/>
          <w:color w:val="auto"/>
        </w:rPr>
        <w:t>The Equity Plan currently provides for the issuance of up to 10,600,000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and, if this proposal is approved, will provide for the issuance of up to 12,600,000 shares of our common stock. Awards of restricted stock, performance awards, dividend equivalents, restricted stock units, and stock payments with a share purchase price less than fair market value are counted as two shares for every one share actually granted for purposes of calculating the number of shares available for issuance under the Equity Plan. Grants of stock options and stock appreciation rights will continue to be counted as the grant of one share for each one share actually granted for purposes of calculating the total number of remaining shares available for issuance under the Equity Plan. In addition, with respect to a stock appreciation right award settled in shares of common stock, the share reserve will be reduced by the aggregate number of shares subject to the stock appreciation right and not just by the number of shares actually delivered upon exercise of the stock appreciation right.</w:t>
      </w:r>
    </w:p>
    <w:p>
      <w:pPr>
        <w:spacing w:after="0" w:line="8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To the extent that an option, or any other right to acquire shares under the Equity Plan, expires or is cancelled without having been fully exercised, or is settled in cash, then such shares as to which such award was not exercised prior to its expiration or cancellation are added back to the Equity Plan and may be re-granted under the Equity Plan. In addition, any shares of restricted stock forfeited or repurchased by ViaSat may be re-granted under the Equity Plan. However, shares of common stock that are delivered by the grantee or withheld by ViaSat as payment of the exercise price in connection with the exercise of an option or payment of the tax withholding obligation in connection with any award will not be returned to the share reserve.</w:t>
      </w:r>
    </w:p>
    <w:p>
      <w:pPr>
        <w:spacing w:after="0" w:line="84"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number of shares subject to the Equity Plan, and the limitations on the number of shares subject to grants and awards under the Equity Plan, may in the discretion of the Compensation and Human Resources Committee (or the Board of Directors, in the case of awards to non-employee directors) be adjusted to reflect changes in our capitalization or certain corporate events which are described more fully in the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Compensation and Human Resources Committee (or the Board of Directors, in the case of awards to non-employee directors) will make proportionate adjustments to reflect such equity restructuring with respect to the aggregate number and type of shares that may be issued under the Equity Plan (including, but not limited to, adjustments of the number of shares available under the plan and the maximum number of shares which may be subject to awards to a participant during any calendar year).</w:t>
      </w:r>
    </w:p>
    <w:p>
      <w:pPr>
        <w:spacing w:after="0" w:line="83"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Not more than 500,000 shares may be subject to options or stock appreciation rights for any one individual per fiscal year. The Equity Plan also has an individual award limit of 150,000 shares per fiscal year for grants of restricted stock, performance awards, dividend equivalents, restricted stock units and stock payments (except for grants made upon initial service of an employee, which has an award limit of 300,000 shares). Individual awards designated to be paid in cash may not exceed $1,000,000.</w:t>
      </w:r>
    </w:p>
    <w:p>
      <w:pPr>
        <w:spacing w:after="0" w:line="60"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Any employee, consultant or non-employee director selected by the Compensation and Human Resources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(or the Board of Directors, in the case of awards to non-employee directors) is eligible to receive equity awards under the Equity Plan. The Compensation and Human Resources Committee (or the Board of Directors, in the case of awards to non-employee directors), in its absolute discretion, will determine (1) among the eligible participants the individuals to whom awards are to be granted, (2) the number of shares to be granted, and (3) the terms and conditions of the grants.</w:t>
      </w:r>
    </w:p>
    <w:p>
      <w:pPr>
        <w:spacing w:after="0" w:line="78"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Grant of Options. </w:t>
      </w:r>
      <w:r>
        <w:rPr>
          <w:rFonts w:ascii="Arial" w:cs="Arial" w:eastAsia="Arial" w:hAnsi="Arial"/>
          <w:sz w:val="18"/>
          <w:szCs w:val="18"/>
          <w:color w:val="auto"/>
        </w:rPr>
        <w:t>The Compensation and Human Resources Committee (or the Board of Directors, in the case of an option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non-employee director) will from time to time, in its absolute discretion, determine (1) the number of shares to be subject to options granted to selected employees</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consultants and non-employee directors (2) whether the options are to be incentive stock options or non-qualified stock options, and (3) the terms and conditions of the options, in a manner consistent with the Equity Plan. During the term of the Equity Plan, a</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person who is initially elected to the Board of Directors and who is a non-employee director at that time is automatically granted an option to purchase 15,000 shares of common stock and an option to purchase 10,000 shares of common stock on the date of each subsequent annual meeting of stockholders. The initial option grants to non-employee directors vest in three equal annual installments on the first three anniversaries of the date of grant. The annual option grants to non-employee directors vest in full on the first anniversary of the date of grant.</w:t>
      </w:r>
    </w:p>
    <w:p>
      <w:pPr>
        <w:spacing w:after="0" w:line="9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Purchase Price of Optioned Shares. </w:t>
      </w:r>
      <w:r>
        <w:rPr>
          <w:rFonts w:ascii="Arial" w:cs="Arial" w:eastAsia="Arial" w:hAnsi="Arial"/>
          <w:sz w:val="18"/>
          <w:szCs w:val="18"/>
          <w:color w:val="auto"/>
        </w:rPr>
        <w:t>The price per share of the shares subject to each option is set by the Compensation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Committee (or the Board of Directors, in the case of an option granted to a non-employee director). However, the price per 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price cannot be less than 110% of the fair market value of a share of common stock on the date the option is granted.</w:t>
      </w:r>
    </w:p>
    <w:p>
      <w:pPr>
        <w:spacing w:after="0" w:line="99"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i w:val="1"/>
          <w:iCs w:val="1"/>
          <w:color w:val="auto"/>
        </w:rPr>
        <w:t xml:space="preserve">Terms of Options. </w:t>
      </w:r>
      <w:r>
        <w:rPr>
          <w:rFonts w:ascii="Arial" w:cs="Arial" w:eastAsia="Arial" w:hAnsi="Arial"/>
          <w:sz w:val="18"/>
          <w:szCs w:val="18"/>
          <w:color w:val="auto"/>
        </w:rPr>
        <w:t>The term of an option is set by the Compensation and Human Resources Committee (or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an option granted to a non-employee director) in its discretion. However, the term of an option cannot exceed six years under the Equity Plan. In the case of incentive stock options granted to an individual then owning more than 10% of the total combined voting power of all classes of stock of ViaSat, the term may not exceed five years.</w:t>
      </w:r>
    </w:p>
    <w:p>
      <w:pPr>
        <w:spacing w:after="0" w:line="9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Upon the exercise of an option under the Equity Plan, the optionee must make full cash payment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Secretary of ViaSat for the shares with respect to which the option, or portion of the option, is exercised. However, the Compensation and Human Resources Committee (or the Board of Directors, in the case of an option granted to a non-employee director) may in its discretion allow various forms of payment, which are described in the Equity Plan.</w:t>
      </w:r>
    </w:p>
    <w:p>
      <w:pPr>
        <w:spacing w:after="0" w:line="9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Equity Plan allows for various other awards including restricted stock, performance awards,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restricted stock units, stock payments and stock appreciation rights. Except as expressly permitted by the Equity Plan, awards of restricted stock will have a minimum vesting schedule of three years (except for restricted stock performance awards, which will have a minimum vesting schedule of one year). The term of a stock appreciation right cannot exceed six years under the Equity Plan and the exercise price per share of a stock appreciation right cannot be less than fair market value on the date the stock appreciation right is granted.</w:t>
      </w:r>
    </w:p>
    <w:p>
      <w:pPr>
        <w:spacing w:after="0" w:line="99"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The Compensation and Human Resources Committee may designate employees as “covered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whose compensation for a given fiscal year may be subject to the limit on deductible compensation imposed by Section 162(m) of the Code. The Compensation and Human Resources Committee may grant to such covered employees restricted stock, restricted stock units, stock appreciation rights, dividend equivalents, performance awards, cash bonuses and stock payments that are paid, vest or become exercisable upon the attainment of company performance criteria which are related to one or more of the following performance criteria as applicable to our performance or the performance of a division, business unit or an individual:</w:t>
      </w:r>
    </w:p>
    <w:p>
      <w:pPr>
        <w:spacing w:after="0" w:line="70"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earnings (either before or after one or more of the following: (1) interest, (2) taxes, (3) depreciation and (4) amortization),</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(either before or after taxes),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capital, return on stockholders’ equity,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funds from operations,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per share of our common stock.</w:t>
      </w:r>
    </w:p>
    <w:p>
      <w:pPr>
        <w:spacing w:after="0" w:line="131"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i w:val="1"/>
          <w:iCs w:val="1"/>
          <w:color w:val="auto"/>
        </w:rPr>
        <w:t xml:space="preserve">No Repricing. </w:t>
      </w:r>
      <w:r>
        <w:rPr>
          <w:rFonts w:ascii="Arial" w:cs="Arial" w:eastAsia="Arial" w:hAnsi="Arial"/>
          <w:sz w:val="18"/>
          <w:szCs w:val="18"/>
          <w:color w:val="auto"/>
        </w:rPr>
        <w:t>The Equity Plan prohibits the repricing of stock options or stock appreciation rights without prior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w:t>
      </w:r>
    </w:p>
    <w:p>
      <w:pPr>
        <w:spacing w:after="0" w:line="76"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7"/>
          <w:szCs w:val="17"/>
          <w:i w:val="1"/>
          <w:iCs w:val="1"/>
          <w:color w:val="auto"/>
        </w:rPr>
        <w:t xml:space="preserve">Amendment and Termination of the Plan. </w:t>
      </w:r>
      <w:r>
        <w:rPr>
          <w:rFonts w:ascii="Arial" w:cs="Arial" w:eastAsia="Arial" w:hAnsi="Arial"/>
          <w:sz w:val="17"/>
          <w:szCs w:val="17"/>
          <w:color w:val="auto"/>
        </w:rPr>
        <w:t>The Equity Plan may be wholly or partially amended or otherwise modified, suspended</w:t>
      </w:r>
      <w:r>
        <w:rPr>
          <w:rFonts w:ascii="Arial" w:cs="Arial" w:eastAsia="Arial" w:hAnsi="Arial"/>
          <w:sz w:val="17"/>
          <w:szCs w:val="17"/>
          <w:i w:val="1"/>
          <w:iCs w:val="1"/>
          <w:color w:val="auto"/>
        </w:rPr>
        <w:t xml:space="preserve"> </w:t>
      </w:r>
      <w:r>
        <w:rPr>
          <w:rFonts w:ascii="Arial" w:cs="Arial" w:eastAsia="Arial" w:hAnsi="Arial"/>
          <w:sz w:val="17"/>
          <w:szCs w:val="17"/>
          <w:color w:val="auto"/>
        </w:rPr>
        <w:t>or terminated at any time or from time to time by the Board of Directors or the Compensation and Human Resources Committee. However, without approval of the stockholders of ViaSat, the Equity Plan may not be amended to (1) increase the maximum number of shares issuable upon exercise of equity awards granted under the Equity Plan and (2) no action of the Board or the Compensation and Human Resources Committee may be taken that would otherwise require stockholder approval as a matter of applicable law, regulation or rule. If this proposal is approved, and if not earlier terminated by the Board of Directors or the Compensation and Human Resources Committee, the Equity Plan will terminate in 2018.</w:t>
      </w:r>
    </w:p>
    <w:p>
      <w:pPr>
        <w:spacing w:after="0" w:line="83"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The number of awards that an employee may receive under the Equity Plan is in the discretion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the Compensation and Human Resources Committee and therefore cannot be determined in advance. As noted above, the Equity Plan provides a formula grant to non-employee directors, with each non-employee director receiving an option to purchase 15,000 shares of common stock at the time of initial election to the Board and an option to purchase 10,000 shares of common stock on the date of each subsequent annual meeting of stockholders. Other than these formula grants, neither the Compensation and Human Resources Committee nor the Board of Directors has made any determination to grant any awards to any persons under the Equity Plan as of the date of this proxy statement. For illustrative purposes only, the following table sets forth the aggregate number of shares subject to restricted stock units and options granted under the Equity Plan during last fiscal year.</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40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4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or Group</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4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Underlying Options</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Units Granted (#)</w:t>
            </w:r>
          </w:p>
        </w:tc>
        <w:tc>
          <w:tcPr>
            <w:tcW w:w="4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Granted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Richard A. Baldridge</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Steven R. Hart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All Current Executive Officers as a Group (9 persons)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All Current Non-Employee Directors as a Group (6 persons)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All Current Non-Executive Officer Employees as a Group</w:t>
            </w:r>
          </w:p>
        </w:tc>
        <w:tc>
          <w:tcPr>
            <w:tcW w:w="1400" w:type="dxa"/>
            <w:vAlign w:val="bottom"/>
          </w:tcPr>
          <w:p>
            <w:pPr>
              <w:jc w:val="right"/>
              <w:spacing w:after="0"/>
              <w:rPr>
                <w:sz w:val="20"/>
                <w:szCs w:val="20"/>
                <w:color w:val="auto"/>
              </w:rPr>
            </w:pPr>
            <w:r>
              <w:rPr>
                <w:rFonts w:ascii="Arial" w:cs="Arial" w:eastAsia="Arial" w:hAnsi="Arial"/>
                <w:sz w:val="18"/>
                <w:szCs w:val="18"/>
                <w:color w:val="auto"/>
              </w:rPr>
              <w:t>12,900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291,950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Federal Income Tax Consequences</w:t>
      </w:r>
    </w:p>
    <w:p>
      <w:pPr>
        <w:spacing w:after="0" w:line="135"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The following is a general discussion of the principal tax considerations for both ViaSat and the recipients of the various awards under the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Options</w:t>
      </w:r>
    </w:p>
    <w:p>
      <w:pPr>
        <w:spacing w:after="0" w:line="131"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i w:val="1"/>
          <w:iCs w:val="1"/>
          <w:color w:val="auto"/>
        </w:rPr>
        <w:t xml:space="preserve">Consequences to Employees: Incentive Stock Options. </w:t>
      </w:r>
      <w:r>
        <w:rPr>
          <w:rFonts w:ascii="Arial" w:cs="Arial" w:eastAsia="Arial" w:hAnsi="Arial"/>
          <w:sz w:val="16"/>
          <w:szCs w:val="16"/>
          <w:color w:val="auto"/>
        </w:rPr>
        <w:t>No income is recognized for federal income tax purposes by an optionee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an incentive stock option is granted, and, except as discussed below, no income is recognized by an optionee upon his or her exercise of an incentive stock option. If the optionee makes no disposition of the common stock received upon exercise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w:t>
      </w:r>
    </w:p>
    <w:p>
      <w:pPr>
        <w:spacing w:after="0" w:line="73"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84" w:lineRule="exact"/>
        <w:rPr>
          <w:sz w:val="20"/>
          <w:szCs w:val="20"/>
          <w:color w:val="auto"/>
        </w:rPr>
      </w:pPr>
    </w:p>
    <w:p>
      <w:pPr>
        <w:jc w:val="both"/>
        <w:ind w:left="700" w:right="20" w:firstLine="397"/>
        <w:spacing w:after="0" w:line="259" w:lineRule="auto"/>
        <w:rPr>
          <w:sz w:val="20"/>
          <w:szCs w:val="20"/>
          <w:color w:val="auto"/>
        </w:rPr>
      </w:pPr>
      <w:r>
        <w:rPr>
          <w:rFonts w:ascii="Arial" w:cs="Arial" w:eastAsia="Arial" w:hAnsi="Arial"/>
          <w:sz w:val="18"/>
          <w:szCs w:val="18"/>
          <w:i w:val="1"/>
          <w:iCs w:val="1"/>
          <w:color w:val="auto"/>
        </w:rPr>
        <w:t xml:space="preserve">Consequences to Employees: Non-Qualified Stock Options. </w:t>
      </w:r>
      <w:r>
        <w:rPr>
          <w:rFonts w:ascii="Arial" w:cs="Arial" w:eastAsia="Arial" w:hAnsi="Arial"/>
          <w:sz w:val="18"/>
          <w:szCs w:val="18"/>
          <w:color w:val="auto"/>
        </w:rPr>
        <w:t>No income is recognized by a holder of a non-qualified stock option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a non-qualified stock option is granted. In general, at the time shares of common stock are issued to a holder pursuant to exercise of a non-qualified stock option, the holder will recognize ordinary income equal to the excess of the fair market value of the shares on the date of exercise over the exercise price.</w:t>
      </w:r>
    </w:p>
    <w:p>
      <w:pPr>
        <w:spacing w:after="0" w:line="92"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 holder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holder’s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9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Consequences to ViaSat: Incentive Stock Options. </w:t>
      </w:r>
      <w:r>
        <w:rPr>
          <w:rFonts w:ascii="Arial" w:cs="Arial" w:eastAsia="Arial" w:hAnsi="Arial"/>
          <w:sz w:val="18"/>
          <w:szCs w:val="18"/>
          <w:color w:val="auto"/>
        </w:rPr>
        <w:t>We will not be allowed a deduction for federal income tax purposes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 or 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94" w:lineRule="exact"/>
        <w:rPr>
          <w:sz w:val="20"/>
          <w:szCs w:val="20"/>
          <w:color w:val="auto"/>
        </w:rPr>
      </w:pPr>
    </w:p>
    <w:p>
      <w:pPr>
        <w:ind w:left="700" w:right="560" w:firstLine="397"/>
        <w:spacing w:after="0" w:line="264" w:lineRule="auto"/>
        <w:rPr>
          <w:sz w:val="20"/>
          <w:szCs w:val="20"/>
          <w:color w:val="auto"/>
        </w:rPr>
      </w:pPr>
      <w:r>
        <w:rPr>
          <w:rFonts w:ascii="Arial" w:cs="Arial" w:eastAsia="Arial" w:hAnsi="Arial"/>
          <w:sz w:val="18"/>
          <w:szCs w:val="18"/>
          <w:i w:val="1"/>
          <w:iCs w:val="1"/>
          <w:color w:val="auto"/>
        </w:rPr>
        <w:t xml:space="preserve">Consequences to ViaSat: Non-Qualified Stock Options. </w:t>
      </w:r>
      <w:r>
        <w:rPr>
          <w:rFonts w:ascii="Arial" w:cs="Arial" w:eastAsia="Arial" w:hAnsi="Arial"/>
          <w:sz w:val="18"/>
          <w:szCs w:val="18"/>
          <w:color w:val="auto"/>
        </w:rPr>
        <w:t>Generally, we will be entitled to a deduction for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in the year and in the same amount as the optionee is considered to have realized ordinary income in connection with the exercise of a non-qualified stock option.</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Generally, a participant in the Equity Plan will not be taxed upon the grant or purchase of restricted stock that is subject to a “substantial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Code Section 83. ViaSat will be eligible for a tax deduction as a compensation expense at the time the participant recognizes ordinary income equal to the amount of income recognized.</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31"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A participant will not be taxed upon the grant of a stock appreciation right. Upon the exercise of the stock appreciation right, 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Performance Awards, Dividend Equivalents, Restricted Stock Units and Stock Payments</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participant will have ordinary income upon receipt of stock or cash payable under a performance award, dividend equivalents, restricted stock units and stock payments. ViaSat will be eligible for a tax deduction as a compensation expense equal to the amount of ordinary income recognized by the participant.</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Section 162(m)</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under Code Section 162(m), the deduction limit does not apply to certain “performance-based” compensation established by an independent compensation committee which conforms to certain restrictive conditions stated under the Code and related regulations. The Equity Plan has been structured with the intent that awards granted under the Equity Plan may meet the requirements for “performance-based” compensation under Code Section 162(m). To the extent granted at a fair market value exercise price, options and stock appreciation rights granted under the Equity Plan are intended to qualify as “performance-based” under Section 162(m) of the Code.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amendment to the 1996 Equity Participation Plan.</w:t>
      </w: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OWNERSHIP OF SECURITIES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Beneficial Ownership Table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sets forth information known to us regarding the ownership of ViaSat common stock as of August 11, 2008 by:</w:t>
      </w:r>
    </w:p>
    <w:p>
      <w:pPr>
        <w:spacing w:after="0" w:line="46" w:lineRule="exact"/>
        <w:rPr>
          <w:sz w:val="20"/>
          <w:szCs w:val="20"/>
          <w:color w:val="auto"/>
        </w:rPr>
      </w:pPr>
    </w:p>
    <w:p>
      <w:pPr>
        <w:ind w:left="700" w:right="500" w:hanging="7"/>
        <w:spacing w:after="0" w:line="255"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 (2) each of the Named Executive Officers identified in the Summary Compensation Table, (3) all directors and executive officers of ViaSat as a group, and (4) all other stockholders known by ViaSat to be beneficial owners of more than 5% of ViaSat common stock.</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Owner(1)</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Amount and Nature of</w:t>
            </w:r>
          </w:p>
        </w:tc>
        <w:tc>
          <w:tcPr>
            <w:tcW w:w="2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 Beneficial</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Beneficial Ownership(2)</w:t>
            </w:r>
          </w:p>
        </w:tc>
        <w:tc>
          <w:tcPr>
            <w:tcW w:w="280" w:type="dxa"/>
            <w:vAlign w:val="bottom"/>
          </w:tcPr>
          <w:p>
            <w:pPr>
              <w:spacing w:after="0"/>
              <w:rPr>
                <w:sz w:val="14"/>
                <w:szCs w:val="14"/>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Ownership (%)(3)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6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Mark D. Dankberg</w:t>
            </w:r>
          </w:p>
        </w:tc>
        <w:tc>
          <w:tcPr>
            <w:tcW w:w="1620" w:type="dxa"/>
            <w:vAlign w:val="bottom"/>
          </w:tcPr>
          <w:p>
            <w:pPr>
              <w:jc w:val="right"/>
              <w:spacing w:after="0"/>
              <w:rPr>
                <w:sz w:val="20"/>
                <w:szCs w:val="20"/>
                <w:color w:val="auto"/>
              </w:rPr>
            </w:pPr>
            <w:r>
              <w:rPr>
                <w:rFonts w:ascii="Arial" w:cs="Arial" w:eastAsia="Arial" w:hAnsi="Arial"/>
                <w:sz w:val="18"/>
                <w:szCs w:val="18"/>
                <w:color w:val="auto"/>
              </w:rPr>
              <w:t>1,865,476</w:t>
            </w:r>
          </w:p>
        </w:tc>
        <w:tc>
          <w:tcPr>
            <w:tcW w:w="840" w:type="dxa"/>
            <w:vAlign w:val="bottom"/>
          </w:tcPr>
          <w:p>
            <w:pPr>
              <w:ind w:left="20"/>
              <w:spacing w:after="0"/>
              <w:rPr>
                <w:sz w:val="20"/>
                <w:szCs w:val="20"/>
                <w:color w:val="auto"/>
              </w:rPr>
            </w:pPr>
            <w:r>
              <w:rPr>
                <w:rFonts w:ascii="Arial" w:cs="Arial" w:eastAsia="Arial" w:hAnsi="Arial"/>
                <w:sz w:val="18"/>
                <w:szCs w:val="18"/>
                <w:color w:val="auto"/>
              </w:rPr>
              <w:t>(4)</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Steven R. Hart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818,159</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Robert W. Johnson</w:t>
            </w:r>
          </w:p>
        </w:tc>
        <w:tc>
          <w:tcPr>
            <w:tcW w:w="1620" w:type="dxa"/>
            <w:vAlign w:val="bottom"/>
          </w:tcPr>
          <w:p>
            <w:pPr>
              <w:jc w:val="right"/>
              <w:spacing w:after="0"/>
              <w:rPr>
                <w:sz w:val="20"/>
                <w:szCs w:val="20"/>
                <w:color w:val="auto"/>
              </w:rPr>
            </w:pPr>
            <w:r>
              <w:rPr>
                <w:rFonts w:ascii="Arial" w:cs="Arial" w:eastAsia="Arial" w:hAnsi="Arial"/>
                <w:sz w:val="18"/>
                <w:szCs w:val="18"/>
                <w:color w:val="auto"/>
              </w:rPr>
              <w:t>642,496</w:t>
            </w:r>
          </w:p>
        </w:tc>
        <w:tc>
          <w:tcPr>
            <w:tcW w:w="840" w:type="dxa"/>
            <w:vAlign w:val="bottom"/>
          </w:tcPr>
          <w:p>
            <w:pPr>
              <w:ind w:left="20"/>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391,422</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 Allen Lay</w:t>
            </w:r>
          </w:p>
        </w:tc>
        <w:tc>
          <w:tcPr>
            <w:tcW w:w="1620" w:type="dxa"/>
            <w:vAlign w:val="bottom"/>
          </w:tcPr>
          <w:p>
            <w:pPr>
              <w:jc w:val="right"/>
              <w:spacing w:after="0"/>
              <w:rPr>
                <w:sz w:val="20"/>
                <w:szCs w:val="20"/>
                <w:color w:val="auto"/>
              </w:rPr>
            </w:pPr>
            <w:r>
              <w:rPr>
                <w:rFonts w:ascii="Arial" w:cs="Arial" w:eastAsia="Arial" w:hAnsi="Arial"/>
                <w:sz w:val="18"/>
                <w:szCs w:val="18"/>
                <w:color w:val="auto"/>
              </w:rPr>
              <w:t>380,328</w:t>
            </w:r>
          </w:p>
        </w:tc>
        <w:tc>
          <w:tcPr>
            <w:tcW w:w="840" w:type="dxa"/>
            <w:vAlign w:val="bottom"/>
          </w:tcPr>
          <w:p>
            <w:pPr>
              <w:ind w:left="20"/>
              <w:spacing w:after="0"/>
              <w:rPr>
                <w:sz w:val="20"/>
                <w:szCs w:val="20"/>
                <w:color w:val="auto"/>
              </w:rPr>
            </w:pPr>
            <w:r>
              <w:rPr>
                <w:rFonts w:ascii="Arial" w:cs="Arial" w:eastAsia="Arial" w:hAnsi="Arial"/>
                <w:sz w:val="18"/>
                <w:szCs w:val="18"/>
                <w:color w:val="auto"/>
              </w:rPr>
              <w:t>(8)</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Jeffrey M. Nash</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370,090</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Richard A. Baldridge</w:t>
            </w:r>
          </w:p>
        </w:tc>
        <w:tc>
          <w:tcPr>
            <w:tcW w:w="1620" w:type="dxa"/>
            <w:vAlign w:val="bottom"/>
          </w:tcPr>
          <w:p>
            <w:pPr>
              <w:jc w:val="right"/>
              <w:spacing w:after="0"/>
              <w:rPr>
                <w:sz w:val="20"/>
                <w:szCs w:val="20"/>
                <w:color w:val="auto"/>
              </w:rPr>
            </w:pPr>
            <w:r>
              <w:rPr>
                <w:rFonts w:ascii="Arial" w:cs="Arial" w:eastAsia="Arial" w:hAnsi="Arial"/>
                <w:sz w:val="18"/>
                <w:szCs w:val="18"/>
                <w:color w:val="auto"/>
              </w:rPr>
              <w:t>239,107</w:t>
            </w:r>
          </w:p>
        </w:tc>
        <w:tc>
          <w:tcPr>
            <w:tcW w:w="840" w:type="dxa"/>
            <w:vAlign w:val="bottom"/>
          </w:tcPr>
          <w:p>
            <w:pPr>
              <w:ind w:left="20"/>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Michael B. Targoff</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132,750</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Ronald G. Wangerin</w:t>
            </w:r>
          </w:p>
        </w:tc>
        <w:tc>
          <w:tcPr>
            <w:tcW w:w="1620" w:type="dxa"/>
            <w:vAlign w:val="bottom"/>
          </w:tcPr>
          <w:p>
            <w:pPr>
              <w:jc w:val="right"/>
              <w:spacing w:after="0"/>
              <w:rPr>
                <w:sz w:val="20"/>
                <w:szCs w:val="20"/>
                <w:color w:val="auto"/>
              </w:rPr>
            </w:pPr>
            <w:r>
              <w:rPr>
                <w:rFonts w:ascii="Arial" w:cs="Arial" w:eastAsia="Arial" w:hAnsi="Arial"/>
                <w:sz w:val="18"/>
                <w:szCs w:val="18"/>
                <w:color w:val="auto"/>
              </w:rPr>
              <w:t>71,985</w:t>
            </w:r>
          </w:p>
        </w:tc>
        <w:tc>
          <w:tcPr>
            <w:tcW w:w="840" w:type="dxa"/>
            <w:vAlign w:val="bottom"/>
          </w:tcPr>
          <w:p>
            <w:pPr>
              <w:ind w:left="20"/>
              <w:spacing w:after="0"/>
              <w:rPr>
                <w:sz w:val="20"/>
                <w:szCs w:val="20"/>
                <w:color w:val="auto"/>
              </w:rPr>
            </w:pPr>
            <w:r>
              <w:rPr>
                <w:rFonts w:ascii="Arial" w:cs="Arial" w:eastAsia="Arial" w:hAnsi="Arial"/>
                <w:sz w:val="18"/>
                <w:szCs w:val="18"/>
                <w:color w:val="auto"/>
              </w:rPr>
              <w:t>(12)</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Harvey P. White</w:t>
            </w:r>
          </w:p>
        </w:tc>
        <w:tc>
          <w:tcPr>
            <w:tcW w:w="1620" w:type="dxa"/>
            <w:vAlign w:val="bottom"/>
          </w:tcPr>
          <w:p>
            <w:pPr>
              <w:jc w:val="right"/>
              <w:spacing w:after="0"/>
              <w:rPr>
                <w:sz w:val="20"/>
                <w:szCs w:val="20"/>
                <w:color w:val="auto"/>
              </w:rPr>
            </w:pPr>
            <w:r>
              <w:rPr>
                <w:rFonts w:ascii="Arial" w:cs="Arial" w:eastAsia="Arial" w:hAnsi="Arial"/>
                <w:sz w:val="18"/>
                <w:szCs w:val="18"/>
                <w:color w:val="auto"/>
              </w:rPr>
              <w:t>45,000</w:t>
            </w:r>
          </w:p>
        </w:tc>
        <w:tc>
          <w:tcPr>
            <w:tcW w:w="840" w:type="dxa"/>
            <w:vAlign w:val="bottom"/>
          </w:tcPr>
          <w:p>
            <w:pPr>
              <w:ind w:left="20"/>
              <w:spacing w:after="0"/>
              <w:rPr>
                <w:sz w:val="20"/>
                <w:szCs w:val="20"/>
                <w:color w:val="auto"/>
              </w:rPr>
            </w:pPr>
            <w:r>
              <w:rPr>
                <w:rFonts w:ascii="Arial" w:cs="Arial" w:eastAsia="Arial" w:hAnsi="Arial"/>
                <w:sz w:val="18"/>
                <w:szCs w:val="18"/>
                <w:color w:val="auto"/>
              </w:rPr>
              <w:t>(14)</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(15 persons)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5,065,726</w:t>
            </w:r>
          </w:p>
        </w:tc>
        <w:tc>
          <w:tcPr>
            <w:tcW w:w="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Other 5% Stockholders: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Matrix Capital Management Company LLC</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1,613,333</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17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Franklin Resources, Inc.</w:t>
            </w:r>
          </w:p>
        </w:tc>
        <w:tc>
          <w:tcPr>
            <w:tcW w:w="1620" w:type="dxa"/>
            <w:vAlign w:val="bottom"/>
          </w:tcPr>
          <w:p>
            <w:pPr>
              <w:jc w:val="right"/>
              <w:spacing w:after="0"/>
              <w:rPr>
                <w:sz w:val="20"/>
                <w:szCs w:val="20"/>
                <w:color w:val="auto"/>
              </w:rPr>
            </w:pPr>
            <w:r>
              <w:rPr>
                <w:rFonts w:ascii="Arial" w:cs="Arial" w:eastAsia="Arial" w:hAnsi="Arial"/>
                <w:sz w:val="18"/>
                <w:szCs w:val="18"/>
                <w:color w:val="auto"/>
              </w:rPr>
              <w:t>1,585,004</w:t>
            </w:r>
          </w:p>
        </w:tc>
        <w:tc>
          <w:tcPr>
            <w:tcW w:w="840" w:type="dxa"/>
            <w:vAlign w:val="bottom"/>
          </w:tcPr>
          <w:p>
            <w:pPr>
              <w:ind w:left="20"/>
              <w:spacing w:after="0"/>
              <w:rPr>
                <w:sz w:val="20"/>
                <w:szCs w:val="20"/>
                <w:color w:val="auto"/>
              </w:rPr>
            </w:pPr>
            <w:r>
              <w:rPr>
                <w:rFonts w:ascii="Arial" w:cs="Arial" w:eastAsia="Arial" w:hAnsi="Arial"/>
                <w:sz w:val="18"/>
                <w:szCs w:val="18"/>
                <w:color w:val="auto"/>
              </w:rPr>
              <w:t>(16)</w:t>
            </w:r>
          </w:p>
        </w:tc>
        <w:tc>
          <w:tcPr>
            <w:tcW w:w="1780" w:type="dxa"/>
            <w:vAlign w:val="bottom"/>
            <w:gridSpan w:val="2"/>
          </w:tcPr>
          <w:p>
            <w:pPr>
              <w:jc w:val="right"/>
              <w:ind w:right="52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860"/>
        <w:spacing w:after="0"/>
        <w:tabs>
          <w:tab w:leader="none" w:pos="1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117" w:lineRule="exact"/>
        <w:rPr>
          <w:sz w:val="20"/>
          <w:szCs w:val="20"/>
          <w:color w:val="auto"/>
        </w:rPr>
      </w:pPr>
    </w:p>
    <w:p>
      <w:pPr>
        <w:ind w:left="1100" w:right="160" w:hanging="307"/>
        <w:spacing w:after="0" w:line="312" w:lineRule="auto"/>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the rules of the SEC, a person is the beneficial owner of securities if that person has sole or shared voting or investment power. Except as indicated in the footnotes to this table and subject to applicable community property laws, to our knowledge, the persons named in the table have sole voting and investment power with respect to all shares of common stock beneficially owned.</w:t>
      </w:r>
    </w:p>
    <w:p>
      <w:pPr>
        <w:spacing w:after="0" w:line="38" w:lineRule="exact"/>
        <w:rPr>
          <w:rFonts w:ascii="Arial" w:cs="Arial" w:eastAsia="Arial" w:hAnsi="Arial"/>
          <w:sz w:val="16"/>
          <w:szCs w:val="16"/>
          <w:color w:val="auto"/>
        </w:rPr>
      </w:pPr>
    </w:p>
    <w:p>
      <w:pPr>
        <w:ind w:left="1100" w:right="80" w:hanging="307"/>
        <w:spacing w:after="0" w:line="255"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computing the number of shares beneficially owned by a person named in the table and the percentage ownership of that person, shares of common stock that such person had the right to acquire within 60 days after August 11, 2008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on or within 60 days after August 11, 2008 and references to restricted stock units in the footnotes of the table include only restricted stock units that would vest and settle on or within 60 days after August 11, 2008.</w:t>
      </w:r>
    </w:p>
    <w:p>
      <w:pPr>
        <w:spacing w:after="0" w:line="81" w:lineRule="exact"/>
        <w:rPr>
          <w:rFonts w:ascii="Arial" w:cs="Arial" w:eastAsia="Arial" w:hAnsi="Arial"/>
          <w:sz w:val="18"/>
          <w:szCs w:val="18"/>
          <w:color w:val="auto"/>
        </w:rPr>
      </w:pPr>
    </w:p>
    <w:p>
      <w:pPr>
        <w:ind w:left="1100" w:right="60" w:hanging="307"/>
        <w:spacing w:after="0" w:line="286"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each person included in the table, percentage ownership is calculated by dividing the number of shares beneficially owned by such person by the sum of (a) 30,747,998 shares of common stock outstanding on August 11, 2008 plus (b) the number of shares of common stock that such person had the right to acquire within 60 days after August 11, 2008.</w:t>
      </w:r>
    </w:p>
    <w:p>
      <w:pPr>
        <w:spacing w:after="0" w:line="57" w:lineRule="exact"/>
        <w:rPr>
          <w:rFonts w:ascii="Arial" w:cs="Arial" w:eastAsia="Arial" w:hAnsi="Arial"/>
          <w:sz w:val="17"/>
          <w:szCs w:val="17"/>
          <w:color w:val="auto"/>
        </w:rPr>
      </w:pPr>
    </w:p>
    <w:p>
      <w:pPr>
        <w:ind w:left="1100" w:right="480" w:hanging="30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339,063 shares subject to options exercisable by Mr. Dankberg within 60 days after August 11, 2008. The address of Mr. Dankberg is 6155 El Camino Real, Carlsbad, California 92009.</w:t>
      </w:r>
    </w:p>
    <w:p>
      <w:pPr>
        <w:spacing w:after="0" w:line="62" w:lineRule="exact"/>
        <w:rPr>
          <w:rFonts w:ascii="Arial" w:cs="Arial" w:eastAsia="Arial" w:hAnsi="Arial"/>
          <w:sz w:val="18"/>
          <w:szCs w:val="18"/>
          <w:color w:val="auto"/>
        </w:rPr>
      </w:pPr>
    </w:p>
    <w:p>
      <w:pPr>
        <w:ind w:left="1100" w:hanging="30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92,563 shares subject to options exercisable by Mr. Hart within 60 days after August 11, 2008.</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hanging="30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90,000 shares subject to options exercisable by Mr. Johnson within 60 days after August 11, 2008.</w:t>
      </w:r>
    </w:p>
    <w:p>
      <w:pPr>
        <w:spacing w:after="0" w:line="117" w:lineRule="exact"/>
        <w:rPr>
          <w:rFonts w:ascii="Arial" w:cs="Arial" w:eastAsia="Arial" w:hAnsi="Arial"/>
          <w:sz w:val="18"/>
          <w:szCs w:val="18"/>
          <w:color w:val="auto"/>
        </w:rPr>
      </w:pPr>
    </w:p>
    <w:p>
      <w:pPr>
        <w:ind w:left="1100" w:right="100" w:hanging="307"/>
        <w:spacing w:after="0" w:line="264"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87,188 shares subject to options exercisable by Mr. Miller within 60 days after August 11, 2008 and 521 shares subject to restricted stock units granted to Mr. Miller. These restricted stock units have vested, but underlying shares have not yet been delivered or acquired.</w:t>
      </w:r>
    </w:p>
    <w:p>
      <w:pPr>
        <w:spacing w:after="0" w:line="73" w:lineRule="exact"/>
        <w:rPr>
          <w:rFonts w:ascii="Arial" w:cs="Arial" w:eastAsia="Arial" w:hAnsi="Arial"/>
          <w:sz w:val="18"/>
          <w:szCs w:val="18"/>
          <w:color w:val="auto"/>
        </w:rPr>
      </w:pPr>
    </w:p>
    <w:p>
      <w:pPr>
        <w:ind w:left="1100" w:hanging="307"/>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Consists of (a) 30,400 shares held by the Lay Charitable Remainder Unitrust, (b) 114,442 shares held by the Lay Living Trust,</w:t>
      </w:r>
    </w:p>
    <w:p>
      <w:pPr>
        <w:spacing w:after="0" w:line="34" w:lineRule="exact"/>
        <w:rPr>
          <w:rFonts w:ascii="Arial" w:cs="Arial" w:eastAsia="Arial" w:hAnsi="Arial"/>
          <w:sz w:val="17"/>
          <w:szCs w:val="17"/>
          <w:color w:val="auto"/>
        </w:rPr>
      </w:pPr>
    </w:p>
    <w:p>
      <w:pPr>
        <w:ind w:left="1100" w:right="460"/>
        <w:spacing w:after="0" w:line="261" w:lineRule="auto"/>
        <w:rPr>
          <w:rFonts w:ascii="Arial" w:cs="Arial" w:eastAsia="Arial" w:hAnsi="Arial"/>
          <w:sz w:val="17"/>
          <w:szCs w:val="17"/>
          <w:color w:val="auto"/>
        </w:rPr>
      </w:pPr>
      <w:r>
        <w:rPr>
          <w:rFonts w:ascii="Arial" w:cs="Arial" w:eastAsia="Arial" w:hAnsi="Arial"/>
          <w:sz w:val="18"/>
          <w:szCs w:val="18"/>
          <w:color w:val="auto"/>
        </w:rPr>
        <w:t>(c) 145,486 shares held by Lay Ventures, and (d) 90,000 shares subject to options exercisable by Mr. Lay within 60 days after August 11, 2008.</w:t>
      </w:r>
    </w:p>
    <w:p>
      <w:pPr>
        <w:spacing w:after="0" w:line="75" w:lineRule="exact"/>
        <w:rPr>
          <w:rFonts w:ascii="Arial" w:cs="Arial" w:eastAsia="Arial" w:hAnsi="Arial"/>
          <w:sz w:val="17"/>
          <w:szCs w:val="17"/>
          <w:color w:val="auto"/>
        </w:rPr>
      </w:pPr>
    </w:p>
    <w:p>
      <w:pPr>
        <w:ind w:left="1100" w:hanging="30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74,000 shares subject to options exercisable by Mr. Nash within 60 days after August 11, 2008.</w:t>
      </w:r>
    </w:p>
    <w:p>
      <w:pPr>
        <w:spacing w:after="0" w:line="117" w:lineRule="exact"/>
        <w:rPr>
          <w:rFonts w:ascii="Arial" w:cs="Arial" w:eastAsia="Arial" w:hAnsi="Arial"/>
          <w:sz w:val="18"/>
          <w:szCs w:val="18"/>
          <w:color w:val="auto"/>
        </w:rPr>
      </w:pPr>
    </w:p>
    <w:p>
      <w:pPr>
        <w:ind w:left="1100" w:hanging="39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227,500 shares subject to options exercisable by Mr. Baldridge within 60 days after August 11, 2008.</w:t>
      </w:r>
    </w:p>
    <w:p>
      <w:pPr>
        <w:spacing w:after="0" w:line="117" w:lineRule="exact"/>
        <w:rPr>
          <w:rFonts w:ascii="Arial" w:cs="Arial" w:eastAsia="Arial" w:hAnsi="Arial"/>
          <w:sz w:val="18"/>
          <w:szCs w:val="18"/>
          <w:color w:val="auto"/>
        </w:rPr>
      </w:pPr>
    </w:p>
    <w:p>
      <w:pPr>
        <w:ind w:left="1100" w:hanging="390"/>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65,000 shares subject to options exercisable by Mr. Targoff within 60 days after August 11, 2008.</w:t>
      </w:r>
    </w:p>
    <w:p>
      <w:pPr>
        <w:spacing w:after="0" w:line="117" w:lineRule="exact"/>
        <w:rPr>
          <w:rFonts w:ascii="Arial" w:cs="Arial" w:eastAsia="Arial" w:hAnsi="Arial"/>
          <w:sz w:val="18"/>
          <w:szCs w:val="18"/>
          <w:color w:val="auto"/>
        </w:rPr>
      </w:pPr>
    </w:p>
    <w:p>
      <w:pPr>
        <w:ind w:left="1100" w:hanging="39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69,375 shares subject to options exercisable by Mr. Wangerin within 60 days after August 11, 2008.</w:t>
      </w:r>
    </w:p>
    <w:p>
      <w:pPr>
        <w:spacing w:after="0" w:line="117" w:lineRule="exact"/>
        <w:rPr>
          <w:rFonts w:ascii="Arial" w:cs="Arial" w:eastAsia="Arial" w:hAnsi="Arial"/>
          <w:sz w:val="18"/>
          <w:szCs w:val="18"/>
          <w:color w:val="auto"/>
        </w:rPr>
      </w:pPr>
    </w:p>
    <w:p>
      <w:pPr>
        <w:ind w:left="1100" w:hanging="39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55,000 shares subject to options exercisable by Mr. Stenbit within 60 days after August 11, 2008.</w:t>
      </w:r>
    </w:p>
    <w:p>
      <w:pPr>
        <w:spacing w:after="0" w:line="117" w:lineRule="exact"/>
        <w:rPr>
          <w:rFonts w:ascii="Arial" w:cs="Arial" w:eastAsia="Arial" w:hAnsi="Arial"/>
          <w:sz w:val="18"/>
          <w:szCs w:val="18"/>
          <w:color w:val="auto"/>
        </w:rPr>
      </w:pPr>
    </w:p>
    <w:p>
      <w:pPr>
        <w:ind w:left="1100" w:hanging="39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45,000 shares subject to options exercisable by Mr. White within 60 days after August 11, 2008.</w:t>
      </w:r>
    </w:p>
    <w:p>
      <w:pPr>
        <w:spacing w:after="0" w:line="117" w:lineRule="exact"/>
        <w:rPr>
          <w:rFonts w:ascii="Arial" w:cs="Arial" w:eastAsia="Arial" w:hAnsi="Arial"/>
          <w:sz w:val="18"/>
          <w:szCs w:val="18"/>
          <w:color w:val="auto"/>
        </w:rPr>
      </w:pPr>
    </w:p>
    <w:p>
      <w:pPr>
        <w:ind w:left="1100" w:right="340" w:hanging="397"/>
        <w:spacing w:after="0" w:line="25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April 28, 2008 by Matrix Capital Management Company LLC and David E. Goel, reporting that Matrix Capital Management Company LLC, in its capacity as an investment adviser, has the sole right to vote and dispose of 1,613,333 shares. Mr. Goel is the Managing Member of Matrix Capital Management Company LLC. The address of Matrix Capital Management Company LLC is 1000 Winter Street, Suite 4500, Waltham, Massachusetts 02451.</w:t>
      </w:r>
    </w:p>
    <w:p>
      <w:pPr>
        <w:spacing w:after="0" w:line="80" w:lineRule="exact"/>
        <w:rPr>
          <w:rFonts w:ascii="Arial" w:cs="Arial" w:eastAsia="Arial" w:hAnsi="Arial"/>
          <w:sz w:val="18"/>
          <w:szCs w:val="18"/>
          <w:color w:val="auto"/>
        </w:rPr>
      </w:pPr>
    </w:p>
    <w:p>
      <w:pPr>
        <w:ind w:left="1100" w:hanging="397"/>
        <w:spacing w:after="0" w:line="270"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with the SEC on February 4, 2008 by Franklin Resources, Inc., reporting that the shares of ViaSat common stock are beneficially owned by one or more open- or closed-end investment companies or other managed accounts that are advised by direct and indirect subsidiaries of Franklin Resources, Inc. These subsidiaries have been granted all investment and/or voting power over the shares of ViaSat common stock. Charles B. Johnson and Rupert H. Johnson, Jr. each own in excess of 10% of the outstanding common stock of Franklin Resources, Inc. and are the principal stockholders of Franklin Resources, Inc. The Schedule 13G reports that Franklin Advisers, Inc., Franklin Templeton Portfolio Advisors, Inc., Fiduciary Trust Company International and Fiduciary International, Inc. have sole power to vote (or to direct the vote) and dispose (or to direct the disposition) of 910,617 shares, 431,627 shares, 228,260 shares and 14,500 shares, respectively. The address of Franklin Resources, Inc. is One Franklin Parkway, San Mateo, California 94403.</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10% stockholders complied with the Section 16(a) filing requirements during the fiscal year ended March 28, 2008, except that Jeffrey Nash filed one late Form 4 and Steven Hart filed two late Form 4’s, each reporting a single transaction.</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jc w:val="both"/>
        <w:ind w:left="700" w:right="80" w:firstLine="397"/>
        <w:spacing w:after="0" w:line="259" w:lineRule="auto"/>
        <w:rPr>
          <w:sz w:val="20"/>
          <w:szCs w:val="20"/>
          <w:color w:val="auto"/>
        </w:rPr>
      </w:pPr>
      <w:r>
        <w:rPr>
          <w:rFonts w:ascii="Arial" w:cs="Arial" w:eastAsia="Arial" w:hAnsi="Arial"/>
          <w:sz w:val="18"/>
          <w:szCs w:val="18"/>
          <w:color w:val="auto"/>
        </w:rPr>
        <w:t>The following Compensation Discussion and Analysis provides information regarding the compensation program in place for our executive officers, including the Named Executive Officers identified in the Summary Compensation Table, during our 2008 fiscal year. In particular, this Compensation Discussion and Analysis provides information related to each of the following aspects of our executive compensation program:</w:t>
      </w:r>
    </w:p>
    <w:p>
      <w:pPr>
        <w:spacing w:after="0" w:line="92"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Explanation of our executive compensation processes and criteria;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 of how each component fits into our overall compensation objectives.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Overview and Objectives of Executive Compensation Program</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principal components of our executive compensation program include:</w:t>
      </w:r>
    </w:p>
    <w:p>
      <w:pPr>
        <w:spacing w:after="0" w:line="131"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Short-term or annual awards in the form of cash bonuses;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equity awards;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benefits generally available to all of our employees.</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Our executive compensation program incorporates these components because our Compensation and Human Resources Committee considers the combination of these components to be necessary and effective in order to provide a competitive total compensation package to our executive officers and to meet the principal objectives of our executive compensation program. In addition, the Compensation and Human Resources Committee believes that our use of base salary, annual cash bonus, and long-term equity awards as the primary components of our executive compensation program is consistent with the executive compensation programs employed by technology companies of similar size and stage.</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Our overall compensation objectives are premised on the following three fundamental principles, each of which is discussed below:</w:t>
      </w:r>
    </w:p>
    <w:p>
      <w:pPr>
        <w:spacing w:after="0" w:line="23" w:lineRule="exact"/>
        <w:rPr>
          <w:sz w:val="20"/>
          <w:szCs w:val="20"/>
          <w:color w:val="auto"/>
        </w:rPr>
      </w:pPr>
    </w:p>
    <w:p>
      <w:pPr>
        <w:ind w:left="700" w:right="20" w:hanging="7"/>
        <w:spacing w:after="0" w:line="281" w:lineRule="auto"/>
        <w:tabs>
          <w:tab w:leader="none" w:pos="9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significant portion of executive compensation should be performance-based, tied to the achievement of certain company financial objectives and individual objectives; (2) the financial interests of our executive management and our stockholders should be aligned; and</w:t>
      </w:r>
    </w:p>
    <w:p>
      <w:pPr>
        <w:spacing w:after="0" w:line="1" w:lineRule="exact"/>
        <w:rPr>
          <w:rFonts w:ascii="Arial" w:cs="Arial" w:eastAsia="Arial" w:hAnsi="Arial"/>
          <w:sz w:val="16"/>
          <w:szCs w:val="16"/>
          <w:color w:val="auto"/>
        </w:rPr>
      </w:pPr>
    </w:p>
    <w:p>
      <w:pPr>
        <w:ind w:left="700" w:right="60" w:hanging="7"/>
        <w:spacing w:after="0" w:line="261"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 compensation program should be structured so that we can compete in the marketplace in hiring and retaining top level executives in our industry with compensation that is competitive and fair.</w:t>
      </w:r>
    </w:p>
    <w:p>
      <w:pPr>
        <w:spacing w:after="0" w:line="89"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A major thrust of our compensation program is our belief that a significant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should be performance-based. In other words, our compensation program is designed to reward superior performance, and we believe that our executive officers should feel accountable for the performance of our business and their individual performance. In order to achieve this objective, we have structured our compensation program so that executive compensation is tied, in large part, directly to company-wide and individual performance. For example, and as discussed specifically below, annual cash bonuses are based on, among other things, pre-determined corporate financial performance metrics and operational targets.</w:t>
      </w:r>
    </w:p>
    <w:p>
      <w:pPr>
        <w:spacing w:after="0" w:line="70"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Alignment with Stockholder Interests. </w:t>
      </w:r>
      <w:r>
        <w:rPr>
          <w:rFonts w:ascii="Arial" w:cs="Arial" w:eastAsia="Arial" w:hAnsi="Arial"/>
          <w:sz w:val="18"/>
          <w:szCs w:val="18"/>
          <w:color w:val="auto"/>
        </w:rPr>
        <w:t>We believe that executive compensation and stockholder interests should be linked,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is designed so that the financial interests of our executive officers are aligned with the interests of our stockholders. We accomplish this objective in a couple of ways. First, as noted above, payments of annual cash bonuses are based on, among other things, pre-determined financial performance metrics and operational targets that, if achieved, we believe enhance the value of our common stock.</w:t>
      </w:r>
    </w:p>
    <w:p>
      <w:pPr>
        <w:spacing w:after="0" w:line="9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Second, a significant portion of the total compensation paid to our executive officers is paid in the form of equity to further align the interests of our executive officers and our stockholders. In this regard, our executive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5" w:lineRule="auto"/>
        <w:rPr>
          <w:sz w:val="20"/>
          <w:szCs w:val="20"/>
          <w:color w:val="auto"/>
        </w:rPr>
      </w:pPr>
      <w:r>
        <w:rPr>
          <w:rFonts w:ascii="Arial" w:cs="Arial" w:eastAsia="Arial" w:hAnsi="Arial"/>
          <w:sz w:val="18"/>
          <w:szCs w:val="18"/>
          <w:color w:val="auto"/>
        </w:rPr>
        <w:t>officers are subject to the downside risk of a decrease in the value of their compensation in the event that the price of our common stock declines. We believe that a combination of restricted stock units and stock option awards, which each vest with the passage of time, provide meaningful long-term awards that are directly related to the enhancement of stockholder value. Equity awards are intended to reward our executive officers upon achieving operational and financial goals that we believe ultimately will be reflected in the value of our common stock. In addition, the time-vesting schedule of restricted stock units and stock option awards furthers the goal of executive retention.</w:t>
      </w:r>
    </w:p>
    <w:p>
      <w:pPr>
        <w:spacing w:after="0" w:line="99"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Structure Allows Competitive and Fair Compensation Packages. </w:t>
      </w:r>
      <w:r>
        <w:rPr>
          <w:rFonts w:ascii="Arial" w:cs="Arial" w:eastAsia="Arial" w:hAnsi="Arial"/>
          <w:sz w:val="16"/>
          <w:szCs w:val="16"/>
          <w:color w:val="auto"/>
        </w:rPr>
        <w:t>We develop and manufacture innovative satellite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communications and networking systems for commercial, military and civil government customers. We believe that our industry is highly specialized and competitive. Stockholders are best served when we can attract and retain talented executives with compensation packages that are competitive and fair. Therefore, we strive to create a compensation package for executive officers that delivers compensation that is comparable to the total compensation delivered by the companies with which we compete for executive talent.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Processes and Criteria</w:t>
      </w:r>
    </w:p>
    <w:p>
      <w:pPr>
        <w:spacing w:after="0" w:line="131"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 xml:space="preserve">The Compensation and Human Resources Committee is responsible for determining our overall executive compensation philosophy and for evaluating and recommending all components of executive officer compensation (including base salary, annual cash bonuses and long-term equity awards) to our Board of Directors for approval. The Compensation and Human Resources Committee acts under a written charter adopted and approved by our Board of Directors and may, in its discretion, obtain the assistance of outside advisors, including compensation consultants, legal counsel and accounting and other advisors. Three outside directors currently serve on the Compensation and Human Resources Committee. Each member qualifies as an “outside director” within the meaning of Section 162(m) of the Internal Revenue Code, a “non-employee director” within the meaning of Rule 16b-3 of the Securities Exchange Act of 1934 and as independent within the meaning of the corporate governance standards of Nasdaq. A copy of the Compensation and Human Resources Committee charter can be found under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72"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Because our executive compensation program relies on the use of three relatively straightforward components (base salary, annual cash bonus, and long-term equity awards), the process for determining each component of executive compensation remains fairly consistent across each component. The Compensation and Human Resources Committee determines compensation in a manner consistent with our primary objectives for executive compensation discussed above. In determining each component of executive compensation, the Compensation and Human Resources Committee generally considers each of the following factors:</w:t>
      </w:r>
    </w:p>
    <w:p>
      <w:pPr>
        <w:spacing w:after="0" w:line="64"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financial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affordability of cash compensation based on ViaSat’s financial results;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w:t>
      </w:r>
    </w:p>
    <w:p>
      <w:pPr>
        <w:spacing w:after="0" w:line="13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Industry Compensation Data. </w:t>
      </w:r>
      <w:r>
        <w:rPr>
          <w:rFonts w:ascii="Arial" w:cs="Arial" w:eastAsia="Arial" w:hAnsi="Arial"/>
          <w:sz w:val="17"/>
          <w:szCs w:val="17"/>
          <w:color w:val="auto"/>
        </w:rPr>
        <w:t>The Compensation and Human Resources Committee reviews the executive compensation data of</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in comparable technology industries of similar size and stage to ViaSat as part of the process of determining executive compensation. Industry compensation data consists of peer group compensation data and the Radford Executive Compensation Survey, a nationally recognized compensation survey containing market information of companies in the high technology industry. This survey contains information derived from hundreds of other high technology companies, although the survey does not provide the particular names of those companies whose pay practices are surveyed with respect to any particular position being reviewed. This survey was not compiled specifically for ViaSat but rather represents a database containing comparative compensation data and information for hundreds of other high technology companies. The Compensation and</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Human Resources Committee therefore reviewed pooled compensation data for positions similar to those held by each Named Executive Officer.</w:t>
      </w:r>
    </w:p>
    <w:p>
      <w:pPr>
        <w:spacing w:after="0" w:line="76"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In 2008, our peer group consisted of the following companies: Arris Group, Comtech Telecommunications, Cubic Corporation, Cymer, Foundry Networks, Harris Stratex Networks, Loral Space &amp; Communications Ltd., MRV Communications, Novatel Wireless, Inc., Orbital Sciences, RF Micro Devices, Inc., Skyworks Solutions, Inc., Tekelec, Trimble Navigation and TriQuint Semiconductor. The peer group was selected based on the following criteria: industry, net income, revenues, earnings per share, and market capitalization.</w:t>
      </w:r>
    </w:p>
    <w:p>
      <w:pPr>
        <w:spacing w:after="0" w:line="6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Although we maintain a peer group for executive compensation purposes, we continue to primarily rely on industry survey data in determining executive compensation. The selected companies in the peer group are companies that fall within a reasonable range of comparison factors and/or that ViaSat may compete with for executive talent. The peer group was not selected on the basis of executive compensation levels. The peer group compensation data is limited to publicly available information and therefore does not provide precise comparisons by position as offered by more comprehensive survey data. The survey data, however, can be used to provide pooled compensation data for positions closely akin to those held by each named executive officer. In addition, the pool of senior executive talent from which the company draws and against which it compares itself extends beyond the limited community of ViaSat’s immediate peer group and includes a wide range of other organizations in the communications sector outside ViaSat’s traditional competitors, which range is represented by such surveys. As a result, the primary role of peer group compensation data historically has been to serve as verification that the industry survey data is consistent with ViaSat’s direct publicly-traded peers in the United States and the Compensation and Human Resources Committee continues to primarily rely on industry survey data in determining actual executive compensation.</w:t>
      </w:r>
    </w:p>
    <w:p>
      <w:pPr>
        <w:spacing w:after="0" w:line="85"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i w:val="1"/>
          <w:iCs w:val="1"/>
          <w:color w:val="auto"/>
        </w:rPr>
        <w:t xml:space="preserve">Individual Performance. </w:t>
      </w:r>
      <w:r>
        <w:rPr>
          <w:rFonts w:ascii="Arial" w:cs="Arial" w:eastAsia="Arial" w:hAnsi="Arial"/>
          <w:sz w:val="16"/>
          <w:szCs w:val="16"/>
          <w:color w:val="auto"/>
        </w:rPr>
        <w:t>The Compensation and Human Resources Committee makes an assessment of individual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contributions. The individual performance assessments made by the Compensation and Human Resources Committee are based in part on input from executive management. As part of our executive compensation process, our Chief Executive Officer and President provide input to the Compensation and Human Resources Committee on individual executive performance and contributions. With respect to assessing the individual performance of our Chief Executive Officer, the Compensation and Human Resources Committee relies on an annual assessment completed by our Nomination and Evaluation Committee. The Compensation and Human Resources Committee believes input from management and outside advisors is valuable; however, the Compensation and Human Resources Committee makes its recommendations and decisions based on an independent analysis and assessment.</w:t>
      </w:r>
    </w:p>
    <w:p>
      <w:pPr>
        <w:spacing w:after="0" w:line="72"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i w:val="1"/>
          <w:iCs w:val="1"/>
          <w:color w:val="auto"/>
        </w:rPr>
        <w:t xml:space="preserve">Company Financial Performance. </w:t>
      </w:r>
      <w:r>
        <w:rPr>
          <w:rFonts w:ascii="Arial" w:cs="Arial" w:eastAsia="Arial" w:hAnsi="Arial"/>
          <w:sz w:val="17"/>
          <w:szCs w:val="17"/>
          <w:color w:val="auto"/>
        </w:rPr>
        <w:t>As previously discussed, a major component of our executive compensation program is our</w:t>
      </w:r>
      <w:r>
        <w:rPr>
          <w:rFonts w:ascii="Arial" w:cs="Arial" w:eastAsia="Arial" w:hAnsi="Arial"/>
          <w:sz w:val="17"/>
          <w:szCs w:val="17"/>
          <w:i w:val="1"/>
          <w:iCs w:val="1"/>
          <w:color w:val="auto"/>
        </w:rPr>
        <w:t xml:space="preserve"> </w:t>
      </w:r>
      <w:r>
        <w:rPr>
          <w:rFonts w:ascii="Arial" w:cs="Arial" w:eastAsia="Arial" w:hAnsi="Arial"/>
          <w:sz w:val="17"/>
          <w:szCs w:val="17"/>
          <w:color w:val="auto"/>
        </w:rPr>
        <w:t>belief that a significant amount of executive compensation should be based on performance, including company financial performance. Although the Compensation and Human Resources Committee uses specific financial performance metrics as a basis for determining annual cash bonus compensation, company financial performance is also an important factor considered by the Compensation and Human Resources Committee in determining both base salary and equity awards.</w:t>
      </w:r>
    </w:p>
    <w:p>
      <w:pPr>
        <w:spacing w:after="0" w:line="78"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Total Executive Compensation. </w:t>
      </w:r>
      <w:r>
        <w:rPr>
          <w:rFonts w:ascii="Arial" w:cs="Arial" w:eastAsia="Arial" w:hAnsi="Arial"/>
          <w:sz w:val="18"/>
          <w:szCs w:val="18"/>
          <w:color w:val="auto"/>
        </w:rPr>
        <w:t>As part of reviewing each component of executive compensation, the Compensation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Committee also considers the total compensation of the executive. A review of total compensation is completed to assure that each executive’s total compensation remains appropriately competitive and continues to meet the compensation objectives described above.</w:t>
      </w:r>
    </w:p>
    <w:p>
      <w:pPr>
        <w:spacing w:after="0" w:line="92"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i w:val="1"/>
          <w:iCs w:val="1"/>
          <w:color w:val="auto"/>
        </w:rPr>
        <w:t xml:space="preserve">Affordability. </w:t>
      </w:r>
      <w:r>
        <w:rPr>
          <w:rFonts w:ascii="Arial" w:cs="Arial" w:eastAsia="Arial" w:hAnsi="Arial"/>
          <w:sz w:val="16"/>
          <w:szCs w:val="16"/>
          <w:color w:val="auto"/>
        </w:rPr>
        <w:t>Prior to completing the executive cash compensation (base salary and annual cash bonuses) process,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Human Resources Committee confirms that the proposed cash compensation is affordable under and consistent with ViaSat’s financial results. With respect to equity compensation, the Compensation and Human Resources Committee confirms the availability and affordability of shares prior to granting the equity awards to executives. To the extent the Compensation and Human Resources Committee determines that a component of executive compensation is not affordable, appropriate adjustments to that compensation component are made prior to final approval by the Compensation and Human Resources Committee.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Determination of Compensation. </w:t>
      </w:r>
      <w:r>
        <w:rPr>
          <w:rFonts w:ascii="Arial" w:cs="Arial" w:eastAsia="Arial" w:hAnsi="Arial"/>
          <w:sz w:val="17"/>
          <w:szCs w:val="17"/>
          <w:color w:val="auto"/>
        </w:rPr>
        <w:t>After reviewing, analyzing and discussing each of the factors for executive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above, the Compensation and Human Resources Committee determines (or makes a recommendation to the Board of Directors) the appropriate compensation for each individual executive. However, the Compensation and Human Resources Committee does not establish compensation levels based on benchmarking. The Compensation and Human Resources Committee relies upon the judgment of its members in making compensation decisions, after reviewing our performance and carefully evaluating a Named Executive Officer’s performance during the year against established goals, leadership qualities, operational performance, business responsibilities, experience, current compensation arrangements and long-term potential to enhance stockholder value. While competitive market compensation paid by other companies is reviewed by the Compensation and Human Resources Committee, it does not attempt to set compensation at a certain target percentile within a peer group or otherwise rely entirely on that data to determine Named Executive Officer compensation. Instead, the Compensation and Human Resources Committee incorporates flexibility into our compensation programs and in the assessment process to respond to and adjust for the evolving business environment. The Compensation and Human Resources Committee and the Board hold several meetings each year for the review, discussion and determination of executive compensation.</w:t>
      </w:r>
    </w:p>
    <w:p>
      <w:pPr>
        <w:spacing w:after="0" w:line="93"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color w:val="auto"/>
        </w:rPr>
        <w:t>The compensation levels of the Named Executive Officers reflect to a significant degree their varying roles and responsibilities. Mr. Dankberg, in his role as the Chairman and Chief Executive Officer, has the greatest level of responsibility among our named executive officers and, therefore, receives the highest level of pay. This is also consistent with competitive practices among our peer group companies.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Components of Our Compensation Program</w:t>
      </w:r>
    </w:p>
    <w:p>
      <w:pPr>
        <w:spacing w:after="0" w:line="131" w:lineRule="exact"/>
        <w:rPr>
          <w:sz w:val="20"/>
          <w:szCs w:val="20"/>
          <w:color w:val="auto"/>
        </w:rPr>
      </w:pPr>
    </w:p>
    <w:p>
      <w:pPr>
        <w:ind w:left="700" w:right="200" w:firstLine="397"/>
        <w:spacing w:after="0" w:line="308" w:lineRule="auto"/>
        <w:rPr>
          <w:sz w:val="20"/>
          <w:szCs w:val="20"/>
          <w:color w:val="auto"/>
        </w:rPr>
      </w:pPr>
      <w:r>
        <w:rPr>
          <w:rFonts w:ascii="Arial" w:cs="Arial" w:eastAsia="Arial" w:hAnsi="Arial"/>
          <w:sz w:val="17"/>
          <w:szCs w:val="17"/>
          <w:color w:val="auto"/>
        </w:rPr>
        <w:t>As discussed above, the components of our compensation program are the following: base salary, annual cash bonuses, long-term equity-based compensation and certain other benefits that are generally available to all of our employees.</w:t>
      </w:r>
    </w:p>
    <w:p>
      <w:pPr>
        <w:spacing w:after="0" w:line="52"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determining base salary, the Compensation and Human Resources Committee primarily considers (1)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survey results from Radford, which generally reports a compensation range for each position, (2) compensation data of our peer group companies prepared and analyzed by our independent compensation consultants, and (3) individual performance and contributions. In evaluating individual executive performance and contributions, the Compensation and Human Resources Committee also considered to what extent the executive:</w:t>
      </w:r>
    </w:p>
    <w:p>
      <w:pPr>
        <w:spacing w:after="0" w:line="94"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Demonstrates success in contributing toward ViaSat’s achievement of key financial and other business objectives;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ViaSat’s success.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0" w:firstLine="397"/>
        <w:spacing w:after="0" w:line="312" w:lineRule="auto"/>
        <w:rPr>
          <w:sz w:val="20"/>
          <w:szCs w:val="20"/>
          <w:color w:val="auto"/>
        </w:rPr>
      </w:pPr>
      <w:r>
        <w:rPr>
          <w:rFonts w:ascii="Arial" w:cs="Arial" w:eastAsia="Arial" w:hAnsi="Arial"/>
          <w:sz w:val="16"/>
          <w:szCs w:val="16"/>
          <w:color w:val="auto"/>
        </w:rPr>
        <w:t>After also considering ViaSat’s recent financial performance, total executive compensation, and confirming affordability under ViaSat’s financial plan, the Compensation and Human Resources Committee set new base salaries for each of the executives. The following table describes the base salaries for fiscal year 2008 and fiscal year 2009 for each of our Named Executive Officers.</w:t>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 2008 and Fiscal Year 2009</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E</w:t>
            </w:r>
            <w:r>
              <w:rPr>
                <w:rFonts w:ascii="Arial" w:cs="Arial" w:eastAsia="Arial" w:hAnsi="Arial"/>
                <w:sz w:val="14"/>
                <w:szCs w:val="14"/>
                <w:b w:val="1"/>
                <w:bCs w:val="1"/>
                <w:color w:val="auto"/>
              </w:rPr>
              <w:t>xecutive</w:t>
            </w:r>
          </w:p>
        </w:tc>
        <w:tc>
          <w:tcPr>
            <w:tcW w:w="1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Fiscal Year 2008</w:t>
            </w:r>
          </w:p>
        </w:tc>
        <w:tc>
          <w:tcPr>
            <w:tcW w:w="4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Fiscal Year 2009</w:t>
            </w:r>
          </w:p>
        </w:tc>
        <w:tc>
          <w:tcPr>
            <w:tcW w:w="4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Base Salary</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Base Salary</w:t>
            </w:r>
          </w:p>
        </w:tc>
        <w:tc>
          <w:tcPr>
            <w:tcW w:w="4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Chief Executive Officer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rPr>
              <w:t>Richard A. Baldridge</w:t>
            </w:r>
          </w:p>
        </w:tc>
        <w:tc>
          <w:tcPr>
            <w:tcW w:w="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445,000</w:t>
            </w:r>
          </w:p>
        </w:tc>
        <w:tc>
          <w:tcPr>
            <w:tcW w:w="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490,000</w:t>
            </w:r>
          </w:p>
        </w:tc>
        <w:tc>
          <w:tcPr>
            <w:tcW w:w="12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President and Chief Operating Officer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and Chief Financial Officer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rPr>
              <w:t>Steven R. Hart</w:t>
            </w:r>
          </w:p>
        </w:tc>
        <w:tc>
          <w:tcPr>
            <w:tcW w:w="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280,000</w:t>
            </w:r>
          </w:p>
        </w:tc>
        <w:tc>
          <w:tcPr>
            <w:tcW w:w="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305,000</w:t>
            </w:r>
          </w:p>
        </w:tc>
        <w:tc>
          <w:tcPr>
            <w:tcW w:w="12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Vice President and Chief Technical Officer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and Chief Technical Officer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i w:val="1"/>
          <w:iCs w:val="1"/>
          <w:color w:val="auto"/>
        </w:rPr>
        <w:t xml:space="preserve">Annual Cash Bonuses. </w:t>
      </w:r>
      <w:r>
        <w:rPr>
          <w:rFonts w:ascii="Arial" w:cs="Arial" w:eastAsia="Arial" w:hAnsi="Arial"/>
          <w:sz w:val="15"/>
          <w:szCs w:val="15"/>
          <w:color w:val="auto"/>
        </w:rPr>
        <w:t>Under our executive compensation program, targets for cash bonuses are established as a percentage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salary and actual award amounts are determined primarily based on the achievement of certain company financial results and individual performance metrics. Historically, the amount for annual cash bonuses is determined by the Compensation and Human Resources Committee primarily based on industry compensation surveys (and validated with compensation data from peer group companies). Based on our compensation philosophy and objectives, the cash bonus targets for executives are generally set between the market 50th and the 75th percentiles of the compensation range for each position (based on industry compensation data). These target bonus amounts are based in part on the Compensation and Human Resources Committee’s review of cash bonus payments made to similarly situated executives of other surveyed companies, as reported in the survey data reviewed by the Compensation and Human Resources Committee and described above. In addition, in determining the target bonus amounts, the Compensation and Human Resources Committee also considered the expected individual contributions of each executive toward the overall success of the company. Consistent with the company’s compensation philosophy, annual cash bonuses are subject to affordability based on ViaSat’s financial results.</w:t>
      </w:r>
    </w:p>
    <w:p>
      <w:pPr>
        <w:spacing w:after="0" w:line="64"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For fiscal year 2008, the specific metrics for determining annual cash bonuses placed equal emphasis on ViaSat’s annual financial performance and individual performance. The financial metrics were set at the beginning of the 2008 fiscal year and were based on the year’s internally-developed financial plan, which was approved by our Board of Directors. The individual performance factors for the executive officers (excluding the Chief Executive Officer) were determined by the Compensation and Human Resources Committee based on input and recommendations from our Chief Executive Officer and President as well as input from the Compensation and Human Resources Committee. These individual performance metrics are typically qualitative in nature and not quantifiable. The individual performance metrics for the Chief Executive Officer are described below. The annual performance metrics for determining annual cash bonuses, both financial and individual, are intended to be challenging but achievable. The table below describes the financial and individual objectives (and weighting of each objective) used for determining annual cash bonuses for our Named Executive Officers (excluding our Chief Executive Officer) for fiscal year 2008.</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0" w:type="dxa"/>
            <w:vAlign w:val="bottom"/>
          </w:tcPr>
          <w:p>
            <w:pPr>
              <w:ind w:left="3340"/>
              <w:spacing w:after="0"/>
              <w:rPr>
                <w:sz w:val="20"/>
                <w:szCs w:val="20"/>
                <w:color w:val="auto"/>
              </w:rPr>
            </w:pPr>
            <w:r>
              <w:rPr>
                <w:rFonts w:ascii="Arial" w:cs="Arial" w:eastAsia="Arial" w:hAnsi="Arial"/>
                <w:sz w:val="18"/>
                <w:szCs w:val="18"/>
                <w:b w:val="1"/>
                <w:bCs w:val="1"/>
                <w:color w:val="auto"/>
              </w:rPr>
              <w:t>Fiscal Year 2008 Cash Bonus Objectives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rPr>
              <w:t>Objective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Weighting</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90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Earnings per share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Financial — New Contract Awards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Revenues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Financial — Net Operating Asset Turnover</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 Contribution Toward Achievement of Company Financial Targets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Individual — Achievement of Individual Goals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For purposes of determining the annual cash bonuses for our Chief Executive Officer in fiscal year 2008, our Compensation and Human Resources Committee relied on an assessment of our Chief Executive Officer completed by our Nomination and Evaluation Committee. The criteria used by the Nomination and Evaluation Committee for our Chief Executive Officer’s fiscal year 2008 evaluation included (with approximately one-third of the weighting applied to each of the three main categories):</w:t>
      </w:r>
    </w:p>
    <w:p>
      <w:pPr>
        <w:spacing w:after="0" w:line="77"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Company financial performance: </w:t>
      </w:r>
      <w:r>
        <w:rPr>
          <w:rFonts w:ascii="Arial" w:cs="Arial" w:eastAsia="Arial" w:hAnsi="Arial"/>
          <w:sz w:val="17"/>
          <w:szCs w:val="17"/>
          <w:color w:val="auto"/>
        </w:rPr>
        <w:t>earnings per share, new contract awards, revenues, and net operating asset turnover;</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Leadership: </w:t>
      </w:r>
      <w:r>
        <w:rPr>
          <w:rFonts w:ascii="Arial" w:cs="Arial" w:eastAsia="Arial" w:hAnsi="Arial"/>
          <w:sz w:val="18"/>
          <w:szCs w:val="18"/>
          <w:color w:val="auto"/>
        </w:rPr>
        <w:t>strategic, ethics, and integrity; and</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Strategic: </w:t>
      </w:r>
      <w:r>
        <w:rPr>
          <w:rFonts w:ascii="Arial" w:cs="Arial" w:eastAsia="Arial" w:hAnsi="Arial"/>
          <w:sz w:val="18"/>
          <w:szCs w:val="18"/>
          <w:color w:val="auto"/>
        </w:rPr>
        <w:t>industry positioning, short term and long term strategies, measurable progress in key business areas, and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w:t>
      </w:r>
    </w:p>
    <w:p>
      <w:pPr>
        <w:spacing w:after="0" w:line="76"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The performance metrics for determining the annual cash bonuses for our Chief Executive Officer consist of both objective and subjective criteria. Under the objective performance factors, ViaSat must achieve quantifiable financial performance metrics. The attainment of our Chief Executive Officer’s leadership and strategic individual performance factors, while made in the context of the objective criteria, is based upon a subjective evaluation of his individual performance by the Compensation and Human Resources Committee with input from the Nomination and Evaluation Committee. In coming to its determination, the Compensation and Human Resources Committee does not follow any guidelines nor are there any such standing guidelines regarding the exercise of such discretion.</w:t>
      </w:r>
    </w:p>
    <w:p>
      <w:pPr>
        <w:spacing w:after="0" w:line="70"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executive bonus program does not have any pre-established minimum or maximum payout. At the beginning of each fiscal year, the Board of Directors approves ViaSat’s financial plan for the upcoming fiscal year and the Compensation and Human Resources Committee approves the target bonus pool (executives and employees) for the upcoming fiscal year. The Board of Directors and the Compensation and Human Resources Committee also retain the discretion to take additional factors into account (e.g., market conditions, total executive compensation, additional company financial metrics or extraordinary individual contributions) and make adjustments to executive bonus compensation to the extent appropriate.</w:t>
      </w:r>
    </w:p>
    <w:p>
      <w:pPr>
        <w:spacing w:after="0" w:line="99" w:lineRule="exact"/>
        <w:rPr>
          <w:sz w:val="20"/>
          <w:szCs w:val="20"/>
          <w:color w:val="auto"/>
        </w:rPr>
      </w:pPr>
    </w:p>
    <w:p>
      <w:pPr>
        <w:ind w:left="700" w:right="200" w:firstLine="397"/>
        <w:spacing w:after="0" w:line="291" w:lineRule="auto"/>
        <w:rPr>
          <w:sz w:val="20"/>
          <w:szCs w:val="20"/>
          <w:color w:val="auto"/>
        </w:rPr>
      </w:pPr>
      <w:r>
        <w:rPr>
          <w:rFonts w:ascii="Arial" w:cs="Arial" w:eastAsia="Arial" w:hAnsi="Arial"/>
          <w:sz w:val="16"/>
          <w:szCs w:val="16"/>
          <w:color w:val="auto"/>
        </w:rPr>
        <w:t>For fiscal year 2008, although the company achieved strong financial results, based on a recommendation from executive management and consistent with the company’s compensation philosophy, we did not approve an annual cash bonus for executive management. This decision was based on subjective and qualitative factors, including funding discretionary expenses associated with compensation, research and development, new business pursuits and affordability. Due to the fact that the fiscal 2008 annual bonus determinations were based on the Compensation and Human Resources Committee’s consideration of factors other than performance, ViaSat determined that the financial and individual performance targets set by the Compensation and Human Resources Committee for fiscal 2008 are not material in the context of the company’s executive compensation policies or decisions for fiscal 2008.</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Fiscal Year 2008 Cash Bonuses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Target Cash</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Bonuses As</w:t>
            </w:r>
          </w:p>
        </w:tc>
        <w:tc>
          <w:tcPr>
            <w:tcW w:w="26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Target Cash</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62"/>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E</w:t>
            </w:r>
            <w:r>
              <w:rPr>
                <w:rFonts w:ascii="Arial" w:cs="Arial" w:eastAsia="Arial" w:hAnsi="Arial"/>
                <w:sz w:val="14"/>
                <w:szCs w:val="14"/>
                <w:b w:val="1"/>
                <w:bCs w:val="1"/>
                <w:color w:val="auto"/>
              </w:rPr>
              <w:t>xecutive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of Base</w:t>
            </w:r>
          </w:p>
        </w:tc>
        <w:tc>
          <w:tcPr>
            <w:tcW w:w="2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4"/>
              </w:rPr>
              <w:t>Bonuses</w:t>
            </w: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Percentile</w:t>
            </w:r>
          </w:p>
        </w:tc>
        <w:tc>
          <w:tcPr>
            <w:tcW w:w="760" w:type="dxa"/>
            <w:vAlign w:val="bottom"/>
            <w:gridSpan w:val="2"/>
          </w:tcPr>
          <w:p>
            <w:pPr>
              <w:ind w:left="260"/>
              <w:spacing w:after="0"/>
              <w:rPr>
                <w:sz w:val="20"/>
                <w:szCs w:val="20"/>
                <w:color w:val="auto"/>
              </w:rPr>
            </w:pPr>
            <w:r>
              <w:rPr>
                <w:rFonts w:ascii="Arial" w:cs="Arial" w:eastAsia="Arial" w:hAnsi="Arial"/>
                <w:sz w:val="14"/>
                <w:szCs w:val="14"/>
                <w:b w:val="1"/>
                <w:bCs w:val="1"/>
                <w:color w:val="auto"/>
                <w:w w:val="81"/>
              </w:rPr>
              <w:t>Bonuses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2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50th - 75th</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Richard A. Baldridge</w:t>
            </w:r>
          </w:p>
        </w:tc>
        <w:tc>
          <w:tcPr>
            <w:tcW w:w="1060" w:type="dxa"/>
            <w:vAlign w:val="bottom"/>
          </w:tcPr>
          <w:p>
            <w:pPr>
              <w:jc w:val="right"/>
              <w:ind w:right="159"/>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50th - 75th</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50th - 75th</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Steven R. Hart</w:t>
            </w:r>
          </w:p>
        </w:tc>
        <w:tc>
          <w:tcPr>
            <w:tcW w:w="1060" w:type="dxa"/>
            <w:vAlign w:val="bottom"/>
          </w:tcPr>
          <w:p>
            <w:pPr>
              <w:jc w:val="right"/>
              <w:ind w:right="159"/>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50th - 75th</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50th - 75th</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i w:val="1"/>
          <w:iCs w:val="1"/>
          <w:color w:val="auto"/>
        </w:rPr>
        <w:t xml:space="preserve">Equity-Based Compensation. </w:t>
      </w:r>
      <w:r>
        <w:rPr>
          <w:rFonts w:ascii="Arial" w:cs="Arial" w:eastAsia="Arial" w:hAnsi="Arial"/>
          <w:sz w:val="16"/>
          <w:szCs w:val="16"/>
          <w:color w:val="auto"/>
        </w:rPr>
        <w:t>Consistent with our belief that equity-based compensation is a key component for an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program at growth-oriented technology companies, our Board of Directors provides long-term equity awards to our executive officers. No equity-based compensation grants were made during fiscal year 2008 to our Named Executive Officers.</w:t>
      </w:r>
    </w:p>
    <w:p>
      <w:pPr>
        <w:spacing w:after="0" w:line="5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Other Benefits. </w:t>
      </w:r>
      <w:r>
        <w:rPr>
          <w:rFonts w:ascii="Arial" w:cs="Arial" w:eastAsia="Arial" w:hAnsi="Arial"/>
          <w:sz w:val="18"/>
          <w:szCs w:val="18"/>
          <w:color w:val="auto"/>
        </w:rPr>
        <w:t>We provide a comprehensive benefits package to all of our employees, including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medical, dental, vision care, disability insurance, life insurance benefits, flexible spending plan, 401(k) savings plan, educational reimbursement program, employee assistance program, employee stock purchase plan, holidays and personal time off which includes vacation, sick or personal days off and a sell back policy. Certain executives also receive access to our sports and golf club membership. We do not currently offer defined benefit pension, deferred compensation or supplemental executive retirement plans to any of our employees.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 of Control and Employment Agreements</w:t>
      </w:r>
    </w:p>
    <w:p>
      <w:pPr>
        <w:spacing w:after="0" w:line="131"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We currently do not have any employment agreements, change of control agreements or severance arrangements with any of our executive officers.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Grant Process</w:t>
      </w:r>
    </w:p>
    <w:p>
      <w:pPr>
        <w:spacing w:after="0" w:line="131"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Stock options and restricted stock units are part of the equity compensation program for many of our employees. Equity awards have historically been granted in approximately 18 to 24 month cycles. Grant approval for executive officers occurs at meetings of the Board of Directors. Because of the more lengthy process for determining executive equity grants, executive equity grants are not always made at the same time as grants to all other eligible employees. The timing of grants is not coordinated with the release of material non-public information. Stock option awards are made at fair market value on the date of grant (as defined under our equity plan) and awards of restricted stock units are made in accordance with the terms of our equity plan. The Compensation and Human Resources Committee is currently examining alternative cycle times between equity grants to potentially more closely align our equity compensation program with the market practices.</w:t>
      </w:r>
    </w:p>
    <w:p>
      <w:pPr>
        <w:spacing w:after="0" w:line="98"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addition to grants made each year to our current employees, stock option and restricted stock unit grants are made during the year to newly-hired employees as part of the in-hire package, as well as to existing employees for purposes of retention or in recognition of special achievements. In order to address the need to grant options at multiple times during the year, the Compensation and Human Resources Committee has delegated authority to the company’s Chief Executive Officer, President and Vice President of Human Resources to make grants to employees other than Section 16 officers, subject to certain guidelines and an overall share limitation. These senior executives are each authorized to identify the award recipient and the number of shares subject to the option grant; the Compensation and Human Resources Committee sets all other terms of the awards. Grants made by these senior executives under delegation of authority from the Compensation and Human Resources Committee are generally made once a quarter. In addition, we do not grant re-load options, make loans to executives to exercise stock options, or grant stock options at a discount.</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Ownership/Retention Guidelines</w:t>
      </w:r>
    </w:p>
    <w:p>
      <w:pPr>
        <w:spacing w:after="0" w:line="131"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Board of Directors believes that the number of shares of ViaSat stock owned by individual members of management is a personal decision, and encourages stock ownership.</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31"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We select and implement the components of compensation primarily for their ability to help us achieve the objectives of our compensation program and not based on any unique or preferential financial tax or accounting treatment. However, when awarding compensation, the Compensation and Human Resources Committee is mindful of the level of earnings per share dilution that will be caused as a result of the compensation expense related to the Compensation and Human Resources Committee’s actions. For example, in fiscal year 2007, the Compensation and Human Resources Committee added restricted stock units to our equity award program to, in part, help reduce the accounting expense and dilution associated with our equity award program. In addition, Section 162(m) of the Internal Revenue Code generally sets a limit of $1.0 million on the amount of annual compensation (other than certain enumerated categories of performance-based compensation) that we may deduct for federal income tax purposes. For fiscal year 2008, we do not anticipate that there will be nondeductible compensation for covered executives. While we have not adopted a policy requiring that all compensation be deductible, the Compensation and Human Resources Committee will continue to review the Section 162(m) issues associated with possible modifications to our compensation arrangements in fiscal year 2009 and future years and will, where reasonably practicable and consistent with our business goals, seek to qualify variable compensation paid to our executive officers for an exemption from the deductibility limitations of Section 162(m) while maintaining a competitive, performance-based compensation program.</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report.</w:t>
      </w:r>
    </w:p>
    <w:p>
      <w:pPr>
        <w:spacing w:after="0" w:line="7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 future filings with the SEC except to the extent that ViaSat specifically incorporates it by reference into a document filed under the Securities Act of 1933 or the Securities Exchange Act of 1934.</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Respectfully Submitted by the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Human Resources Committee</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Jeffrey M. Nash</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P. Stenbit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Harvey P. White</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following table sets forth the compensation earned during the fiscal years ended March 28, 2008 and March 30, 2007 by our Chief Executive Officer and Chief Financial Officer, as well as our three other most highly compensated executive officers (collectively, the Named Executive Officers).</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60" w:type="dxa"/>
            <w:vAlign w:val="bottom"/>
          </w:tcPr>
          <w:p>
            <w:pPr>
              <w:spacing w:after="0"/>
              <w:rPr>
                <w:sz w:val="11"/>
                <w:szCs w:val="11"/>
                <w:color w:val="auto"/>
              </w:rPr>
            </w:pPr>
          </w:p>
        </w:tc>
        <w:tc>
          <w:tcPr>
            <w:tcW w:w="140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90"/>
              </w:rPr>
              <w:t>All Other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tcPr>
          <w:p>
            <w:pPr>
              <w:spacing w:after="0"/>
              <w:rPr>
                <w:sz w:val="12"/>
                <w:szCs w:val="12"/>
                <w:color w:val="auto"/>
              </w:rPr>
            </w:pPr>
          </w:p>
        </w:tc>
        <w:tc>
          <w:tcPr>
            <w:tcW w:w="400" w:type="dxa"/>
            <w:vAlign w:val="bottom"/>
          </w:tcPr>
          <w:p>
            <w:pPr>
              <w:ind w:left="40"/>
              <w:spacing w:after="0"/>
              <w:rPr>
                <w:sz w:val="20"/>
                <w:szCs w:val="20"/>
                <w:color w:val="auto"/>
              </w:rPr>
            </w:pPr>
            <w:r>
              <w:rPr>
                <w:rFonts w:ascii="Arial" w:cs="Arial" w:eastAsia="Arial" w:hAnsi="Arial"/>
                <w:sz w:val="13"/>
                <w:szCs w:val="13"/>
                <w:b w:val="1"/>
                <w:bCs w:val="1"/>
                <w:color w:val="auto"/>
                <w:w w:val="92"/>
              </w:rPr>
              <w:t>Fiscal</w:t>
            </w:r>
          </w:p>
        </w:tc>
        <w:tc>
          <w:tcPr>
            <w:tcW w:w="160" w:type="dxa"/>
            <w:vAlign w:val="bottom"/>
          </w:tcPr>
          <w:p>
            <w:pPr>
              <w:spacing w:after="0"/>
              <w:rPr>
                <w:sz w:val="12"/>
                <w:szCs w:val="1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Salary</w:t>
            </w: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Bonus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5"/>
              </w:rPr>
              <w:t>Awards</w:t>
            </w:r>
          </w:p>
        </w:tc>
        <w:tc>
          <w:tcPr>
            <w:tcW w:w="1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940" w:type="dxa"/>
            <w:vAlign w:val="bottom"/>
            <w:gridSpan w:val="2"/>
          </w:tcPr>
          <w:p>
            <w:pPr>
              <w:jc w:val="center"/>
              <w:ind w:left="84"/>
              <w:spacing w:after="0"/>
              <w:rPr>
                <w:sz w:val="20"/>
                <w:szCs w:val="20"/>
                <w:color w:val="auto"/>
              </w:rPr>
            </w:pPr>
            <w:r>
              <w:rPr>
                <w:rFonts w:ascii="Arial" w:cs="Arial" w:eastAsia="Arial" w:hAnsi="Arial"/>
                <w:sz w:val="13"/>
                <w:szCs w:val="13"/>
                <w:b w:val="1"/>
                <w:bCs w:val="1"/>
                <w:color w:val="auto"/>
                <w:w w:val="86"/>
              </w:rPr>
              <w:t>Compensation</w:t>
            </w:r>
          </w:p>
        </w:tc>
        <w:tc>
          <w:tcPr>
            <w:tcW w:w="156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6"/>
              </w:rPr>
              <w:t>Compensation</w:t>
            </w: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4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3"/>
                <w:szCs w:val="13"/>
                <w:b w:val="1"/>
                <w:bCs w:val="1"/>
                <w:color w:val="auto"/>
              </w:rPr>
              <w:t>Year</w:t>
            </w:r>
          </w:p>
        </w:tc>
        <w:tc>
          <w:tcPr>
            <w:tcW w:w="76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780" w:type="dxa"/>
            <w:vAlign w:val="bottom"/>
            <w:gridSpan w:val="2"/>
          </w:tcPr>
          <w:p>
            <w:pPr>
              <w:jc w:val="center"/>
              <w:ind w:left="81"/>
              <w:spacing w:after="0"/>
              <w:rPr>
                <w:sz w:val="20"/>
                <w:szCs w:val="20"/>
                <w:color w:val="auto"/>
              </w:rPr>
            </w:pPr>
            <w:r>
              <w:rPr>
                <w:rFonts w:ascii="Arial" w:cs="Arial" w:eastAsia="Arial" w:hAnsi="Arial"/>
                <w:sz w:val="13"/>
                <w:szCs w:val="13"/>
                <w:b w:val="1"/>
                <w:bCs w:val="1"/>
                <w:color w:val="auto"/>
                <w:w w:val="94"/>
              </w:rPr>
              <w:t>($)(1)</w:t>
            </w:r>
          </w:p>
        </w:tc>
        <w:tc>
          <w:tcPr>
            <w:tcW w:w="940" w:type="dxa"/>
            <w:vAlign w:val="bottom"/>
            <w:gridSpan w:val="2"/>
          </w:tcPr>
          <w:p>
            <w:pPr>
              <w:jc w:val="center"/>
              <w:ind w:left="84"/>
              <w:spacing w:after="0"/>
              <w:rPr>
                <w:sz w:val="20"/>
                <w:szCs w:val="20"/>
                <w:color w:val="auto"/>
              </w:rPr>
            </w:pPr>
            <w:r>
              <w:rPr>
                <w:rFonts w:ascii="Arial" w:cs="Arial" w:eastAsia="Arial" w:hAnsi="Arial"/>
                <w:sz w:val="13"/>
                <w:szCs w:val="13"/>
                <w:b w:val="1"/>
                <w:bCs w:val="1"/>
                <w:color w:val="auto"/>
                <w:w w:val="94"/>
              </w:rPr>
              <w:t>($)(2)</w:t>
            </w:r>
          </w:p>
        </w:tc>
        <w:tc>
          <w:tcPr>
            <w:tcW w:w="940" w:type="dxa"/>
            <w:vAlign w:val="bottom"/>
            <w:gridSpan w:val="2"/>
          </w:tcPr>
          <w:p>
            <w:pPr>
              <w:jc w:val="center"/>
              <w:ind w:left="82"/>
              <w:spacing w:after="0"/>
              <w:rPr>
                <w:sz w:val="20"/>
                <w:szCs w:val="20"/>
                <w:color w:val="auto"/>
              </w:rPr>
            </w:pPr>
            <w:r>
              <w:rPr>
                <w:rFonts w:ascii="Arial" w:cs="Arial" w:eastAsia="Arial" w:hAnsi="Arial"/>
                <w:sz w:val="13"/>
                <w:szCs w:val="13"/>
                <w:b w:val="1"/>
                <w:bCs w:val="1"/>
                <w:color w:val="auto"/>
                <w:w w:val="94"/>
              </w:rPr>
              <w:t>($)(3)</w:t>
            </w:r>
          </w:p>
        </w:tc>
        <w:tc>
          <w:tcPr>
            <w:tcW w:w="620" w:type="dxa"/>
            <w:vAlign w:val="bottom"/>
          </w:tcPr>
          <w:p>
            <w:pPr>
              <w:spacing w:after="0"/>
              <w:rPr>
                <w:sz w:val="13"/>
                <w:szCs w:val="13"/>
                <w:color w:val="auto"/>
              </w:rPr>
            </w:pPr>
          </w:p>
        </w:tc>
        <w:tc>
          <w:tcPr>
            <w:tcW w:w="720" w:type="dxa"/>
            <w:vAlign w:val="bottom"/>
          </w:tcPr>
          <w:p>
            <w:pPr>
              <w:jc w:val="right"/>
              <w:ind w:right="22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D. Dankberg</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4"/>
              </w:rPr>
              <w:t>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580,000</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325,319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13,489(4)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1,002,964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Chairman and</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4"/>
              </w:rPr>
              <w:t>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545,000</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151,935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1,384,663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Executive Officer</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Richard A. Baldridge</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w w:val="84"/>
              </w:rPr>
              <w:t>2008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445,000</w:t>
            </w:r>
          </w:p>
        </w:tc>
        <w:tc>
          <w:tcPr>
            <w:tcW w:w="18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65,151</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251,860</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18,201</w:t>
            </w: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780,212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40"/>
              <w:spacing w:after="0"/>
              <w:rPr>
                <w:sz w:val="20"/>
                <w:szCs w:val="20"/>
                <w:color w:val="auto"/>
              </w:rPr>
            </w:pPr>
            <w:r>
              <w:rPr>
                <w:rFonts w:ascii="Arial" w:cs="Arial" w:eastAsia="Arial" w:hAnsi="Arial"/>
                <w:sz w:val="16"/>
                <w:szCs w:val="16"/>
                <w:color w:val="auto"/>
              </w:rPr>
              <w:t>President and</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w w:val="84"/>
              </w:rPr>
              <w:t>2007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420,000</w:t>
            </w:r>
          </w:p>
        </w:tc>
        <w:tc>
          <w:tcPr>
            <w:tcW w:w="18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30,428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117,627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7,236</w:t>
            </w: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965,291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0" w:type="dxa"/>
            <w:vAlign w:val="bottom"/>
            <w:gridSpan w:val="2"/>
          </w:tcPr>
          <w:p>
            <w:pPr>
              <w:ind w:left="140"/>
              <w:spacing w:after="0"/>
              <w:rPr>
                <w:sz w:val="20"/>
                <w:szCs w:val="20"/>
                <w:color w:val="auto"/>
              </w:rPr>
            </w:pPr>
            <w:r>
              <w:rPr>
                <w:rFonts w:ascii="Arial" w:cs="Arial" w:eastAsia="Arial" w:hAnsi="Arial"/>
                <w:sz w:val="16"/>
                <w:szCs w:val="16"/>
                <w:color w:val="auto"/>
              </w:rPr>
              <w:t>Chief Operating Officer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Ronald G. Wangerin</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4"/>
              </w:rPr>
              <w:t>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104,942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8,885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Vice President and</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4"/>
              </w:rPr>
              <w:t>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295,000</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568,792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Financial Officer</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Steven R. Hart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w w:val="84"/>
              </w:rPr>
              <w:t>2008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280,000</w:t>
            </w:r>
          </w:p>
        </w:tc>
        <w:tc>
          <w:tcPr>
            <w:tcW w:w="18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19,005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73,459</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420"/>
              <w:spacing w:after="0"/>
              <w:rPr>
                <w:sz w:val="20"/>
                <w:szCs w:val="20"/>
                <w:color w:val="auto"/>
              </w:rPr>
            </w:pPr>
            <w:r>
              <w:rPr>
                <w:rFonts w:ascii="Arial" w:cs="Arial" w:eastAsia="Arial" w:hAnsi="Arial"/>
                <w:sz w:val="16"/>
                <w:szCs w:val="16"/>
                <w:color w:val="auto"/>
              </w:rPr>
              <w:t>12,044(4)</w:t>
            </w:r>
          </w:p>
        </w:tc>
        <w:tc>
          <w:tcPr>
            <w:tcW w:w="720" w:type="dxa"/>
            <w:vAlign w:val="bottom"/>
          </w:tcPr>
          <w:p>
            <w:pPr>
              <w:jc w:val="right"/>
              <w:spacing w:after="0"/>
              <w:rPr>
                <w:sz w:val="20"/>
                <w:szCs w:val="20"/>
                <w:color w:val="auto"/>
              </w:rPr>
            </w:pPr>
            <w:r>
              <w:rPr>
                <w:rFonts w:ascii="Arial" w:cs="Arial" w:eastAsia="Arial" w:hAnsi="Arial"/>
                <w:sz w:val="16"/>
                <w:szCs w:val="16"/>
                <w:color w:val="auto"/>
              </w:rPr>
              <w:t>384,508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ind w:left="140"/>
              <w:spacing w:after="0"/>
              <w:rPr>
                <w:sz w:val="20"/>
                <w:szCs w:val="20"/>
                <w:color w:val="auto"/>
              </w:rPr>
            </w:pPr>
            <w:r>
              <w:rPr>
                <w:rFonts w:ascii="Arial" w:cs="Arial" w:eastAsia="Arial" w:hAnsi="Arial"/>
                <w:sz w:val="16"/>
                <w:szCs w:val="16"/>
                <w:color w:val="auto"/>
              </w:rPr>
              <w:t>Vice President and</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w w:val="84"/>
              </w:rPr>
              <w:t>2007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260,000</w:t>
            </w:r>
          </w:p>
        </w:tc>
        <w:tc>
          <w:tcPr>
            <w:tcW w:w="18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8,876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34,308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10,500</w:t>
            </w: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463,684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0" w:type="dxa"/>
            <w:vAlign w:val="bottom"/>
            <w:gridSpan w:val="2"/>
          </w:tcPr>
          <w:p>
            <w:pPr>
              <w:ind w:left="140"/>
              <w:spacing w:after="0"/>
              <w:rPr>
                <w:sz w:val="20"/>
                <w:szCs w:val="20"/>
                <w:color w:val="auto"/>
              </w:rPr>
            </w:pPr>
            <w:r>
              <w:rPr>
                <w:rFonts w:ascii="Arial" w:cs="Arial" w:eastAsia="Arial" w:hAnsi="Arial"/>
                <w:sz w:val="16"/>
                <w:szCs w:val="16"/>
                <w:color w:val="auto"/>
              </w:rPr>
              <w:t>Chief Technical Officer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J. Miller</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4"/>
              </w:rPr>
              <w:t>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52,471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21,546(4)(5)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Vice President and</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4"/>
              </w:rPr>
              <w:t>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240,000</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12,981</w:t>
            </w: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Technical Officer</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-2066290</wp:posOffset>
            </wp:positionV>
            <wp:extent cx="17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80" w:hanging="301"/>
        <w:spacing w:after="0" w:line="291"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column represents the compensation cost recognized by us for financial statement reporting purposes in fiscal 2008 and 2007 for stock options and restricted stock units granted to each of the Named Executive Officers, in those years as well as prior fiscal years, in accordance with Statement of Financial Accounting Standards No. 123 (revised 2004), “Share-Based Payment,” or SFAS 123R. Pursuant to SEC rules, the amounts shown disregard adjustments for forfeiture assumptions. For additional information on the valuation assumptions used in the calculation of these amounts, refer to note 1 to the financial statements included in our annual report on Form 10-K for the respective year end, as filed with the SEC. These amounts reflect the company’s accounting expense for these awards, and do not correspond to the actual value that will be recognized by the Named Executive Officers.</w:t>
      </w:r>
    </w:p>
    <w:p>
      <w:pPr>
        <w:spacing w:after="0" w:line="5" w:lineRule="exact"/>
        <w:rPr>
          <w:rFonts w:ascii="Arial" w:cs="Arial" w:eastAsia="Arial" w:hAnsi="Arial"/>
          <w:sz w:val="16"/>
          <w:szCs w:val="16"/>
          <w:color w:val="auto"/>
        </w:rPr>
      </w:pPr>
    </w:p>
    <w:p>
      <w:pPr>
        <w:ind w:left="1000" w:hanging="301"/>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amounts paid under our annual bonus program.</w:t>
      </w:r>
    </w:p>
    <w:p>
      <w:pPr>
        <w:spacing w:after="0" w:line="63" w:lineRule="exact"/>
        <w:rPr>
          <w:rFonts w:ascii="Arial" w:cs="Arial" w:eastAsia="Arial" w:hAnsi="Arial"/>
          <w:sz w:val="18"/>
          <w:szCs w:val="18"/>
          <w:color w:val="auto"/>
        </w:rPr>
      </w:pPr>
    </w:p>
    <w:p>
      <w:pPr>
        <w:ind w:left="1000" w:right="180" w:hanging="301"/>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indicated, all other compensation consists only of matching 401(k) contributions and reimbursement of club dues for certain executives.</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patent award of $5,500 for Mr. Dankberg, $6,250 for Mr. Miller and $1,750 for Mr. Hart.</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vacation cash out of $9,615 for Mr. Miller.</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2008</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The following table sets forth information regarding grants of plan-based awards to each of the Named Executive Officers during fiscal 2008.</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7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or Base</w:t>
            </w:r>
          </w:p>
        </w:tc>
        <w:tc>
          <w:tcPr>
            <w:tcW w:w="10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Non-Equity Incentive Plan</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Price of</w:t>
            </w:r>
          </w:p>
        </w:tc>
        <w:tc>
          <w:tcPr>
            <w:tcW w:w="8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1"/>
              </w:rPr>
              <w:t>Awards(1)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33"/>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3"/>
          </w:tcPr>
          <w:p>
            <w:pPr>
              <w:ind w:left="1180"/>
              <w:spacing w:after="0" w:line="133"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Threshold</w:t>
            </w: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Target</w:t>
            </w:r>
          </w:p>
        </w:tc>
        <w:tc>
          <w:tcPr>
            <w:tcW w:w="6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of Stock</w:t>
            </w:r>
          </w:p>
        </w:tc>
        <w:tc>
          <w:tcPr>
            <w:tcW w:w="960" w:type="dxa"/>
            <w:vAlign w:val="bottom"/>
            <w:gridSpan w:val="3"/>
          </w:tcPr>
          <w:p>
            <w:pPr>
              <w:jc w:val="right"/>
              <w:ind w:right="80"/>
              <w:spacing w:after="0" w:line="133"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256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40" w:type="dxa"/>
            <w:vAlign w:val="bottom"/>
          </w:tcPr>
          <w:p>
            <w:pPr>
              <w:jc w:val="right"/>
              <w:ind w:right="16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4"/>
              </w:rPr>
              <w:t>or Units (#)</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($/Sh)</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D. Dankberg</w:t>
            </w:r>
          </w:p>
        </w:tc>
        <w:tc>
          <w:tcPr>
            <w:tcW w:w="1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6"/>
                <w:szCs w:val="16"/>
                <w:color w:val="auto"/>
              </w:rPr>
              <w:t>Richard A. Baldridge</w:t>
            </w:r>
          </w:p>
        </w:tc>
        <w:tc>
          <w:tcPr>
            <w:tcW w:w="118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356,000</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Ronald G. Wangerin</w:t>
            </w:r>
          </w:p>
        </w:tc>
        <w:tc>
          <w:tcPr>
            <w:tcW w:w="1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6"/>
                <w:szCs w:val="16"/>
                <w:color w:val="auto"/>
              </w:rPr>
              <w:t>Steven R. Hart</w:t>
            </w:r>
          </w:p>
        </w:tc>
        <w:tc>
          <w:tcPr>
            <w:tcW w:w="118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165,200</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J. Miller</w:t>
            </w:r>
          </w:p>
        </w:tc>
        <w:tc>
          <w:tcPr>
            <w:tcW w:w="1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-770890</wp:posOffset>
            </wp:positionV>
            <wp:extent cx="17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60" w:hanging="301"/>
        <w:spacing w:after="0" w:line="26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target amounts payable under our annual cash bonus program for fiscal year 2008. No cash bonuses were actually paid to the Named Executive Officers pursuant to the bonus program for fiscal year 2008. The material terms of the bonus program are described in the “Compensation Discussion and Analysis” section above.</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2008 Fiscal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lists all outstanding equity awards held by each of the Named Executive Officers as of March 28, 2008.</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ind w:left="840"/>
              <w:spacing w:after="0"/>
              <w:rPr>
                <w:sz w:val="20"/>
                <w:szCs w:val="20"/>
                <w:color w:val="auto"/>
              </w:rPr>
            </w:pPr>
            <w:r>
              <w:rPr>
                <w:rFonts w:ascii="Arial" w:cs="Arial" w:eastAsia="Arial" w:hAnsi="Arial"/>
                <w:sz w:val="11"/>
                <w:szCs w:val="11"/>
                <w:b w:val="1"/>
                <w:bCs w:val="1"/>
                <w:color w:val="auto"/>
              </w:rPr>
              <w:t>Option Awards</w:t>
            </w: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Stock Awards</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Equity</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Borders>
              <w:bottom w:val="single" w:sz="8" w:color="auto"/>
            </w:tcBorders>
            <w:gridSpan w:val="3"/>
          </w:tcPr>
          <w:p>
            <w:pPr>
              <w:ind w:left="180"/>
              <w:spacing w:after="0" w:line="115" w:lineRule="exact"/>
              <w:rPr>
                <w:sz w:val="20"/>
                <w:szCs w:val="20"/>
                <w:color w:val="auto"/>
              </w:rPr>
            </w:pPr>
            <w:r>
              <w:rPr>
                <w:rFonts w:ascii="Arial" w:cs="Arial" w:eastAsia="Arial" w:hAnsi="Arial"/>
                <w:sz w:val="11"/>
                <w:szCs w:val="11"/>
                <w:b w:val="1"/>
                <w:bCs w:val="1"/>
                <w:color w:val="auto"/>
              </w:rPr>
              <w:t>Equity Incentive Plan Awards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Incentive</w:t>
            </w: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Market</w:t>
            </w: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6"/>
              </w:rPr>
              <w:t>Market or</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Plan Awards: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2"/>
          </w:tcPr>
          <w:p>
            <w:pPr>
              <w:jc w:val="center"/>
              <w:ind w:lef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Payout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Number of</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Shares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of Shares</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Unearned</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of 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or Units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or Units</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0"/>
              </w:rPr>
              <w:t>Shares,</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8"/>
              </w:rPr>
              <w:t>Number of Securities</w:t>
            </w: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Stock</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Units or</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Units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Underlying Unexercised</w:t>
            </w: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20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that Have</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that Have</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Other Rights</w:t>
            </w:r>
          </w:p>
        </w:tc>
        <w:tc>
          <w:tcPr>
            <w:tcW w:w="18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Other Rights</w:t>
            </w:r>
          </w:p>
        </w:tc>
        <w:tc>
          <w:tcPr>
            <w:tcW w:w="0" w:type="dxa"/>
            <w:vAlign w:val="bottom"/>
          </w:tcPr>
          <w:p>
            <w:pPr>
              <w:spacing w:after="0"/>
              <w:rPr>
                <w:sz w:val="1"/>
                <w:szCs w:val="1"/>
                <w:color w:val="auto"/>
              </w:rPr>
            </w:pPr>
          </w:p>
        </w:tc>
      </w:tr>
      <w:tr>
        <w:trPr>
          <w:trHeight w:val="135"/>
        </w:trPr>
        <w:tc>
          <w:tcPr>
            <w:tcW w:w="2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1"/>
                <w:szCs w:val="11"/>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Unearned</w:t>
            </w:r>
          </w:p>
        </w:tc>
        <w:tc>
          <w:tcPr>
            <w:tcW w:w="580" w:type="dxa"/>
            <w:vAlign w:val="bottom"/>
            <w:gridSpan w:val="2"/>
          </w:tcPr>
          <w:p>
            <w:pPr>
              <w:jc w:val="center"/>
              <w:ind w:left="138"/>
              <w:spacing w:after="0"/>
              <w:rPr>
                <w:sz w:val="20"/>
                <w:szCs w:val="20"/>
                <w:color w:val="auto"/>
              </w:rPr>
            </w:pPr>
            <w:r>
              <w:rPr>
                <w:rFonts w:ascii="Arial" w:cs="Arial" w:eastAsia="Arial" w:hAnsi="Arial"/>
                <w:sz w:val="11"/>
                <w:szCs w:val="11"/>
                <w:b w:val="1"/>
                <w:bCs w:val="1"/>
                <w:color w:val="auto"/>
                <w:w w:val="83"/>
              </w:rPr>
              <w:t>Exercise</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2"/>
              </w:rPr>
              <w:t>Expiration</w:t>
            </w:r>
          </w:p>
        </w:tc>
        <w:tc>
          <w:tcPr>
            <w:tcW w:w="680" w:type="dxa"/>
            <w:vAlign w:val="bottom"/>
            <w:gridSpan w:val="2"/>
          </w:tcPr>
          <w:p>
            <w:pPr>
              <w:jc w:val="center"/>
              <w:ind w:left="120"/>
              <w:spacing w:after="0"/>
              <w:rPr>
                <w:sz w:val="20"/>
                <w:szCs w:val="20"/>
                <w:color w:val="auto"/>
              </w:rPr>
            </w:pPr>
            <w:r>
              <w:rPr>
                <w:rFonts w:ascii="Arial" w:cs="Arial" w:eastAsia="Arial" w:hAnsi="Arial"/>
                <w:sz w:val="11"/>
                <w:szCs w:val="11"/>
                <w:b w:val="1"/>
                <w:bCs w:val="1"/>
                <w:color w:val="auto"/>
                <w:w w:val="86"/>
              </w:rPr>
              <w:t>Not Vested</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6"/>
              </w:rPr>
              <w:t>Not Vested</w:t>
            </w:r>
          </w:p>
        </w:tc>
        <w:tc>
          <w:tcPr>
            <w:tcW w:w="2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that Have</w:t>
            </w:r>
          </w:p>
        </w:tc>
        <w:tc>
          <w:tcPr>
            <w:tcW w:w="18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that Have</w:t>
            </w:r>
          </w:p>
        </w:tc>
        <w:tc>
          <w:tcPr>
            <w:tcW w:w="0" w:type="dxa"/>
            <w:vAlign w:val="bottom"/>
          </w:tcPr>
          <w:p>
            <w:pPr>
              <w:spacing w:after="0"/>
              <w:rPr>
                <w:sz w:val="1"/>
                <w:szCs w:val="1"/>
                <w:color w:val="auto"/>
              </w:rPr>
            </w:pPr>
          </w:p>
        </w:tc>
      </w:tr>
      <w:tr>
        <w:trPr>
          <w:trHeight w:val="129"/>
        </w:trPr>
        <w:tc>
          <w:tcPr>
            <w:tcW w:w="2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88"/>
              </w:rPr>
              <w:t>Exercisable</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w w:val="90"/>
              </w:rPr>
              <w:t>Unexercisable(1)</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580" w:type="dxa"/>
            <w:vAlign w:val="bottom"/>
            <w:gridSpan w:val="2"/>
          </w:tcPr>
          <w:p>
            <w:pPr>
              <w:jc w:val="center"/>
              <w:ind w:left="138"/>
              <w:spacing w:after="0"/>
              <w:rPr>
                <w:sz w:val="20"/>
                <w:szCs w:val="20"/>
                <w:color w:val="auto"/>
              </w:rPr>
            </w:pPr>
            <w:r>
              <w:rPr>
                <w:rFonts w:ascii="Arial" w:cs="Arial" w:eastAsia="Arial" w:hAnsi="Arial"/>
                <w:sz w:val="11"/>
                <w:szCs w:val="11"/>
                <w:b w:val="1"/>
                <w:bCs w:val="1"/>
                <w:color w:val="auto"/>
                <w:w w:val="87"/>
              </w:rPr>
              <w:t xml:space="preserve">Price </w:t>
            </w:r>
            <w:r>
              <w:rPr>
                <w:rFonts w:ascii="Arial" w:cs="Arial" w:eastAsia="Arial" w:hAnsi="Arial"/>
                <w:sz w:val="11"/>
                <w:szCs w:val="11"/>
                <w:b w:val="1"/>
                <w:bCs w:val="1"/>
                <w:u w:val="single" w:color="auto"/>
                <w:color w:val="auto"/>
                <w:w w:val="87"/>
              </w:rPr>
              <w:t>($</w:t>
            </w:r>
            <w:r>
              <w:rPr>
                <w:rFonts w:ascii="Arial" w:cs="Arial" w:eastAsia="Arial" w:hAnsi="Arial"/>
                <w:sz w:val="11"/>
                <w:szCs w:val="11"/>
                <w:b w:val="1"/>
                <w:bCs w:val="1"/>
                <w:color w:val="auto"/>
                <w:w w:val="87"/>
              </w:rPr>
              <w:t>)</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1"/>
              </w:rPr>
              <w:t>Date(2)</w:t>
            </w:r>
          </w:p>
        </w:tc>
        <w:tc>
          <w:tcPr>
            <w:tcW w:w="680" w:type="dxa"/>
            <w:vAlign w:val="bottom"/>
            <w:gridSpan w:val="2"/>
          </w:tcPr>
          <w:p>
            <w:pPr>
              <w:jc w:val="center"/>
              <w:ind w:left="120"/>
              <w:spacing w:after="0"/>
              <w:rPr>
                <w:sz w:val="20"/>
                <w:szCs w:val="20"/>
                <w:color w:val="auto"/>
              </w:rPr>
            </w:pPr>
            <w:r>
              <w:rPr>
                <w:rFonts w:ascii="Arial" w:cs="Arial" w:eastAsia="Arial" w:hAnsi="Arial"/>
                <w:sz w:val="11"/>
                <w:szCs w:val="11"/>
                <w:b w:val="1"/>
                <w:bCs w:val="1"/>
                <w:color w:val="auto"/>
                <w:w w:val="96"/>
              </w:rPr>
              <w:t>(#)(3)</w:t>
            </w:r>
          </w:p>
        </w:tc>
        <w:tc>
          <w:tcPr>
            <w:tcW w:w="700" w:type="dxa"/>
            <w:vAlign w:val="bottom"/>
            <w:gridSpan w:val="2"/>
          </w:tcPr>
          <w:p>
            <w:pPr>
              <w:jc w:val="center"/>
              <w:ind w:left="118"/>
              <w:spacing w:after="0"/>
              <w:rPr>
                <w:sz w:val="20"/>
                <w:szCs w:val="20"/>
                <w:color w:val="auto"/>
              </w:rPr>
            </w:pPr>
            <w:r>
              <w:rPr>
                <w:rFonts w:ascii="Arial" w:cs="Arial" w:eastAsia="Arial" w:hAnsi="Arial"/>
                <w:sz w:val="11"/>
                <w:szCs w:val="11"/>
                <w:b w:val="1"/>
                <w:bCs w:val="1"/>
                <w:color w:val="auto"/>
                <w:w w:val="89"/>
              </w:rPr>
              <w:t>($)(4)</w:t>
            </w:r>
          </w:p>
        </w:tc>
        <w:tc>
          <w:tcPr>
            <w:tcW w:w="2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6"/>
              </w:rPr>
              <w:t>Not Vested (#)</w:t>
            </w:r>
          </w:p>
        </w:tc>
        <w:tc>
          <w:tcPr>
            <w:tcW w:w="18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Not Vested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Mark D. Dankberg</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30,000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8.54</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6/15/2008</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7/14/2009</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29,063</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87,187</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209,530</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line="121" w:lineRule="exact"/>
              <w:rPr>
                <w:sz w:val="20"/>
                <w:szCs w:val="20"/>
                <w:color w:val="auto"/>
              </w:rPr>
            </w:pPr>
            <w:r>
              <w:rPr>
                <w:rFonts w:ascii="Arial" w:cs="Arial" w:eastAsia="Arial" w:hAnsi="Arial"/>
                <w:sz w:val="13"/>
                <w:szCs w:val="13"/>
                <w:color w:val="auto"/>
              </w:rPr>
              <w:t>Richard A. Baldridge</w:t>
            </w:r>
          </w:p>
        </w:tc>
        <w:tc>
          <w:tcPr>
            <w:tcW w:w="12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680" w:type="dxa"/>
            <w:vAlign w:val="bottom"/>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26.16</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1/14/2010</w:t>
            </w:r>
          </w:p>
        </w:tc>
        <w:tc>
          <w:tcPr>
            <w:tcW w:w="1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80" w:type="dxa"/>
            <w:vAlign w:val="bottom"/>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880" w:type="dxa"/>
            <w:vAlign w:val="bottom"/>
            <w:gridSpan w:val="2"/>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22,500</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67,500</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7,500</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162,225</w:t>
            </w:r>
          </w:p>
        </w:tc>
        <w:tc>
          <w:tcPr>
            <w:tcW w:w="200" w:type="dxa"/>
            <w:vAlign w:val="bottom"/>
          </w:tcPr>
          <w:p>
            <w:pPr>
              <w:spacing w:after="0"/>
              <w:rPr>
                <w:sz w:val="12"/>
                <w:szCs w:val="12"/>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Ronald G. Wangerin</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4,000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4.70</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8/7/2012</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10.73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3/13/2013</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9,375</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28,125</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67,594</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line="121" w:lineRule="exact"/>
              <w:rPr>
                <w:sz w:val="20"/>
                <w:szCs w:val="20"/>
                <w:color w:val="auto"/>
              </w:rPr>
            </w:pPr>
            <w:r>
              <w:rPr>
                <w:rFonts w:ascii="Arial" w:cs="Arial" w:eastAsia="Arial" w:hAnsi="Arial"/>
                <w:sz w:val="13"/>
                <w:szCs w:val="13"/>
                <w:color w:val="auto"/>
              </w:rPr>
              <w:t>Steven R. Hart</w:t>
            </w:r>
          </w:p>
        </w:tc>
        <w:tc>
          <w:tcPr>
            <w:tcW w:w="12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8,000</w:t>
            </w:r>
          </w:p>
        </w:tc>
        <w:tc>
          <w:tcPr>
            <w:tcW w:w="20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680" w:type="dxa"/>
            <w:vAlign w:val="bottom"/>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7.77</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6/15/2008</w:t>
            </w:r>
          </w:p>
        </w:tc>
        <w:tc>
          <w:tcPr>
            <w:tcW w:w="1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80" w:type="dxa"/>
            <w:vAlign w:val="bottom"/>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880" w:type="dxa"/>
            <w:vAlign w:val="bottom"/>
            <w:gridSpan w:val="2"/>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7.33</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7/14/2009</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6,563</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19,687</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2,187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47,305</w:t>
            </w:r>
          </w:p>
        </w:tc>
        <w:tc>
          <w:tcPr>
            <w:tcW w:w="200" w:type="dxa"/>
            <w:vAlign w:val="bottom"/>
          </w:tcPr>
          <w:p>
            <w:pPr>
              <w:spacing w:after="0"/>
              <w:rPr>
                <w:sz w:val="12"/>
                <w:szCs w:val="12"/>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Mark J. Miller</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7,000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7.77</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6/15/2008</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7/14/2009</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4,688</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14,062</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33,786</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-3215005</wp:posOffset>
            </wp:positionV>
            <wp:extent cx="17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hanging="30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date of each option occurs six to ten years after the date of grant of each option.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awards vest in four equal annual installments over the course of four years.</w:t>
      </w:r>
    </w:p>
    <w:p>
      <w:pPr>
        <w:spacing w:after="0" w:line="63" w:lineRule="exact"/>
        <w:rPr>
          <w:rFonts w:ascii="Arial" w:cs="Arial" w:eastAsia="Arial" w:hAnsi="Arial"/>
          <w:sz w:val="18"/>
          <w:szCs w:val="18"/>
          <w:color w:val="auto"/>
        </w:rPr>
      </w:pPr>
    </w:p>
    <w:p>
      <w:pPr>
        <w:ind w:left="1000" w:right="220" w:hanging="301"/>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Computed by multiplying the closing market price of our common stock ($21.63) on March 28, 2008 (the last trading day of fiscal year 2008) by the number of shares subject to such stock award.</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in Fiscal 2008</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following table provides information concerning exercises of stock options by each of the Named Executive Officers and stock awards vested for each of the Named Executive Officers during fiscal 2008.</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Pr>
          <w:p>
            <w:pPr>
              <w:spacing w:after="0"/>
              <w:rPr>
                <w:sz w:val="14"/>
                <w:szCs w:val="14"/>
                <w:color w:val="auto"/>
              </w:rPr>
            </w:pPr>
          </w:p>
        </w:tc>
        <w:tc>
          <w:tcPr>
            <w:tcW w:w="188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2"/>
              </w:rPr>
              <w:t>Stock Awards</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380" w:type="dxa"/>
            <w:vAlign w:val="bottom"/>
          </w:tcPr>
          <w:p>
            <w:pPr>
              <w:spacing w:after="0"/>
              <w:rPr>
                <w:sz w:val="10"/>
                <w:szCs w:val="10"/>
                <w:color w:val="auto"/>
              </w:rPr>
            </w:pPr>
          </w:p>
        </w:tc>
        <w:tc>
          <w:tcPr>
            <w:tcW w:w="188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center"/>
              <w:ind w:right="119"/>
              <w:spacing w:after="0" w:line="119" w:lineRule="exact"/>
              <w:rPr>
                <w:sz w:val="20"/>
                <w:szCs w:val="20"/>
                <w:color w:val="auto"/>
              </w:rPr>
            </w:pPr>
            <w:r>
              <w:rPr>
                <w:rFonts w:ascii="Arial" w:cs="Arial" w:eastAsia="Arial" w:hAnsi="Arial"/>
                <w:sz w:val="13"/>
                <w:szCs w:val="13"/>
                <w:b w:val="1"/>
                <w:bCs w:val="1"/>
                <w:color w:val="auto"/>
                <w:w w:val="97"/>
              </w:rPr>
              <w:t>Value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380" w:type="dxa"/>
            <w:vAlign w:val="bottom"/>
          </w:tcPr>
          <w:p>
            <w:pPr>
              <w:spacing w:after="0"/>
              <w:rPr>
                <w:sz w:val="12"/>
                <w:szCs w:val="12"/>
                <w:color w:val="auto"/>
              </w:rPr>
            </w:pPr>
          </w:p>
        </w:tc>
        <w:tc>
          <w:tcPr>
            <w:tcW w:w="18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62"/>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4"/>
                <w:szCs w:val="14"/>
                <w:color w:val="auto"/>
              </w:rPr>
            </w:pPr>
          </w:p>
        </w:tc>
        <w:tc>
          <w:tcPr>
            <w:tcW w:w="18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on Vesting</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w w:val="99"/>
              </w:rPr>
              <w:t>($)(1)</w:t>
            </w:r>
          </w:p>
        </w:tc>
        <w:tc>
          <w:tcPr>
            <w:tcW w:w="156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Richard A. Baldridge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72,810</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Steven R. Hart</w:t>
            </w:r>
          </w:p>
        </w:tc>
        <w:tc>
          <w:tcPr>
            <w:tcW w:w="1180" w:type="dxa"/>
            <w:vAlign w:val="bottom"/>
          </w:tcPr>
          <w:p>
            <w:pPr>
              <w:jc w:val="right"/>
              <w:spacing w:after="0"/>
              <w:rPr>
                <w:sz w:val="20"/>
                <w:szCs w:val="20"/>
                <w:color w:val="auto"/>
              </w:rPr>
            </w:pPr>
            <w:r>
              <w:rPr>
                <w:rFonts w:ascii="Arial" w:cs="Arial" w:eastAsia="Arial" w:hAnsi="Arial"/>
                <w:sz w:val="18"/>
                <w:szCs w:val="18"/>
                <w:color w:val="auto"/>
              </w:rPr>
              <w:t>8,000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204,480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521(2)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26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hanging="301"/>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value realized equals the difference between the closing market price of our common stock on the date of exercise and the option exercise price, multiplied by the number of shares for which the option was exercised.</w:t>
      </w:r>
    </w:p>
    <w:p>
      <w:pPr>
        <w:spacing w:after="0" w:line="8" w:lineRule="exact"/>
        <w:rPr>
          <w:rFonts w:ascii="Arial" w:cs="Arial" w:eastAsia="Arial" w:hAnsi="Arial"/>
          <w:sz w:val="18"/>
          <w:szCs w:val="18"/>
          <w:color w:val="auto"/>
        </w:rPr>
      </w:pPr>
    </w:p>
    <w:p>
      <w:pPr>
        <w:ind w:left="1000" w:right="120" w:hanging="301"/>
        <w:spacing w:after="0" w:line="26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Wangerin and Mr. Miller deferred 100% of their respective restricted stock unit awards vested during fiscal year 2008. All restricted stock units noted in table above for Mr. Wangerin and Mr. Miller vested during fiscal year 2008, but underlying shares for these awards had not yet been delivered or acquired as of the end of fiscal year 2008.</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5" w:lineRule="exact"/>
        <w:rPr>
          <w:sz w:val="20"/>
          <w:szCs w:val="20"/>
          <w:color w:val="auto"/>
        </w:rPr>
      </w:pPr>
    </w:p>
    <w:p>
      <w:pPr>
        <w:jc w:val="both"/>
        <w:ind w:left="700" w:right="100" w:firstLine="397"/>
        <w:spacing w:after="0" w:line="279" w:lineRule="auto"/>
        <w:rPr>
          <w:sz w:val="20"/>
          <w:szCs w:val="20"/>
          <w:color w:val="auto"/>
        </w:rPr>
      </w:pPr>
      <w:r>
        <w:rPr>
          <w:rFonts w:ascii="Arial" w:cs="Arial" w:eastAsia="Arial" w:hAnsi="Arial"/>
          <w:sz w:val="17"/>
          <w:szCs w:val="17"/>
          <w:color w:val="auto"/>
        </w:rPr>
        <w:t>The following table provides information as of March 28, 2008 with respect to shares of ViaSat common stock that may be issued under existing equity compensation plans. In accordance with the rules promulgated by the SEC, the table does not include information with respect to shares subject to outstanding options granted under equity compensation arrangements assumed by us in connection with mergers and acquisitions of the companies that originally granted those options.</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5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9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00" w:type="dxa"/>
            <w:vAlign w:val="bottom"/>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40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62"/>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Options, Warrants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Options, Warrants</w:t>
            </w:r>
          </w:p>
        </w:tc>
        <w:tc>
          <w:tcPr>
            <w:tcW w:w="40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1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and Rights (#)(1)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 ($)</w:t>
            </w:r>
          </w:p>
        </w:tc>
        <w:tc>
          <w:tcPr>
            <w:tcW w:w="40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Reflected in Column (a))(#)</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holders(2)</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5,840,540(3)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1,845,390(4)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w w:val="94"/>
              </w:rPr>
              <w:t>Equity compensation plans not approved by security</w:t>
            </w: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5,840,540</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400" w:type="dxa"/>
            <w:vAlign w:val="bottom"/>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1,845,390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-865505</wp:posOffset>
            </wp:positionV>
            <wp:extent cx="26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180" w:hanging="301"/>
        <w:spacing w:after="0" w:line="259"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SEC rules, this column does not reflect options assumed in mergers and acquisitions where the plans governing the options will not be used for future awards. As of March 28, 2008, a total of 101,594 shares of ViaSat common stock were issuable upon exercise of outstanding options under those assumed arrangements. The weighted average exercise price of those outstanding options is $13.75 per share.</w:t>
      </w:r>
    </w:p>
    <w:p>
      <w:pPr>
        <w:spacing w:after="0" w:line="24" w:lineRule="exact"/>
        <w:rPr>
          <w:rFonts w:ascii="Arial" w:cs="Arial" w:eastAsia="Arial" w:hAnsi="Arial"/>
          <w:sz w:val="18"/>
          <w:szCs w:val="18"/>
          <w:color w:val="auto"/>
        </w:rPr>
      </w:pPr>
    </w:p>
    <w:p>
      <w:pPr>
        <w:ind w:left="1000" w:right="260" w:hanging="301"/>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two plans: (a) the Third Amended and Restated 1996 Equity Participation Plan of ViaSat, Inc., and (b) the ViaSat, Inc. Employee Stock Purchase Plan, as amended.</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purchase rights currently accruing under the ViaSat, Inc. Employee Stock Purchase Plan.</w:t>
      </w:r>
    </w:p>
    <w:p>
      <w:pPr>
        <w:spacing w:after="0" w:line="63" w:lineRule="exact"/>
        <w:rPr>
          <w:rFonts w:ascii="Arial" w:cs="Arial" w:eastAsia="Arial" w:hAnsi="Arial"/>
          <w:sz w:val="18"/>
          <w:szCs w:val="18"/>
          <w:color w:val="auto"/>
        </w:rPr>
      </w:pPr>
    </w:p>
    <w:p>
      <w:pPr>
        <w:ind w:left="1000" w:right="820" w:hanging="301"/>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ViaSat, Inc. Employee Stock Purchase Plan. As of March 28, 2008, 299,750 shares of common stock were available for future issuance under the plan.</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following table sets forth the compensation earned during the year ended March 28, 2008 by each of our non-employee directors.</w:t>
      </w:r>
    </w:p>
    <w:p>
      <w:pPr>
        <w:spacing w:after="0" w:line="71"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Change in</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4"/>
              </w:rPr>
              <w:t>Fees</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and Nonqualified</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Earned</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Non-Equity</w:t>
            </w:r>
          </w:p>
        </w:tc>
        <w:tc>
          <w:tcPr>
            <w:tcW w:w="2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or Paid</w:t>
            </w:r>
          </w:p>
        </w:tc>
        <w:tc>
          <w:tcPr>
            <w:tcW w:w="2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Stock</w:t>
            </w:r>
          </w:p>
        </w:tc>
        <w:tc>
          <w:tcPr>
            <w:tcW w:w="62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Option</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2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in Cash</w:t>
            </w:r>
          </w:p>
        </w:tc>
        <w:tc>
          <w:tcPr>
            <w:tcW w:w="9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Awards</w:t>
            </w: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Awards</w:t>
            </w:r>
          </w:p>
        </w:tc>
        <w:tc>
          <w:tcPr>
            <w:tcW w:w="2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2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Earnings</w:t>
            </w:r>
          </w:p>
        </w:tc>
        <w:tc>
          <w:tcPr>
            <w:tcW w:w="2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280" w:type="dxa"/>
            <w:vAlign w:val="bottom"/>
          </w:tcPr>
          <w:p>
            <w:pPr>
              <w:spacing w:after="0"/>
              <w:rPr>
                <w:sz w:val="12"/>
                <w:szCs w:val="12"/>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100" w:type="dxa"/>
            <w:vAlign w:val="bottom"/>
            <w:gridSpan w:val="2"/>
            <w:vMerge w:val="continue"/>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0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3"/>
                <w:szCs w:val="13"/>
                <w:b w:val="1"/>
                <w:bCs w:val="1"/>
                <w:color w:val="auto"/>
              </w:rPr>
              <w:t>($)(1)(2)</w:t>
            </w:r>
          </w:p>
        </w:tc>
        <w:tc>
          <w:tcPr>
            <w:tcW w:w="1160" w:type="dxa"/>
            <w:vAlign w:val="bottom"/>
            <w:gridSpan w:val="2"/>
          </w:tcPr>
          <w:p>
            <w:pPr>
              <w:jc w:val="center"/>
              <w:ind w:left="197"/>
              <w:spacing w:after="0"/>
              <w:rPr>
                <w:sz w:val="20"/>
                <w:szCs w:val="20"/>
                <w:color w:val="auto"/>
              </w:rPr>
            </w:pPr>
            <w:r>
              <w:rPr>
                <w:rFonts w:ascii="Arial" w:cs="Arial" w:eastAsia="Arial" w:hAnsi="Arial"/>
                <w:sz w:val="13"/>
                <w:szCs w:val="13"/>
                <w:b w:val="1"/>
                <w:bCs w:val="1"/>
                <w:color w:val="auto"/>
                <w:w w:val="87"/>
              </w:rPr>
              <w:t>($)</w:t>
            </w:r>
          </w:p>
        </w:tc>
        <w:tc>
          <w:tcPr>
            <w:tcW w:w="1360" w:type="dxa"/>
            <w:vAlign w:val="bottom"/>
            <w:gridSpan w:val="2"/>
          </w:tcPr>
          <w:p>
            <w:pPr>
              <w:jc w:val="center"/>
              <w:ind w:left="217"/>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center"/>
              <w:ind w:left="217"/>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0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Robert W. Johnson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155,933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190,933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B. Allen Lay</w:t>
            </w:r>
          </w:p>
        </w:tc>
        <w:tc>
          <w:tcPr>
            <w:tcW w:w="540" w:type="dxa"/>
            <w:vAlign w:val="bottom"/>
          </w:tcPr>
          <w:p>
            <w:pPr>
              <w:jc w:val="right"/>
              <w:spacing w:after="0"/>
              <w:rPr>
                <w:sz w:val="20"/>
                <w:szCs w:val="20"/>
                <w:color w:val="auto"/>
              </w:rPr>
            </w:pPr>
            <w:r>
              <w:rPr>
                <w:rFonts w:ascii="Arial" w:cs="Arial" w:eastAsia="Arial" w:hAnsi="Arial"/>
                <w:sz w:val="16"/>
                <w:szCs w:val="16"/>
                <w:color w:val="auto"/>
              </w:rPr>
              <w:t>36,500</w:t>
            </w:r>
          </w:p>
        </w:tc>
        <w:tc>
          <w:tcPr>
            <w:tcW w:w="28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ind w:left="80"/>
              <w:spacing w:after="0"/>
              <w:rPr>
                <w:sz w:val="20"/>
                <w:szCs w:val="20"/>
                <w:color w:val="auto"/>
              </w:rPr>
            </w:pPr>
            <w:r>
              <w:rPr>
                <w:rFonts w:ascii="Arial" w:cs="Arial" w:eastAsia="Arial" w:hAnsi="Arial"/>
                <w:sz w:val="16"/>
                <w:szCs w:val="16"/>
                <w:color w:val="auto"/>
                <w:w w:val="89"/>
              </w:rPr>
              <w:t>155,933</w:t>
            </w:r>
          </w:p>
        </w:tc>
        <w:tc>
          <w:tcPr>
            <w:tcW w:w="28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192,433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Jeffrey M. Nash</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42,750</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155,933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198,683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John P. Stenbit</w:t>
            </w:r>
          </w:p>
        </w:tc>
        <w:tc>
          <w:tcPr>
            <w:tcW w:w="540" w:type="dxa"/>
            <w:vAlign w:val="bottom"/>
          </w:tcPr>
          <w:p>
            <w:pPr>
              <w:jc w:val="right"/>
              <w:spacing w:after="0"/>
              <w:rPr>
                <w:sz w:val="20"/>
                <w:szCs w:val="20"/>
                <w:color w:val="auto"/>
              </w:rPr>
            </w:pPr>
            <w:r>
              <w:rPr>
                <w:rFonts w:ascii="Arial" w:cs="Arial" w:eastAsia="Arial" w:hAnsi="Arial"/>
                <w:sz w:val="16"/>
                <w:szCs w:val="16"/>
                <w:color w:val="auto"/>
              </w:rPr>
              <w:t>35,500</w:t>
            </w:r>
          </w:p>
        </w:tc>
        <w:tc>
          <w:tcPr>
            <w:tcW w:w="28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ind w:left="80"/>
              <w:spacing w:after="0"/>
              <w:rPr>
                <w:sz w:val="20"/>
                <w:szCs w:val="20"/>
                <w:color w:val="auto"/>
              </w:rPr>
            </w:pPr>
            <w:r>
              <w:rPr>
                <w:rFonts w:ascii="Arial" w:cs="Arial" w:eastAsia="Arial" w:hAnsi="Arial"/>
                <w:sz w:val="16"/>
                <w:szCs w:val="16"/>
                <w:color w:val="auto"/>
                <w:w w:val="89"/>
              </w:rPr>
              <w:t>178,077</w:t>
            </w:r>
          </w:p>
        </w:tc>
        <w:tc>
          <w:tcPr>
            <w:tcW w:w="28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213,577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Michael B. Targoff</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30,500</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155,933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Harvey P. White</w:t>
            </w:r>
          </w:p>
        </w:tc>
        <w:tc>
          <w:tcPr>
            <w:tcW w:w="540" w:type="dxa"/>
            <w:vAlign w:val="bottom"/>
          </w:tcPr>
          <w:p>
            <w:pPr>
              <w:jc w:val="right"/>
              <w:spacing w:after="0"/>
              <w:rPr>
                <w:sz w:val="20"/>
                <w:szCs w:val="20"/>
                <w:color w:val="auto"/>
              </w:rPr>
            </w:pPr>
            <w:r>
              <w:rPr>
                <w:rFonts w:ascii="Arial" w:cs="Arial" w:eastAsia="Arial" w:hAnsi="Arial"/>
                <w:sz w:val="16"/>
                <w:szCs w:val="16"/>
                <w:color w:val="auto"/>
              </w:rPr>
              <w:t>37,500</w:t>
            </w:r>
          </w:p>
        </w:tc>
        <w:tc>
          <w:tcPr>
            <w:tcW w:w="28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ind w:left="80"/>
              <w:spacing w:after="0"/>
              <w:rPr>
                <w:sz w:val="20"/>
                <w:szCs w:val="20"/>
                <w:color w:val="auto"/>
              </w:rPr>
            </w:pPr>
            <w:r>
              <w:rPr>
                <w:rFonts w:ascii="Arial" w:cs="Arial" w:eastAsia="Arial" w:hAnsi="Arial"/>
                <w:sz w:val="16"/>
                <w:szCs w:val="16"/>
                <w:color w:val="auto"/>
                <w:w w:val="89"/>
              </w:rPr>
              <w:t>189,934</w:t>
            </w:r>
          </w:p>
        </w:tc>
        <w:tc>
          <w:tcPr>
            <w:tcW w:w="28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227,434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-816610</wp:posOffset>
            </wp:positionV>
            <wp:extent cx="17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83185</wp:posOffset>
            </wp:positionV>
            <wp:extent cx="8147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78" w:lineRule="exact"/>
        <w:rPr>
          <w:sz w:val="20"/>
          <w:szCs w:val="20"/>
          <w:color w:val="auto"/>
        </w:rPr>
      </w:pPr>
    </w:p>
    <w:p>
      <w:pPr>
        <w:ind w:left="1000" w:right="260" w:hanging="301"/>
        <w:spacing w:after="0" w:line="293"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column represents the compensation cost recognized by us for financial statement reporting purposes in fiscal 2008 for stock options granted to each of the non-employee directors, in fiscal 2008 as well as prior fiscal years, in accordance with SFAS 123R. Pursuant to SEC rules, the amounts shown disregard adjustments for forfeiture assumptions. For additional information on the valuation assumptions used in the calculation of these amounts, refer to note 1 to the financial statements included in our annual report on Form 10-K for the year ended March 28, 2008, as filed with the SEC. These amounts reflect the company’s accounting expense for these awards, and do not correspond to the actual value that will be recognized by the non-employee directors.</w:t>
      </w:r>
    </w:p>
    <w:p>
      <w:pPr>
        <w:spacing w:after="0" w:line="2" w:lineRule="exact"/>
        <w:rPr>
          <w:rFonts w:ascii="Arial" w:cs="Arial" w:eastAsia="Arial" w:hAnsi="Arial"/>
          <w:sz w:val="16"/>
          <w:szCs w:val="16"/>
          <w:color w:val="auto"/>
        </w:rPr>
      </w:pPr>
    </w:p>
    <w:p>
      <w:pPr>
        <w:ind w:left="1000" w:right="60" w:hanging="301"/>
        <w:spacing w:after="0" w:line="25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options outstanding at the end of fiscal 2008 for each director was as follows: Dr. Johnson 90,000; Mr. Lay 90,000; Dr. Nash 74,000; Mr. Stenbit 55,000; Mr. Targoff 65,000; and Mr. White 45,000. The full grant date fair value of stock options granted to each non-employee director during the fiscal year ended March 28, 2008 was $103,581, which reflects the company’s accounting expense for these options, and does not correspond to the actual value that may be recognized by the non-employee directors.</w:t>
      </w:r>
    </w:p>
    <w:p>
      <w:pPr>
        <w:spacing w:after="0" w:line="94"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Members of the Board of Directors are reimbursed for expenses actually incurred in attending meetings of the Board and its committees. Each non-employee director is paid an annual fee of $12,000. In addition, each non-employee director is paid $2,000 for participation in each regular meeting of the Board and $1,000 for participation in each committee meeting as a regular committee member, or $1,500 for participation in each committee meeting as a committee chairperson. The fee paid to each director for participation via telephone for each regular meeting or each committee meeting is one-half of the regular fee. Each non-employee director at the time of initial election to the Board is granted an option to purchase 15,000 shares of ViaSat common stock and on the date of each subsequent annual meeting of stockholders is granted an option to purchase 10,000 shares of ViaSat common stock.</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ind w:left="700" w:right="320" w:firstLine="397"/>
        <w:spacing w:after="0" w:line="286" w:lineRule="auto"/>
        <w:rPr>
          <w:sz w:val="20"/>
          <w:szCs w:val="20"/>
          <w:color w:val="auto"/>
        </w:rPr>
      </w:pPr>
      <w:r>
        <w:rPr>
          <w:rFonts w:ascii="Arial" w:cs="Arial" w:eastAsia="Arial" w:hAnsi="Arial"/>
          <w:sz w:val="17"/>
          <w:szCs w:val="17"/>
          <w:color w:val="auto"/>
        </w:rPr>
        <w:t>The members of the Compensation and Human Resources Committee for the 2008 fiscal year were Dr. Nash, Mr. Stenbit and Mr. White. During fiscal 2008, no interlocking relationship existed between any member of the Compensation and Human Resources Committee and any member of any other company’s board of directors or compensation committee.</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35"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All transactions and relationships in which the company and our directors and executive officers or their immediate family members are participants are reviewed by our Audit Committee or another independent body of the Board of Directors, such as the independent and disinterested members of the Board. As set forth in the Audit Committee charter, the members of the Audit Committee, all of whom are independent directors, review and approve related party transactions for which such approval is required under applicable law, including SEC and Nasdaq rules. In the course of its review and approval or ratification of a disclosable related party transaction, the Audit Committee or the independent and disinterested members of the Board may consider:</w:t>
      </w:r>
    </w:p>
    <w:p>
      <w:pPr>
        <w:spacing w:after="0" w:line="70"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117" w:lineRule="exact"/>
        <w:rPr>
          <w:rFonts w:ascii="Arial" w:cs="Arial" w:eastAsia="Arial" w:hAnsi="Arial"/>
          <w:sz w:val="18"/>
          <w:szCs w:val="18"/>
          <w:color w:val="auto"/>
        </w:rPr>
      </w:pPr>
    </w:p>
    <w:p>
      <w:pPr>
        <w:ind w:left="1300" w:right="100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Michael Targoff, a director of ViaSat since February 2003, currently serves as the Chief Executive Officer and the Vice Chairman of the board of directors of Loral, the parent of Space Systems/Loral, Inc. (SS/L), and as of October 31, 2007, is also a director of Telesat Holdings Inc., a new entity formed in connection with Loral’s acquisition of Telesat Canada described below. John Stenbit, a director of ViaSat since August 2004, also currently serves on the board of directors of Loral.</w:t>
      </w:r>
    </w:p>
    <w:p>
      <w:pPr>
        <w:spacing w:after="0" w:line="77" w:lineRule="exact"/>
        <w:rPr>
          <w:sz w:val="20"/>
          <w:szCs w:val="20"/>
          <w:color w:val="auto"/>
        </w:rPr>
      </w:pPr>
    </w:p>
    <w:p>
      <w:pPr>
        <w:ind w:left="700" w:firstLine="397"/>
        <w:spacing w:after="0" w:line="224" w:lineRule="auto"/>
        <w:rPr>
          <w:sz w:val="20"/>
          <w:szCs w:val="20"/>
          <w:color w:val="auto"/>
        </w:rPr>
      </w:pPr>
      <w:r>
        <w:rPr>
          <w:rFonts w:ascii="Arial" w:cs="Arial" w:eastAsia="Arial" w:hAnsi="Arial"/>
          <w:sz w:val="18"/>
          <w:szCs w:val="18"/>
          <w:color w:val="auto"/>
        </w:rPr>
        <w:t>On October 31, 2007, Loral and its Canadian partner, Public Sector Pension Investment Board (PSP), through Telesat Holdings Inc., a joint venture formed by Loral and PSP, completed the acquisition of 100% of the stock of Telesat Canada from BCE Inc. Loral holds equity interests in Telesat Holdings Inc. representing 64% of the economic interests and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interests. PSP holds 36% of the economic interests and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interests in Telesat Holdings Inc. (except with respect to the election of directors as to which it holds a 30% voting interest). In connection with this transaction, Michael Targoff became a director on the board of the newly formed entity, Telesat Holdings Inc.</w:t>
      </w:r>
    </w:p>
    <w:p>
      <w:pPr>
        <w:spacing w:after="0" w:line="109"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In January 2008, we entered into several agreements with SS/L, Loral and Telesat Canada related to our anticipated high capacity satellite system. Under the satellite construction contract with SS/L, we will purchase a new broadband satellite (ViaSat-1) designed by us and to be constructed by SS/L for approximately $209.1 million, subject to purchase price adjustments based on satellite performance. In addition, we entered into a beam sharing agreement with Loral, whereby Loral is responsible for contributing 15% of the total costs (estimated at approximately $60 million) associated with the ViaSat-1 satellite project. Our purchase of the ViaSat-1 satellite from SS/L was approved by the disinterested members of our Board of Directors, after a determination by the disinterested members of our Board that the terms and conditions of the purchase were fair to ViaSat and in the best interests of ViaSat and its stockholders.</w:t>
      </w:r>
    </w:p>
    <w:p>
      <w:pPr>
        <w:spacing w:after="0" w:line="73"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As of March 28, 2008, related to the construction of our anticipated high capacity satellite system, we paid $3.8 million to SS/L and had an outstanding payable of $3.8 million. There was no outstanding payable related to SS/L as of March 30, 2007. In the normal course of business, we recognized $11.1 million, $9.7 million and $9.9 million of revenue related to Telesat Canada for the fiscal years ended March 28, 2008, March 30, 2007 and March 31, 2006, respectively. Accounts receivable to Telesat Canada as of March 28, 2008 and March 30, 2007 were $3.1 million and $4.6 million, respectively.</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AUDIT COMMITTEE REPORT</w:t>
      </w:r>
    </w:p>
    <w:p>
      <w:pPr>
        <w:spacing w:after="0" w:line="135" w:lineRule="exact"/>
        <w:rPr>
          <w:sz w:val="20"/>
          <w:szCs w:val="20"/>
          <w:color w:val="auto"/>
        </w:rPr>
      </w:pPr>
    </w:p>
    <w:p>
      <w:pPr>
        <w:jc w:val="both"/>
        <w:ind w:left="700" w:right="320" w:firstLine="397"/>
        <w:spacing w:after="0" w:line="293" w:lineRule="auto"/>
        <w:rPr>
          <w:sz w:val="20"/>
          <w:szCs w:val="20"/>
          <w:color w:val="auto"/>
        </w:rPr>
      </w:pPr>
      <w:r>
        <w:rPr>
          <w:rFonts w:ascii="Arial" w:cs="Arial" w:eastAsia="Arial" w:hAnsi="Arial"/>
          <w:sz w:val="16"/>
          <w:szCs w:val="16"/>
          <w:color w:val="auto"/>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our Board of Directors. A copy of the audit committee charter can be found on the “Investor Relations” section of ViaSat’s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70" w:lineRule="exact"/>
        <w:rPr>
          <w:sz w:val="20"/>
          <w:szCs w:val="20"/>
          <w:color w:val="auto"/>
        </w:rPr>
      </w:pPr>
    </w:p>
    <w:p>
      <w:pPr>
        <w:jc w:val="both"/>
        <w:ind w:left="700" w:right="40" w:firstLine="397"/>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w:t>
      </w:r>
    </w:p>
    <w:p>
      <w:pPr>
        <w:ind w:left="700"/>
        <w:spacing w:after="0" w:line="288" w:lineRule="auto"/>
        <w:rPr>
          <w:sz w:val="20"/>
          <w:szCs w:val="20"/>
          <w:color w:val="auto"/>
        </w:rPr>
      </w:pPr>
      <w:r>
        <w:rPr>
          <w:rFonts w:ascii="Arial" w:cs="Arial" w:eastAsia="Arial" w:hAnsi="Arial"/>
          <w:sz w:val="16"/>
          <w:szCs w:val="16"/>
          <w:color w:val="auto"/>
        </w:rPr>
        <w:t>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7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has reviewed and discussed the audited consolidated financial statements for fiscal year 2008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PricewaterhouseCoopers LLP represented that its presentations included the matters required to be discussed with the Audit Committee by Statement on Auditing Standards No. 61, as amended, “Communication with Audit Committees” (Codification of Statements on Auditing Standards, AU Section 380).</w:t>
      </w:r>
    </w:p>
    <w:p>
      <w:pPr>
        <w:spacing w:after="0" w:line="83"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The Audit Committee has received from PricewaterhouseCoopers LLP the written disclosures and letter required by Independence Standards Board Standard No. 1, “Independence Discussions with Audit Committees,” and has discussed with PricewaterhouseCoopers LLP its independence from ViaSat.</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In reliance on these reviews and discussions, the Audit Committee has recommended to the Board of Directors that ViaSat’s audited financial statements be included in ViaSat’s annual report on Form 10-K for the fiscal year ended March 28, 2008 for filing with the SEC.</w:t>
      </w:r>
    </w:p>
    <w:p>
      <w:pPr>
        <w:spacing w:after="0" w:line="87" w:lineRule="exact"/>
        <w:rPr>
          <w:sz w:val="20"/>
          <w:szCs w:val="20"/>
          <w:color w:val="auto"/>
        </w:rPr>
      </w:pPr>
    </w:p>
    <w:p>
      <w:pPr>
        <w:ind w:left="700" w:right="220" w:firstLine="397"/>
        <w:spacing w:after="0" w:line="302" w:lineRule="auto"/>
        <w:rPr>
          <w:sz w:val="20"/>
          <w:szCs w:val="20"/>
          <w:color w:val="auto"/>
        </w:rPr>
      </w:pPr>
      <w:r>
        <w:rPr>
          <w:rFonts w:ascii="Arial" w:cs="Arial" w:eastAsia="Arial" w:hAnsi="Arial"/>
          <w:sz w:val="16"/>
          <w:szCs w:val="16"/>
          <w:i w:val="1"/>
          <w:iCs w:val="1"/>
          <w:color w:val="auto"/>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 future filings with the SEC except to the extent that ViaSat specifically incorporates it by reference into a document filed under the Securities Act of 1933 or the Securities Exchange Act of 1934.</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Respectfully Submitted by the Audit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Robert W. Johnson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Jeffrey M. Nash</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Harvey P. White</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OTHER MATTERS</w:t>
      </w:r>
    </w:p>
    <w:p>
      <w:pPr>
        <w:spacing w:after="0" w:line="239" w:lineRule="exact"/>
        <w:rPr>
          <w:sz w:val="20"/>
          <w:szCs w:val="20"/>
          <w:color w:val="auto"/>
        </w:rPr>
      </w:pPr>
    </w:p>
    <w:p>
      <w:pPr>
        <w:ind w:left="700" w:right="26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ViaSat Annual Meeting of Stockholders To Be Held on October 2, 2008</w:t>
      </w:r>
    </w:p>
    <w:p>
      <w:pPr>
        <w:spacing w:after="0" w:line="7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 xml:space="preserve">Under rules recently adopted by the SEC, we are also furnishing proxy materials to our stockholders via the internet. This new process is designed to expedite stockholders’ receipt of proxy materials, lower the cost of the annual meeting, and help conserve natural resources. </w:t>
      </w:r>
      <w:r>
        <w:rPr>
          <w:rFonts w:ascii="Arial" w:cs="Arial" w:eastAsia="Arial" w:hAnsi="Arial"/>
          <w:sz w:val="17"/>
          <w:szCs w:val="17"/>
          <w:b w:val="1"/>
          <w:bCs w:val="1"/>
          <w:color w:val="auto"/>
        </w:rPr>
        <w:t>This proxy statement and our annual report to stockholders are available on the “Investor Relations” section of our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website at </w:t>
      </w:r>
      <w:r>
        <w:rPr>
          <w:rFonts w:ascii="Arial" w:cs="Arial" w:eastAsia="Arial" w:hAnsi="Arial"/>
          <w:sz w:val="17"/>
          <w:szCs w:val="17"/>
          <w:b w:val="1"/>
          <w:bCs w:val="1"/>
          <w:i w:val="1"/>
          <w:iCs w:val="1"/>
          <w:color w:val="auto"/>
        </w:rPr>
        <w:t>investors.viasat.com.</w:t>
      </w:r>
      <w:r>
        <w:rPr>
          <w:rFonts w:ascii="Arial" w:cs="Arial" w:eastAsia="Arial" w:hAnsi="Arial"/>
          <w:sz w:val="17"/>
          <w:szCs w:val="17"/>
          <w:b w:val="1"/>
          <w:bCs w:val="1"/>
          <w:color w:val="auto"/>
        </w:rPr>
        <w:t xml:space="preserve"> </w:t>
      </w:r>
      <w:r>
        <w:rPr>
          <w:rFonts w:ascii="Arial" w:cs="Arial" w:eastAsia="Arial" w:hAnsi="Arial"/>
          <w:sz w:val="17"/>
          <w:szCs w:val="17"/>
          <w:color w:val="auto"/>
        </w:rPr>
        <w:t>If you are a stockholder of record, you can elect to access future proxy statements and annual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us by mail that you wish to resume mail delivery of these documents. If you hold your shares in “street name,” which means your shares are held of record by a broker, bank or other nominee, please refer to the information provided by your broker, bank or nominee for instructions on how to elect this option.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 for the 2009 Annual Meeting</w:t>
      </w:r>
    </w:p>
    <w:p>
      <w:pPr>
        <w:spacing w:after="0" w:line="135"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i w:val="1"/>
          <w:iCs w:val="1"/>
          <w:color w:val="auto"/>
        </w:rPr>
        <w:t xml:space="preserve">Stockholder Proposals for Inclusion in ViaSat’s 2009 Proxy Statement. </w:t>
      </w:r>
      <w:r>
        <w:rPr>
          <w:rFonts w:ascii="Arial" w:cs="Arial" w:eastAsia="Arial" w:hAnsi="Arial"/>
          <w:sz w:val="17"/>
          <w:szCs w:val="17"/>
          <w:color w:val="auto"/>
        </w:rPr>
        <w:t>Stockholders of ViaSat may submit proposals on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for stockholder action at meetings of our stockholders in accordance with Rule 14a-8 promulgated under the Securities Exchange Act of 1934. To be eligible for inclusion in our proxy statement relating to the 2009 annual meeting of stockholders, proposals of stockholders must be received at our principal executive offices no later than April 24, 2009 (120 calendar days prior to the anniversary of the date of the proxy statement for our 2008 annual meeting) and must otherwise satisfy the conditions established by the SEC for stockholder proposals to be included in the proxy statement for that meeting.</w:t>
      </w:r>
    </w:p>
    <w:p>
      <w:pPr>
        <w:spacing w:after="0" w:line="84"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i w:val="1"/>
          <w:iCs w:val="1"/>
          <w:color w:val="auto"/>
        </w:rPr>
        <w:t xml:space="preserve">Stockholder Proposals for Presentation at the 2009 Annual Meeting. </w:t>
      </w:r>
      <w:r>
        <w:rPr>
          <w:rFonts w:ascii="Arial" w:cs="Arial" w:eastAsia="Arial" w:hAnsi="Arial"/>
          <w:sz w:val="17"/>
          <w:szCs w:val="17"/>
          <w:color w:val="auto"/>
        </w:rPr>
        <w:t>If a stockholder wishes to present a proposal at our 2009</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of stockholders without including the proposal in our proxy statement relating to that meeting, the stockholder must give advance notice in writing to our Corporate Secretary prior to the deadline for such meeting determined in accordance with our bylaws and must otherwise satisfy the conditions set forth in our bylaws for stockholder proposals. Under our bylaws, a stockholder must notify us no earlier than June 4, 2009 (120 calendar days prior to the anniversary of our 2008 annual meeting) and no later than July 4, 2009 (90 calendar days prior to the anniversary of our 2008 annual meeting) unless the date of the 2009 annual meeting is advanced by more than 30 days or delayed by more than 60 days from the anniversary of the 2008 annual meeting. If the stockholder fails to give timely notice, the proxy card will confer discretionary authority on the individuals named as proxies to vote the shares represented by the proxies in accordance with their best judgment.</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200" w:lineRule="exact"/>
        <w:rPr>
          <w:sz w:val="20"/>
          <w:szCs w:val="20"/>
          <w:color w:val="auto"/>
        </w:rPr>
      </w:pPr>
    </w:p>
    <w:p>
      <w:pPr>
        <w:spacing w:after="0" w:line="26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1996 EQUITY PARTICIPATION PLAN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OF VIASAT, INC.</w:t>
      </w:r>
    </w:p>
    <w:p>
      <w:pPr>
        <w:spacing w:after="0" w:line="11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(As Amended and Restated Effective October 2, 2008)</w:t>
      </w:r>
    </w:p>
    <w:p>
      <w:pPr>
        <w:spacing w:after="0" w:line="135"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ViaSat, Inc., a Delaware corporation, adopted The 1996 Equity Participation Plan of ViaSat, Inc. (the “Plan”),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October 2, 2008, as further amended.</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purposes of this Plan are as follows:</w:t>
      </w:r>
    </w:p>
    <w:p>
      <w:pPr>
        <w:spacing w:after="0" w:line="131" w:lineRule="exact"/>
        <w:rPr>
          <w:sz w:val="20"/>
          <w:szCs w:val="20"/>
          <w:color w:val="auto"/>
        </w:rPr>
      </w:pPr>
    </w:p>
    <w:p>
      <w:pPr>
        <w:ind w:left="1080" w:right="160" w:firstLine="391"/>
        <w:spacing w:after="0" w:line="264" w:lineRule="auto"/>
        <w:tabs>
          <w:tab w:leader="none" w:pos="17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86" w:lineRule="exact"/>
        <w:rPr>
          <w:rFonts w:ascii="Arial" w:cs="Arial" w:eastAsia="Arial" w:hAnsi="Arial"/>
          <w:sz w:val="18"/>
          <w:szCs w:val="18"/>
          <w:color w:val="auto"/>
        </w:rPr>
      </w:pPr>
    </w:p>
    <w:p>
      <w:pPr>
        <w:ind w:left="1080" w:right="140" w:firstLine="391"/>
        <w:spacing w:after="0" w:line="264" w:lineRule="auto"/>
        <w:tabs>
          <w:tab w:leader="none" w:pos="17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30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DEFINITIONS</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General</w:t>
      </w:r>
      <w:r>
        <w:rPr>
          <w:rFonts w:ascii="Arial" w:cs="Arial" w:eastAsia="Arial" w:hAnsi="Arial"/>
          <w:sz w:val="18"/>
          <w:szCs w:val="18"/>
          <w:i w:val="1"/>
          <w:iCs w:val="1"/>
          <w:color w:val="auto"/>
        </w:rPr>
        <w:t>.</w:t>
      </w:r>
      <w:r>
        <w:rPr>
          <w:rFonts w:ascii="Arial" w:cs="Arial" w:eastAsia="Arial" w:hAnsi="Arial"/>
          <w:sz w:val="18"/>
          <w:szCs w:val="18"/>
          <w:color w:val="auto"/>
        </w:rPr>
        <w:t xml:space="preserve"> Wherever the following terms are used in this Plan they shall have the meanings specified below, unless the context clearly indicates otherwise.</w:t>
      </w:r>
    </w:p>
    <w:p>
      <w:pPr>
        <w:spacing w:after="0" w:line="76"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u w:val="single" w:color="auto"/>
          <w:color w:val="auto"/>
        </w:rPr>
        <w:t>Award Limit</w:t>
      </w:r>
      <w:r>
        <w:rPr>
          <w:rFonts w:ascii="Arial" w:cs="Arial" w:eastAsia="Arial" w:hAnsi="Arial"/>
          <w:sz w:val="16"/>
          <w:szCs w:val="16"/>
          <w:i w:val="1"/>
          <w:iCs w:val="1"/>
          <w:color w:val="auto"/>
        </w:rPr>
        <w:t>.</w:t>
      </w:r>
      <w:r>
        <w:rPr>
          <w:rFonts w:ascii="Arial" w:cs="Arial" w:eastAsia="Arial" w:hAnsi="Arial"/>
          <w:sz w:val="16"/>
          <w:szCs w:val="16"/>
          <w:color w:val="auto"/>
        </w:rPr>
        <w:t xml:space="preserve"> “Award Limit” shall mean Five Hundred Thousand (500,000) shares of Common Stock with respect to Options or Stock Appreciation Rights granted under the Plan and One Hundred Fifty Thousand (150,000)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an individual’s initial service as an Employee, such limit will be Three Hundred Thousand (300,000)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$1,000,000.</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u w:val="single" w:color="auto"/>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xml:space="preserve"> “Board” shall mean the Board of Directors of the Company.</w:t>
      </w:r>
    </w:p>
    <w:p>
      <w:pPr>
        <w:spacing w:after="0" w:line="131"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“Change in Control” shall mean a change in ownership or control of the Company effected through either of the following transactions:</w:t>
      </w:r>
    </w:p>
    <w:p>
      <w:pPr>
        <w:spacing w:after="0" w:line="76" w:lineRule="exact"/>
        <w:rPr>
          <w:sz w:val="20"/>
          <w:szCs w:val="20"/>
          <w:color w:val="auto"/>
        </w:rPr>
      </w:pPr>
    </w:p>
    <w:p>
      <w:pPr>
        <w:ind w:left="1080" w:firstLine="391"/>
        <w:spacing w:after="0" w:line="257" w:lineRule="auto"/>
        <w:tabs>
          <w:tab w:leader="none" w:pos="17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93" w:lineRule="exact"/>
        <w:rPr>
          <w:rFonts w:ascii="Arial" w:cs="Arial" w:eastAsia="Arial" w:hAnsi="Arial"/>
          <w:sz w:val="18"/>
          <w:szCs w:val="18"/>
          <w:color w:val="auto"/>
        </w:rPr>
      </w:pPr>
    </w:p>
    <w:p>
      <w:pPr>
        <w:ind w:left="1080" w:right="200" w:firstLine="391"/>
        <w:spacing w:after="0" w:line="257" w:lineRule="auto"/>
        <w:tabs>
          <w:tab w:leader="none" w:pos="17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described in clause (i) who were still in office at the time such election or nomination was approved by the Board.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u w:val="single" w:color="auto"/>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“Code” shall mean the Internal Revenue Code of 1986, as amended.</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“Committee” shall mean the Compensation Committee of the Board, or another committee of the Board, appointed as provided in Section 9.1.</w:t>
      </w:r>
    </w:p>
    <w:p>
      <w:pPr>
        <w:spacing w:after="0" w:line="7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u w:val="single" w:color="auto"/>
          <w:color w:val="auto"/>
        </w:rPr>
        <w:t>Common Stock</w:t>
      </w:r>
      <w:r>
        <w:rPr>
          <w:rFonts w:ascii="Arial" w:cs="Arial" w:eastAsia="Arial" w:hAnsi="Arial"/>
          <w:sz w:val="18"/>
          <w:szCs w:val="18"/>
          <w:i w:val="1"/>
          <w:iCs w:val="1"/>
          <w:color w:val="auto"/>
        </w:rPr>
        <w:t>.</w:t>
      </w:r>
      <w:r>
        <w:rPr>
          <w:rFonts w:ascii="Arial" w:cs="Arial" w:eastAsia="Arial" w:hAnsi="Arial"/>
          <w:sz w:val="18"/>
          <w:szCs w:val="18"/>
          <w:color w:val="auto"/>
        </w:rPr>
        <w:t xml:space="preserve">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“Company” shall mean ViaSat, Inc., a Delaware corporation.</w:t>
      </w:r>
    </w:p>
    <w:p>
      <w:pPr>
        <w:spacing w:after="0" w:line="131"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i w:val="1"/>
          <w:iCs w:val="1"/>
          <w:u w:val="single" w:color="auto"/>
          <w:color w:val="auto"/>
        </w:rPr>
        <w:t>Corporate Transaction</w:t>
      </w:r>
      <w:r>
        <w:rPr>
          <w:rFonts w:ascii="Arial" w:cs="Arial" w:eastAsia="Arial" w:hAnsi="Arial"/>
          <w:sz w:val="18"/>
          <w:szCs w:val="18"/>
          <w:i w:val="1"/>
          <w:iCs w:val="1"/>
          <w:color w:val="auto"/>
        </w:rPr>
        <w:t>.</w:t>
      </w:r>
      <w:r>
        <w:rPr>
          <w:rFonts w:ascii="Arial" w:cs="Arial" w:eastAsia="Arial" w:hAnsi="Arial"/>
          <w:sz w:val="18"/>
          <w:szCs w:val="18"/>
          <w:color w:val="auto"/>
        </w:rPr>
        <w:t xml:space="preserve"> “Corporate Transaction” shall mean any of the following stockholder-approved transactions to which the Company is a party:</w:t>
      </w:r>
    </w:p>
    <w:p>
      <w:pPr>
        <w:spacing w:after="0" w:line="76" w:lineRule="exact"/>
        <w:rPr>
          <w:sz w:val="20"/>
          <w:szCs w:val="20"/>
          <w:color w:val="auto"/>
        </w:rPr>
      </w:pPr>
    </w:p>
    <w:p>
      <w:pPr>
        <w:ind w:left="1080" w:right="60" w:firstLine="391"/>
        <w:spacing w:after="0" w:line="264"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86" w:lineRule="exact"/>
        <w:rPr>
          <w:rFonts w:ascii="Arial" w:cs="Arial" w:eastAsia="Arial" w:hAnsi="Arial"/>
          <w:sz w:val="18"/>
          <w:szCs w:val="18"/>
          <w:color w:val="auto"/>
        </w:rPr>
      </w:pPr>
    </w:p>
    <w:p>
      <w:pPr>
        <w:ind w:left="1080" w:right="660" w:firstLine="391"/>
        <w:spacing w:after="0" w:line="342" w:lineRule="auto"/>
        <w:tabs>
          <w:tab w:leader="none" w:pos="171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sale, transfer, exchange or other disposition of all or substantially all of the assets of the Company, in complete liquidation or dissolution of the Company in a transaction not covered by the exceptions to clause (a), above; or</w:t>
      </w:r>
    </w:p>
    <w:p>
      <w:pPr>
        <w:spacing w:after="0" w:line="29" w:lineRule="exact"/>
        <w:rPr>
          <w:rFonts w:ascii="Arial" w:cs="Arial" w:eastAsia="Arial" w:hAnsi="Arial"/>
          <w:sz w:val="16"/>
          <w:szCs w:val="16"/>
          <w:color w:val="auto"/>
        </w:rPr>
      </w:pPr>
    </w:p>
    <w:p>
      <w:pPr>
        <w:ind w:left="1080" w:right="60" w:firstLine="391"/>
        <w:spacing w:after="0" w:line="264"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i w:val="1"/>
          <w:iCs w:val="1"/>
          <w:u w:val="single" w:color="auto"/>
          <w:color w:val="auto"/>
        </w:rPr>
        <w:t>Director</w:t>
      </w:r>
      <w:r>
        <w:rPr>
          <w:rFonts w:ascii="Arial" w:cs="Arial" w:eastAsia="Arial" w:hAnsi="Arial"/>
          <w:sz w:val="18"/>
          <w:szCs w:val="18"/>
          <w:i w:val="1"/>
          <w:iCs w:val="1"/>
          <w:color w:val="auto"/>
        </w:rPr>
        <w:t>.</w:t>
      </w:r>
      <w:r>
        <w:rPr>
          <w:rFonts w:ascii="Arial" w:cs="Arial" w:eastAsia="Arial" w:hAnsi="Arial"/>
          <w:sz w:val="18"/>
          <w:szCs w:val="18"/>
          <w:color w:val="auto"/>
        </w:rPr>
        <w:t xml:space="preserve"> “Director” shall mean a member of the Board.</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Dividend Equivalent</w:t>
      </w:r>
      <w:r>
        <w:rPr>
          <w:rFonts w:ascii="Arial" w:cs="Arial" w:eastAsia="Arial" w:hAnsi="Arial"/>
          <w:sz w:val="18"/>
          <w:szCs w:val="18"/>
          <w:i w:val="1"/>
          <w:iCs w:val="1"/>
          <w:color w:val="auto"/>
        </w:rPr>
        <w:t>.</w:t>
      </w:r>
      <w:r>
        <w:rPr>
          <w:rFonts w:ascii="Arial" w:cs="Arial" w:eastAsia="Arial" w:hAnsi="Arial"/>
          <w:sz w:val="18"/>
          <w:szCs w:val="18"/>
          <w:color w:val="auto"/>
        </w:rPr>
        <w:t xml:space="preserve"> “Dividend Equivalent” shall mean a right to receive the equivalent value (in cash or Common Stock) of dividends paid on Common Stock, awarded under Article VII of this Plan.</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u w:val="single" w:color="auto"/>
          <w:color w:val="auto"/>
        </w:rPr>
        <w:t>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“Employee” shall mean any officer or other employee (as defined in accordance with Section 3401(c) of the Code) of the Company, or of any corporation which is a Subsidiary.</w:t>
      </w:r>
    </w:p>
    <w:p>
      <w:pPr>
        <w:spacing w:after="0" w:line="76"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u w:val="single" w:color="auto"/>
          <w:color w:val="auto"/>
        </w:rPr>
        <w:t>Equity Restructuring</w:t>
      </w:r>
      <w:r>
        <w:rPr>
          <w:rFonts w:ascii="Arial" w:cs="Arial" w:eastAsia="Arial" w:hAnsi="Arial"/>
          <w:sz w:val="16"/>
          <w:szCs w:val="16"/>
          <w:i w:val="1"/>
          <w:iCs w:val="1"/>
          <w:color w:val="auto"/>
        </w:rPr>
        <w:t>.</w:t>
      </w:r>
      <w:r>
        <w:rPr>
          <w:rFonts w:ascii="Arial" w:cs="Arial" w:eastAsia="Arial" w:hAnsi="Arial"/>
          <w:sz w:val="16"/>
          <w:szCs w:val="16"/>
          <w:color w:val="auto"/>
        </w:rPr>
        <w:t xml:space="preserve">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u w:val="single" w:color="auto"/>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“Exchange Act” shall mean the Securities Exchange Act of 1934, as amended.</w:t>
      </w:r>
    </w:p>
    <w:p>
      <w:pPr>
        <w:spacing w:after="0" w:line="131"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u w:val="single" w:color="auto"/>
          <w:color w:val="auto"/>
        </w:rPr>
        <w:t>Fair Market Value</w:t>
      </w:r>
      <w:r>
        <w:rPr>
          <w:rFonts w:ascii="Arial" w:cs="Arial" w:eastAsia="Arial" w:hAnsi="Arial"/>
          <w:sz w:val="18"/>
          <w:szCs w:val="18"/>
          <w:i w:val="1"/>
          <w:iCs w:val="1"/>
          <w:color w:val="auto"/>
        </w:rPr>
        <w:t>.</w:t>
      </w:r>
      <w:r>
        <w:rPr>
          <w:rFonts w:ascii="Arial" w:cs="Arial" w:eastAsia="Arial" w:hAnsi="Arial"/>
          <w:sz w:val="18"/>
          <w:szCs w:val="18"/>
          <w:color w:val="auto"/>
        </w:rPr>
        <w:t xml:space="preserve"> “Fair Market Value” of a share of Common Stock as of a given date shall be (i)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next following date on which a trade occurs, or (ii) if Common Stock is not traded on an exchange but is quoted on NASDAQ or a successor quotation system, the closing price of a share of Common Stock on such date as reported by NASDAQ or such successor quotation system; or (iii) if Common Stock is not publicly traded on an exchange and not quoted on NASDAQ or a successor quotation system, the Fair Market Value of a share of Common Stock as established by the Committee (or the Board, in the case of awards granted to Independent Directors) acting in good faith.”</w:t>
      </w: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u w:val="single" w:color="auto"/>
          <w:color w:val="auto"/>
        </w:rPr>
        <w:t>Grantee</w:t>
      </w:r>
      <w:r>
        <w:rPr>
          <w:rFonts w:ascii="Arial" w:cs="Arial" w:eastAsia="Arial" w:hAnsi="Arial"/>
          <w:sz w:val="18"/>
          <w:szCs w:val="18"/>
          <w:i w:val="1"/>
          <w:iCs w:val="1"/>
          <w:color w:val="auto"/>
        </w:rPr>
        <w:t>.</w:t>
      </w:r>
      <w:r>
        <w:rPr>
          <w:rFonts w:ascii="Arial" w:cs="Arial" w:eastAsia="Arial" w:hAnsi="Arial"/>
          <w:sz w:val="18"/>
          <w:szCs w:val="18"/>
          <w:color w:val="auto"/>
        </w:rPr>
        <w:t xml:space="preserve"> “Grantee” shall mean an Employee, Director or consultant granted a Performance Award, Dividend Equivalent, Stock Payment or Stock Appreciation Right, or an award of Restricted Stock Units, under this Plan.</w:t>
      </w:r>
    </w:p>
    <w:p>
      <w:pPr>
        <w:spacing w:after="0" w:line="76"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u w:val="single" w:color="auto"/>
          <w:color w:val="auto"/>
        </w:rPr>
        <w:t>Incentive Stock Option</w:t>
      </w:r>
      <w:r>
        <w:rPr>
          <w:rFonts w:ascii="Arial" w:cs="Arial" w:eastAsia="Arial" w:hAnsi="Arial"/>
          <w:sz w:val="18"/>
          <w:szCs w:val="18"/>
          <w:i w:val="1"/>
          <w:iCs w:val="1"/>
          <w:color w:val="auto"/>
        </w:rPr>
        <w:t>.</w:t>
      </w:r>
      <w:r>
        <w:rPr>
          <w:rFonts w:ascii="Arial" w:cs="Arial" w:eastAsia="Arial" w:hAnsi="Arial"/>
          <w:sz w:val="18"/>
          <w:szCs w:val="18"/>
          <w:color w:val="auto"/>
        </w:rPr>
        <w:t xml:space="preserve"> “Incentive Stock Option” shall mean an option which conforms to the applicable provisions of Section 422 of the Code and which is designated as an Incentive Stock Option by the Committee.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i w:val="1"/>
          <w:iCs w:val="1"/>
          <w:u w:val="single" w:color="auto"/>
          <w:color w:val="auto"/>
        </w:rPr>
        <w:t>Independent Director</w:t>
      </w:r>
      <w:r>
        <w:rPr>
          <w:rFonts w:ascii="Arial" w:cs="Arial" w:eastAsia="Arial" w:hAnsi="Arial"/>
          <w:sz w:val="16"/>
          <w:szCs w:val="16"/>
          <w:i w:val="1"/>
          <w:iCs w:val="1"/>
          <w:color w:val="auto"/>
        </w:rPr>
        <w:t>.</w:t>
      </w:r>
      <w:r>
        <w:rPr>
          <w:rFonts w:ascii="Arial" w:cs="Arial" w:eastAsia="Arial" w:hAnsi="Arial"/>
          <w:sz w:val="16"/>
          <w:szCs w:val="16"/>
          <w:color w:val="auto"/>
        </w:rPr>
        <w:t xml:space="preserve"> “Independent Director” shall mean a member of the Board who is not an Employee of the Company.</w:t>
      </w:r>
    </w:p>
    <w:p>
      <w:pPr>
        <w:spacing w:after="0" w:line="154"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u w:val="single" w:color="auto"/>
          <w:color w:val="auto"/>
        </w:rPr>
        <w:t>Non-Qualified Stock Option</w:t>
      </w:r>
      <w:r>
        <w:rPr>
          <w:rFonts w:ascii="Arial" w:cs="Arial" w:eastAsia="Arial" w:hAnsi="Arial"/>
          <w:sz w:val="18"/>
          <w:szCs w:val="18"/>
          <w:i w:val="1"/>
          <w:iCs w:val="1"/>
          <w:color w:val="auto"/>
        </w:rPr>
        <w:t>.</w:t>
      </w:r>
      <w:r>
        <w:rPr>
          <w:rFonts w:ascii="Arial" w:cs="Arial" w:eastAsia="Arial" w:hAnsi="Arial"/>
          <w:sz w:val="18"/>
          <w:szCs w:val="18"/>
          <w:color w:val="auto"/>
        </w:rPr>
        <w:t xml:space="preserve"> “Non-Qualified Stock Option” shall mean an Option which is not designated as an Incentive Stock Option by the Committee.</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u w:val="single" w:color="auto"/>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Independent Directors and consultants shall be Non-Qualified Stock Options.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u w:val="single" w:color="auto"/>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 xml:space="preserve"> “Optionee” shall mean an Employee, Director or consultant granted an Option under this Plan.</w:t>
      </w:r>
    </w:p>
    <w:p>
      <w:pPr>
        <w:spacing w:after="0" w:line="131"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u w:val="single" w:color="auto"/>
          <w:color w:val="auto"/>
        </w:rPr>
        <w:t>Performance Award</w:t>
      </w:r>
      <w:r>
        <w:rPr>
          <w:rFonts w:ascii="Arial" w:cs="Arial" w:eastAsia="Arial" w:hAnsi="Arial"/>
          <w:sz w:val="18"/>
          <w:szCs w:val="18"/>
          <w:i w:val="1"/>
          <w:iCs w:val="1"/>
          <w:color w:val="auto"/>
        </w:rPr>
        <w:t>.</w:t>
      </w:r>
      <w:r>
        <w:rPr>
          <w:rFonts w:ascii="Arial" w:cs="Arial" w:eastAsia="Arial" w:hAnsi="Arial"/>
          <w:sz w:val="18"/>
          <w:szCs w:val="18"/>
          <w:color w:val="auto"/>
        </w:rPr>
        <w:t xml:space="preserve"> “Performance Award” shall mean a cash bonus, stock bonus or other performance or incentive award that is paid in cash, Common Stock or a combination of both, awarded under Article VII of this Plan.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u w:val="single" w:color="auto"/>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“Plan” shall mean The 1996 Equity Participation Plan of ViaSat, Inc.</w:t>
      </w:r>
    </w:p>
    <w:p>
      <w:pPr>
        <w:spacing w:after="0" w:line="131"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u w:val="single" w:color="auto"/>
          <w:color w:val="auto"/>
        </w:rPr>
        <w:t>QDRO</w:t>
      </w:r>
      <w:r>
        <w:rPr>
          <w:rFonts w:ascii="Arial" w:cs="Arial" w:eastAsia="Arial" w:hAnsi="Arial"/>
          <w:sz w:val="18"/>
          <w:szCs w:val="18"/>
          <w:i w:val="1"/>
          <w:iCs w:val="1"/>
          <w:color w:val="auto"/>
        </w:rPr>
        <w:t>.</w:t>
      </w:r>
      <w:r>
        <w:rPr>
          <w:rFonts w:ascii="Arial" w:cs="Arial" w:eastAsia="Arial" w:hAnsi="Arial"/>
          <w:sz w:val="18"/>
          <w:szCs w:val="18"/>
          <w:color w:val="auto"/>
        </w:rPr>
        <w:t xml:space="preserve"> “QDRO” shall mean a qualified domestic relations order as defined by the Code or Title I of the Employee Retirement Income Security Act of 1974, as amended, or the rules thereunder.</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u w:val="single" w:color="auto"/>
          <w:color w:val="auto"/>
        </w:rPr>
        <w:t>Restricted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“Restricted Stock” shall mean Common Stock awarded under Article VI of this Plan.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i w:val="1"/>
          <w:iCs w:val="1"/>
          <w:u w:val="single" w:color="auto"/>
          <w:color w:val="auto"/>
        </w:rPr>
        <w:t>Restricted Stock Unit</w:t>
      </w:r>
      <w:r>
        <w:rPr>
          <w:rFonts w:ascii="Arial" w:cs="Arial" w:eastAsia="Arial" w:hAnsi="Arial"/>
          <w:sz w:val="16"/>
          <w:szCs w:val="16"/>
          <w:i w:val="1"/>
          <w:iCs w:val="1"/>
          <w:color w:val="auto"/>
        </w:rPr>
        <w:t>.</w:t>
      </w:r>
      <w:r>
        <w:rPr>
          <w:rFonts w:ascii="Arial" w:cs="Arial" w:eastAsia="Arial" w:hAnsi="Arial"/>
          <w:sz w:val="16"/>
          <w:szCs w:val="16"/>
          <w:color w:val="auto"/>
        </w:rPr>
        <w:t xml:space="preserve"> “Restricted Stock Unit” shall mean a right to receive Common Stock awarded under Article VII of this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Plan.</w:t>
      </w:r>
    </w:p>
    <w:p>
      <w:pPr>
        <w:spacing w:after="0" w:line="116"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u w:val="single" w:color="auto"/>
          <w:color w:val="auto"/>
        </w:rPr>
        <w:t>Restricted Stockholder</w:t>
      </w:r>
      <w:r>
        <w:rPr>
          <w:rFonts w:ascii="Arial" w:cs="Arial" w:eastAsia="Arial" w:hAnsi="Arial"/>
          <w:sz w:val="18"/>
          <w:szCs w:val="18"/>
          <w:i w:val="1"/>
          <w:iCs w:val="1"/>
          <w:color w:val="auto"/>
        </w:rPr>
        <w:t>.</w:t>
      </w:r>
      <w:r>
        <w:rPr>
          <w:rFonts w:ascii="Arial" w:cs="Arial" w:eastAsia="Arial" w:hAnsi="Arial"/>
          <w:sz w:val="18"/>
          <w:szCs w:val="18"/>
          <w:color w:val="auto"/>
        </w:rPr>
        <w:t xml:space="preserve"> “Restricted Stockholder” shall mean an Employee, Director or consultant granted an award of Restricted Stock under Article VI of this Plan.</w:t>
      </w:r>
    </w:p>
    <w:p>
      <w:pPr>
        <w:spacing w:after="0" w:line="76"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i w:val="1"/>
          <w:iCs w:val="1"/>
          <w:u w:val="single" w:color="auto"/>
          <w:color w:val="auto"/>
        </w:rPr>
        <w:t>Rule 16b-3</w:t>
      </w:r>
      <w:r>
        <w:rPr>
          <w:rFonts w:ascii="Arial" w:cs="Arial" w:eastAsia="Arial" w:hAnsi="Arial"/>
          <w:sz w:val="18"/>
          <w:szCs w:val="18"/>
          <w:i w:val="1"/>
          <w:iCs w:val="1"/>
          <w:color w:val="auto"/>
        </w:rPr>
        <w:t>.</w:t>
      </w:r>
      <w:r>
        <w:rPr>
          <w:rFonts w:ascii="Arial" w:cs="Arial" w:eastAsia="Arial" w:hAnsi="Arial"/>
          <w:sz w:val="18"/>
          <w:szCs w:val="18"/>
          <w:color w:val="auto"/>
        </w:rPr>
        <w:t xml:space="preserve"> “Rule 16b-3” shall mean that certain Rule 16b-3 under the Exchange Act, as such Rule may be amended from time to time.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i w:val="1"/>
          <w:iCs w:val="1"/>
          <w:u w:val="single" w:color="auto"/>
          <w:color w:val="auto"/>
        </w:rPr>
        <w:t>Stock Appreciation Right</w:t>
      </w:r>
      <w:r>
        <w:rPr>
          <w:rFonts w:ascii="Arial" w:cs="Arial" w:eastAsia="Arial" w:hAnsi="Arial"/>
          <w:sz w:val="16"/>
          <w:szCs w:val="16"/>
          <w:i w:val="1"/>
          <w:iCs w:val="1"/>
          <w:color w:val="auto"/>
        </w:rPr>
        <w:t>.</w:t>
      </w:r>
      <w:r>
        <w:rPr>
          <w:rFonts w:ascii="Arial" w:cs="Arial" w:eastAsia="Arial" w:hAnsi="Arial"/>
          <w:sz w:val="16"/>
          <w:szCs w:val="16"/>
          <w:color w:val="auto"/>
        </w:rPr>
        <w:t xml:space="preserve"> “Stock Appreciation Right” shall mean a stock appreciation right granted under Article VIII of this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Plan.</w:t>
      </w:r>
    </w:p>
    <w:p>
      <w:pPr>
        <w:spacing w:after="0" w:line="11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i w:val="1"/>
          <w:iCs w:val="1"/>
          <w:u w:val="single" w:color="auto"/>
          <w:color w:val="auto"/>
        </w:rPr>
        <w:t>Stock Payment</w:t>
      </w:r>
      <w:r>
        <w:rPr>
          <w:rFonts w:ascii="Arial" w:cs="Arial" w:eastAsia="Arial" w:hAnsi="Arial"/>
          <w:sz w:val="18"/>
          <w:szCs w:val="18"/>
          <w:i w:val="1"/>
          <w:iCs w:val="1"/>
          <w:color w:val="auto"/>
        </w:rPr>
        <w:t>.</w:t>
      </w:r>
      <w:r>
        <w:rPr>
          <w:rFonts w:ascii="Arial" w:cs="Arial" w:eastAsia="Arial" w:hAnsi="Arial"/>
          <w:sz w:val="18"/>
          <w:szCs w:val="18"/>
          <w:color w:val="auto"/>
        </w:rPr>
        <w:t xml:space="preserve"> “Stock Payment” shall mean (i) a payment in the form of shares of Common Stock, or (ii)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92" w:lineRule="exact"/>
        <w:rPr>
          <w:sz w:val="20"/>
          <w:szCs w:val="20"/>
          <w:color w:val="auto"/>
        </w:rPr>
      </w:pPr>
    </w:p>
    <w:p>
      <w:pPr>
        <w:jc w:val="both"/>
        <w:ind w:left="700" w:right="200" w:firstLine="397"/>
        <w:spacing w:after="0" w:line="28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u w:val="single" w:color="auto"/>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“Subsidiary” shall mean any corporation in an unbroken chain of corporations beginning with the Company if each of the corporations other than the last corporation in the unbroken chain then owns stock possessing 50 percent (50%) or more of the total combined voting power of all classes of stock in one of the other corporations in such chain.</w:t>
      </w:r>
    </w:p>
    <w:p>
      <w:pPr>
        <w:spacing w:after="0" w:line="71"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u w:val="single" w:color="auto"/>
          <w:color w:val="auto"/>
        </w:rPr>
        <w:t>Termination of Consultancy</w:t>
      </w:r>
      <w:r>
        <w:rPr>
          <w:rFonts w:ascii="Arial" w:cs="Arial" w:eastAsia="Arial" w:hAnsi="Arial"/>
          <w:sz w:val="18"/>
          <w:szCs w:val="18"/>
          <w:i w:val="1"/>
          <w:iCs w:val="1"/>
          <w:color w:val="auto"/>
        </w:rPr>
        <w:t>.</w:t>
      </w:r>
      <w:r>
        <w:rPr>
          <w:rFonts w:ascii="Arial" w:cs="Arial" w:eastAsia="Arial" w:hAnsi="Arial"/>
          <w:sz w:val="18"/>
          <w:szCs w:val="18"/>
          <w:color w:val="auto"/>
        </w:rPr>
        <w:t xml:space="preserve">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40"/>
        <w:spacing w:after="0" w:line="288" w:lineRule="auto"/>
        <w:rPr>
          <w:sz w:val="20"/>
          <w:szCs w:val="20"/>
          <w:color w:val="auto"/>
        </w:rPr>
      </w:pPr>
      <w:r>
        <w:rPr>
          <w:rFonts w:ascii="Arial" w:cs="Arial" w:eastAsia="Arial" w:hAnsi="Arial"/>
          <w:sz w:val="16"/>
          <w:szCs w:val="16"/>
          <w:color w:val="auto"/>
        </w:rPr>
        <w:t>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w:t>
      </w:r>
    </w:p>
    <w:p>
      <w:pPr>
        <w:jc w:val="both"/>
        <w:ind w:left="700" w:right="240"/>
        <w:spacing w:after="0" w:line="255" w:lineRule="auto"/>
        <w:rPr>
          <w:sz w:val="20"/>
          <w:szCs w:val="20"/>
          <w:color w:val="auto"/>
        </w:rPr>
      </w:pPr>
      <w:r>
        <w:rPr>
          <w:rFonts w:ascii="Arial" w:cs="Arial" w:eastAsia="Arial" w:hAnsi="Arial"/>
          <w:sz w:val="18"/>
          <w:szCs w:val="18"/>
          <w:color w:val="auto"/>
        </w:rPr>
        <w:t>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9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u w:val="single" w:color="auto"/>
          <w:color w:val="auto"/>
        </w:rPr>
        <w:t>Termination of Directorship</w:t>
      </w:r>
      <w:r>
        <w:rPr>
          <w:rFonts w:ascii="Arial" w:cs="Arial" w:eastAsia="Arial" w:hAnsi="Arial"/>
          <w:sz w:val="18"/>
          <w:szCs w:val="18"/>
          <w:i w:val="1"/>
          <w:iCs w:val="1"/>
          <w:color w:val="auto"/>
        </w:rPr>
        <w:t>.</w:t>
      </w:r>
      <w:r>
        <w:rPr>
          <w:rFonts w:ascii="Arial" w:cs="Arial" w:eastAsia="Arial" w:hAnsi="Arial"/>
          <w:sz w:val="18"/>
          <w:szCs w:val="18"/>
          <w:color w:val="auto"/>
        </w:rPr>
        <w:t xml:space="preserve"> “Termination of Directorship” shall mean the time when an Optionee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92"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i w:val="1"/>
          <w:iCs w:val="1"/>
          <w:u w:val="single" w:color="auto"/>
          <w:color w:val="auto"/>
        </w:rPr>
        <w:t>Termination of Employment</w:t>
      </w:r>
      <w:r>
        <w:rPr>
          <w:rFonts w:ascii="Arial" w:cs="Arial" w:eastAsia="Arial" w:hAnsi="Arial"/>
          <w:sz w:val="16"/>
          <w:szCs w:val="16"/>
          <w:i w:val="1"/>
          <w:iCs w:val="1"/>
          <w:color w:val="auto"/>
        </w:rPr>
        <w:t>.</w:t>
      </w:r>
      <w:r>
        <w:rPr>
          <w:rFonts w:ascii="Arial" w:cs="Arial" w:eastAsia="Arial" w:hAnsi="Arial"/>
          <w:sz w:val="16"/>
          <w:szCs w:val="16"/>
          <w:color w:val="auto"/>
        </w:rPr>
        <w:t xml:space="preserve">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II.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SHARES SUBJECT TO PLAN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u w:val="single" w:color="auto"/>
          <w:color w:val="auto"/>
        </w:rPr>
        <w:t>Shares Subject to Plan</w:t>
      </w:r>
      <w:r>
        <w:rPr>
          <w:rFonts w:ascii="Arial" w:cs="Arial" w:eastAsia="Arial" w:hAnsi="Arial"/>
          <w:sz w:val="18"/>
          <w:szCs w:val="18"/>
          <w:i w:val="1"/>
          <w:iCs w:val="1"/>
          <w:color w:val="auto"/>
        </w:rPr>
        <w:t>.</w:t>
      </w:r>
    </w:p>
    <w:p>
      <w:pPr>
        <w:spacing w:after="0" w:line="131" w:lineRule="exact"/>
        <w:rPr>
          <w:sz w:val="20"/>
          <w:szCs w:val="20"/>
          <w:color w:val="auto"/>
        </w:rPr>
      </w:pPr>
    </w:p>
    <w:p>
      <w:pPr>
        <w:ind w:left="700" w:firstLine="390"/>
        <w:spacing w:after="0" w:line="297" w:lineRule="auto"/>
        <w:tabs>
          <w:tab w:leader="none" w:pos="13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shares of stock subject to Options, awards of Restricted Stock, Performance Awards, Dividend Equivalents, awards of Restricted Stock Units, Stock Payments or Stock Appreciation Rights shall be Common Stock, initially shares of the Company’s Common Stock, par value $0.0001 per share. The aggregate number of such shares which may be issued upon exercise of such options or rights or upon any such awards under the Plan shall not exceed 12,600,000. The shares of Common Stock issuable upon exercise of such options or rights or upon any such awards may be either previously authorized but unissued shares or treasury shares.</w:t>
      </w:r>
    </w:p>
    <w:p>
      <w:pPr>
        <w:spacing w:after="0" w:line="63" w:lineRule="exact"/>
        <w:rPr>
          <w:rFonts w:ascii="Arial" w:cs="Arial" w:eastAsia="Arial" w:hAnsi="Arial"/>
          <w:sz w:val="16"/>
          <w:szCs w:val="16"/>
          <w:color w:val="auto"/>
        </w:rPr>
      </w:pPr>
    </w:p>
    <w:p>
      <w:pPr>
        <w:ind w:left="700" w:right="20" w:firstLine="390"/>
        <w:spacing w:after="0" w:line="270" w:lineRule="auto"/>
        <w:tabs>
          <w:tab w:leader="none" w:pos="1342"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shares subject to Options or Stock Appreciation Rights shall be counted against the numerical limit of Section 2.1(a) as one share for every share subject thereto. Any shares subject to awards of Restricted Stock, Performance Awards, Dividend Equivalents, awards of Restricted Stock Units, or Stock Payments with a per share purchase price lower than 100% of Fair Market Value on the date of grant will be counted against the numerical limit of Section 2.1(a) as two shares for every one share subject thereto. To the extent that a share that was subject to an award that counted as two shares against the Plan reserve pursuant to the preceding sentence is recycled back into the Plan under Section 2.2, the Plan will be credited with two shares. To the extent that shares are delivered pursuant to the exercise of a Stock Appreciation Right, the number of underlying shares as to which the exercise related shall be counted against the Plan’s share limits set forth above, as opposed to only counting the shares actually issued. For example, if a Stock Appreciation Right relates to 100,000 shares and is exercised at a time when the payment due to the holder is 50,000 shares, 100,000 shares shall be charged against the Plan’s share limits with respect to such exercise.</w:t>
      </w:r>
    </w:p>
    <w:p>
      <w:pPr>
        <w:spacing w:after="0" w:line="83" w:lineRule="exact"/>
        <w:rPr>
          <w:rFonts w:ascii="Arial" w:cs="Arial" w:eastAsia="Arial" w:hAnsi="Arial"/>
          <w:sz w:val="17"/>
          <w:szCs w:val="17"/>
          <w:color w:val="auto"/>
        </w:rPr>
      </w:pPr>
    </w:p>
    <w:p>
      <w:pPr>
        <w:ind w:left="700" w:right="20" w:firstLine="390"/>
        <w:spacing w:after="0" w:line="277" w:lineRule="auto"/>
        <w:tabs>
          <w:tab w:leader="none" w:pos="13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maximum number of shares which may be subject to awards granted under the Plan to any individual in any fiscal year, and the maximum aggregate amount of cash that may be paid in cash during any fiscal year with</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respect to awards designated to be paid in cash, shall not exceed the applicable Award Limit. To the extent required by Section 162(m) of the Code, shares subject to Options which are canceled continue to be counted against the Award Limit and if, after grant of an Option, the Company stockholders approve an option exchange program whereby the price of shares subject to such Option is reduced, the transaction is treated as a cancellation of the Option and a grant of a new Option and both the Option deemed to be canceled and the Option deemed to be granted are counted against the Award Limit. Furthermore, to the extent required by Section 162(m) of the Code, if, after grant of a Stock Appreciation Right, the base amount on which stock appreciation is calculated is reduced to reflect a reduction in the Fair Market Value of the Company’s Common Stock, the transaction is treated as a cancellation of the Stock Appreciation Right and a grant of a new Stock Appreciation Right and both the Stock Appreciation Right deemed to be canceled and the Stock Appreciation Right deemed to be granted are counted against the Award Limit.</w:t>
      </w:r>
    </w:p>
    <w:p>
      <w:pPr>
        <w:spacing w:after="0" w:line="87"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u w:val="single" w:color="auto"/>
          <w:color w:val="auto"/>
        </w:rPr>
        <w:t>Add-Back of Options and Other Rights</w:t>
      </w:r>
      <w:r>
        <w:rPr>
          <w:rFonts w:ascii="Arial" w:cs="Arial" w:eastAsia="Arial" w:hAnsi="Arial"/>
          <w:sz w:val="16"/>
          <w:szCs w:val="16"/>
          <w:i w:val="1"/>
          <w:iCs w:val="1"/>
          <w:color w:val="auto"/>
        </w:rPr>
        <w:t>.</w:t>
      </w:r>
      <w:r>
        <w:rPr>
          <w:rFonts w:ascii="Arial" w:cs="Arial" w:eastAsia="Arial" w:hAnsi="Arial"/>
          <w:sz w:val="16"/>
          <w:szCs w:val="16"/>
          <w:color w:val="auto"/>
        </w:rPr>
        <w:t xml:space="preserve"> If any Option, or other right to acquire shares of Common Stock under any other award under this Plan, expires or is canceled without having been fully exercised, or an award is settled in cash without the delivery of shares of Common Stock to the award holder, the number of shares subject to such Option or other right but as to which such Option or other right was not exercised prior to its expiration or cancellation may again be optioned, granted or awarded hereunder, subject to the limitations of Section 2.1. Furthermore, any shares subject to Options or other awards which are adjusted pursuant to Section 10.3 and become exercisable with respect to shares of stock of another corporation shall be considered canceled and may again be optioned, granted or awarded hereunder, subject to the limitations of Section 2.1. If any share of Restricted Stock is forfeited by the Restricted Stockholder or repurchased by the Company pursuant to Section 6.6 hereof, such share may again be optioned, granted or awarded hereunder, subject to the limitations of Section 2.1. Any shares of Common Stock tendered or withheld to satisfy (a) the exercise price of an Option or (b) the tax withholding obligation pursuant to any award may not again be optioned, granted or awarded hereunder.</w:t>
      </w:r>
    </w:p>
    <w:p>
      <w:pPr>
        <w:spacing w:after="0" w:line="29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III.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GRANTING OF OPTIONS</w:t>
      </w:r>
    </w:p>
    <w:p>
      <w:pPr>
        <w:spacing w:after="0" w:line="131"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u w:val="single" w:color="auto"/>
          <w:color w:val="auto"/>
        </w:rPr>
        <w:t>Eligibility</w:t>
      </w:r>
      <w:r>
        <w:rPr>
          <w:rFonts w:ascii="Arial" w:cs="Arial" w:eastAsia="Arial" w:hAnsi="Arial"/>
          <w:sz w:val="18"/>
          <w:szCs w:val="18"/>
          <w:i w:val="1"/>
          <w:iCs w:val="1"/>
          <w:color w:val="auto"/>
        </w:rPr>
        <w:t>.</w:t>
      </w:r>
      <w:r>
        <w:rPr>
          <w:rFonts w:ascii="Arial" w:cs="Arial" w:eastAsia="Arial" w:hAnsi="Arial"/>
          <w:sz w:val="18"/>
          <w:szCs w:val="18"/>
          <w:color w:val="auto"/>
        </w:rPr>
        <w:t xml:space="preserve">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87"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u w:val="single" w:color="auto"/>
          <w:color w:val="auto"/>
        </w:rPr>
        <w:t>Disqualification for Stock Ownership</w:t>
      </w:r>
      <w:r>
        <w:rPr>
          <w:rFonts w:ascii="Arial" w:cs="Arial" w:eastAsia="Arial" w:hAnsi="Arial"/>
          <w:sz w:val="17"/>
          <w:szCs w:val="17"/>
          <w:i w:val="1"/>
          <w:iCs w:val="1"/>
          <w:color w:val="auto"/>
        </w:rPr>
        <w:t>.</w:t>
      </w:r>
      <w:r>
        <w:rPr>
          <w:rFonts w:ascii="Arial" w:cs="Arial" w:eastAsia="Arial" w:hAnsi="Arial"/>
          <w:sz w:val="17"/>
          <w:szCs w:val="17"/>
          <w:color w:val="auto"/>
        </w:rPr>
        <w:t xml:space="preserve"> No person may be granted an Incentive Stock Option under this Plan if such person, at the time the Incentive Stock Option is granted, owns stock possessing more than ten percent (10%) of the total combined voting power of all classes of stock of the Company or any then existing Subsidiary or parent corporation (within the meaning of Section 422 of the Code) unless such Incentive Stock Option conforms to the applicable provisions of Section 422 of the Code.</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u w:val="single" w:color="auto"/>
          <w:color w:val="auto"/>
        </w:rPr>
        <w:t>Qualification of Incentive Stock Options</w:t>
      </w:r>
      <w:r>
        <w:rPr>
          <w:rFonts w:ascii="Arial" w:cs="Arial" w:eastAsia="Arial" w:hAnsi="Arial"/>
          <w:sz w:val="17"/>
          <w:szCs w:val="17"/>
          <w:i w:val="1"/>
          <w:iCs w:val="1"/>
          <w:color w:val="auto"/>
        </w:rPr>
        <w:t>.</w:t>
      </w:r>
      <w:r>
        <w:rPr>
          <w:rFonts w:ascii="Arial" w:cs="Arial" w:eastAsia="Arial" w:hAnsi="Arial"/>
          <w:sz w:val="17"/>
          <w:szCs w:val="17"/>
          <w:color w:val="auto"/>
        </w:rPr>
        <w:t xml:space="preserve"> No Incentive Stock Option shall be granted to any person who is not an Employee.</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u w:val="single" w:color="auto"/>
          <w:color w:val="auto"/>
        </w:rPr>
        <w:t>Granting of Options</w:t>
      </w:r>
      <w:r>
        <w:rPr>
          <w:rFonts w:ascii="Arial" w:cs="Arial" w:eastAsia="Arial" w:hAnsi="Arial"/>
          <w:sz w:val="18"/>
          <w:szCs w:val="18"/>
          <w:i w:val="1"/>
          <w:iCs w:val="1"/>
          <w:color w:val="auto"/>
        </w:rPr>
        <w:t>.</w:t>
      </w:r>
    </w:p>
    <w:p>
      <w:pPr>
        <w:spacing w:after="0" w:line="131" w:lineRule="exact"/>
        <w:rPr>
          <w:sz w:val="20"/>
          <w:szCs w:val="20"/>
          <w:color w:val="auto"/>
        </w:rPr>
      </w:pPr>
    </w:p>
    <w:p>
      <w:pPr>
        <w:ind w:left="1340" w:hanging="250"/>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this Plan:</w:t>
      </w:r>
    </w:p>
    <w:p>
      <w:pPr>
        <w:spacing w:after="0" w:line="130" w:lineRule="exact"/>
        <w:rPr>
          <w:rFonts w:ascii="Arial" w:cs="Arial" w:eastAsia="Arial" w:hAnsi="Arial"/>
          <w:sz w:val="18"/>
          <w:szCs w:val="18"/>
          <w:color w:val="auto"/>
        </w:rPr>
      </w:pPr>
    </w:p>
    <w:p>
      <w:pPr>
        <w:ind w:left="1080" w:right="360" w:firstLine="391"/>
        <w:spacing w:after="0" w:line="264" w:lineRule="auto"/>
        <w:tabs>
          <w:tab w:leader="none" w:pos="16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86" w:lineRule="exact"/>
        <w:rPr>
          <w:rFonts w:ascii="Arial" w:cs="Arial" w:eastAsia="Arial" w:hAnsi="Arial"/>
          <w:sz w:val="18"/>
          <w:szCs w:val="18"/>
          <w:color w:val="auto"/>
        </w:rPr>
      </w:pPr>
    </w:p>
    <w:p>
      <w:pPr>
        <w:ind w:left="1080" w:right="480" w:firstLine="391"/>
        <w:spacing w:after="0" w:line="277" w:lineRule="auto"/>
        <w:tabs>
          <w:tab w:leader="none" w:pos="17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Subject to the Award Limit, determine the number of shares to be subject to such Options granted to the selected key Employees or consultants;</w:t>
      </w:r>
    </w:p>
    <w:p>
      <w:pPr>
        <w:spacing w:after="0" w:line="75" w:lineRule="exact"/>
        <w:rPr>
          <w:rFonts w:ascii="Arial" w:cs="Arial" w:eastAsia="Arial" w:hAnsi="Arial"/>
          <w:sz w:val="18"/>
          <w:szCs w:val="18"/>
          <w:color w:val="auto"/>
        </w:rPr>
      </w:pPr>
    </w:p>
    <w:p>
      <w:pPr>
        <w:jc w:val="both"/>
        <w:ind w:left="1080" w:right="20" w:firstLine="391"/>
        <w:spacing w:after="0" w:line="342" w:lineRule="auto"/>
        <w:tabs>
          <w:tab w:leader="none" w:pos="1776"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Subject to Section 3.3, determine whether such Options are to be Incentive Stock Options or Non-Qualified Stock Options and whether such Options are to qualify as performance-based compensation as described in Section 162(m)(4)(C) of the Code; and</w:t>
      </w:r>
    </w:p>
    <w:p>
      <w:pPr>
        <w:spacing w:after="0" w:line="3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00" w:firstLine="391"/>
        <w:spacing w:after="0" w:line="259" w:lineRule="auto"/>
        <w:tabs>
          <w:tab w:leader="none" w:pos="1766"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Determine the terms and conditions of such Options, consistent with this Plan;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terms and conditions of Options intended to qualify as performance-based compensation as described in Section 162(m)(4)(C) of the Code shall include, but not be limited to, such terms and conditions as may be necessary to meet the applicable provisions of Section 162(m) of the Code.</w:t>
      </w:r>
    </w:p>
    <w:p>
      <w:pPr>
        <w:spacing w:after="0" w:line="92" w:lineRule="exact"/>
        <w:rPr>
          <w:rFonts w:ascii="Arial" w:cs="Arial" w:eastAsia="Arial" w:hAnsi="Arial"/>
          <w:sz w:val="18"/>
          <w:szCs w:val="18"/>
          <w:color w:val="auto"/>
        </w:rPr>
      </w:pPr>
    </w:p>
    <w:p>
      <w:pPr>
        <w:ind w:left="700" w:firstLine="390"/>
        <w:spacing w:after="0" w:line="286" w:lineRule="auto"/>
        <w:tabs>
          <w:tab w:leader="none" w:pos="13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80" w:lineRule="exact"/>
        <w:rPr>
          <w:rFonts w:ascii="Arial" w:cs="Arial" w:eastAsia="Arial" w:hAnsi="Arial"/>
          <w:sz w:val="16"/>
          <w:szCs w:val="16"/>
          <w:color w:val="auto"/>
        </w:rPr>
      </w:pPr>
    </w:p>
    <w:p>
      <w:pPr>
        <w:ind w:left="700" w:right="20" w:firstLine="390"/>
        <w:spacing w:after="0" w:line="277" w:lineRule="auto"/>
        <w:tabs>
          <w:tab w:leader="none" w:pos="13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Incentive Stock Option granted under this Plan may be modified by the Committee to disqualify such option from treatment as an “incentive stock option” under Section 422 of the Code.</w:t>
      </w:r>
    </w:p>
    <w:p>
      <w:pPr>
        <w:spacing w:after="0" w:line="75" w:lineRule="exact"/>
        <w:rPr>
          <w:rFonts w:ascii="Arial" w:cs="Arial" w:eastAsia="Arial" w:hAnsi="Arial"/>
          <w:sz w:val="18"/>
          <w:szCs w:val="18"/>
          <w:color w:val="auto"/>
        </w:rPr>
      </w:pPr>
    </w:p>
    <w:p>
      <w:pPr>
        <w:ind w:left="700" w:right="20" w:firstLine="390"/>
        <w:spacing w:after="0" w:line="268" w:lineRule="auto"/>
        <w:tabs>
          <w:tab w:leader="none" w:pos="13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the term of the Plan, each person who is an Independent Director as of the date of the consummation of the initial public offering of Common Stock automatically shall be granted (i) an Option to purchase Fifteen Thousand (15,000) shares of Common Stock (subject to adjustment as provided in Section 10.3) on the date of such initial public offering and (ii) an Option to purchase Ten Thousand (10,000) shares of Common Stock (subject to adjustment as provided in Section 10.3) on the date of each annual meeting of stockholders after such initial public offering at which directors are elected to the Board. During the term of the Plan, a person who is initially elected to the Board after the consummation of the initial public offering of Common Stock and who is an Independent Director at the time of such initial election automatically shall be granted (i) an Option to purchase Fifteen Thousand (15,000) shares of Common Stock (subject to adjustment as provided in Section 10.3) on the date of such initial election and (ii) an Option to purchase Ten Thousand (10,000) shares of Common Stock (subject to adjustment as provided in Section 10.3) on the date of each annual meeting of stockholders after such initial election at which directors are elected to the Board. Members of the Board who are employees of the Company who subsequently retire from the Company and remain on the Board will not receive an initial Option grant pursuant to clause (i) of the preceding sentence, but to the extent that they are otherwise eligible, will receive, after retirement from employment with the Company, Options as described in clause (ii) of the preceding sentence.</w:t>
      </w:r>
    </w:p>
    <w:p>
      <w:pPr>
        <w:spacing w:after="0" w:line="30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IV.</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TERMS OF OPTIONS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Option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Options intended to qualify as performance-based compensation as described in Section 162(m)(4)(C) of the Code shall contain such terms and conditions as may be necessary to meet the applicable provisions of Section 162(m) of the Code. Stock Option Agreements evidencing Incentive Stock Options shall contain such terms and conditions as may be necessary to meet the applicable provisions of Section 422 of the Code.</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u w:val="single" w:color="auto"/>
          <w:color w:val="auto"/>
        </w:rPr>
        <w:t>Option Price</w:t>
      </w:r>
      <w:r>
        <w:rPr>
          <w:rFonts w:ascii="Arial" w:cs="Arial" w:eastAsia="Arial" w:hAnsi="Arial"/>
          <w:sz w:val="18"/>
          <w:szCs w:val="18"/>
          <w:i w:val="1"/>
          <w:iCs w:val="1"/>
          <w:color w:val="auto"/>
        </w:rPr>
        <w:t>.</w:t>
      </w:r>
      <w:r>
        <w:rPr>
          <w:rFonts w:ascii="Arial" w:cs="Arial" w:eastAsia="Arial" w:hAnsi="Arial"/>
          <w:sz w:val="18"/>
          <w:szCs w:val="18"/>
          <w:color w:val="auto"/>
        </w:rPr>
        <w:t xml:space="preserve"> The price per share of the shares subject to each Option shall be set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price shall not be less than 100% of the Fair Market Value of a share of Common Stock on the date the Option is granted and in the case of Incentive Stock Options granted to an individual then owning (within the meaning of Section 424(d) of the Code) more than 10% of the total combined voting power of all classes of stock of the Company or any Subsidiary or parent corporation thereof (within the meaning of Section 422 of the Code) such price shall not be less than 110% of the Fair Market Value of a share of Common Stock on the date the Option is granted.</w:t>
      </w:r>
    </w:p>
    <w:p>
      <w:pPr>
        <w:spacing w:after="0" w:line="99"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u w:val="single" w:color="auto"/>
          <w:color w:val="auto"/>
        </w:rPr>
        <w:t>Option Term</w:t>
      </w:r>
      <w:r>
        <w:rPr>
          <w:rFonts w:ascii="Arial" w:cs="Arial" w:eastAsia="Arial" w:hAnsi="Arial"/>
          <w:sz w:val="17"/>
          <w:szCs w:val="17"/>
          <w:i w:val="1"/>
          <w:iCs w:val="1"/>
          <w:color w:val="auto"/>
        </w:rPr>
        <w:t>.</w:t>
      </w:r>
      <w:r>
        <w:rPr>
          <w:rFonts w:ascii="Arial" w:cs="Arial" w:eastAsia="Arial" w:hAnsi="Arial"/>
          <w:sz w:val="17"/>
          <w:szCs w:val="17"/>
          <w:color w:val="auto"/>
        </w:rPr>
        <w:t xml:space="preserve"> The term of an Option shall be set by the Committee in its discretion;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no Option shall have a term longer than six (6) years from the date the Option is granted and in the case of Incentive Stock Options granted to an individual then owning (within the meaning of Section 424(d) of the Code) more than 10% of the total combined voting power of all classes of stock of the Company or any Subsidiary or parent corporation thereof (within the meaning of Section 422 of the Code) the term may not exceed five (5) years from such date if the Incentive Stock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u w:val="single" w:color="auto"/>
          <w:color w:val="auto"/>
        </w:rPr>
        <w:t>Option Vesting</w:t>
      </w:r>
      <w:r>
        <w:rPr>
          <w:rFonts w:ascii="Arial" w:cs="Arial" w:eastAsia="Arial" w:hAnsi="Arial"/>
          <w:sz w:val="18"/>
          <w:szCs w:val="18"/>
          <w:i w:val="1"/>
          <w:iCs w:val="1"/>
          <w:color w:val="auto"/>
        </w:rPr>
        <w:t>.</w:t>
      </w:r>
    </w:p>
    <w:p>
      <w:pPr>
        <w:spacing w:after="0" w:line="131" w:lineRule="exact"/>
        <w:rPr>
          <w:sz w:val="20"/>
          <w:szCs w:val="20"/>
          <w:color w:val="auto"/>
        </w:rPr>
      </w:pPr>
    </w:p>
    <w:p>
      <w:pPr>
        <w:ind w:left="700" w:firstLine="390"/>
        <w:spacing w:after="0" w:line="287" w:lineRule="auto"/>
        <w:tabs>
          <w:tab w:leader="none" w:pos="133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period during which the right to exercise an Option in whole or in part vests in the Optionee shall be set by the Committee and the Committee may determine that an Option may not be exercised in whole or in part for a specified period after it is granted;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Options granted to Independent Directors shall become (i) exercisable in cumulative annual installments of 331/3% on each of the first, second and third anniversaries of the date of Option grant for grants made on the initial election of a Independent Director and (ii) fully exercisable on the one year anniversary of the date of Option grant for grants made on the date of each annual meeting after such initial election at which directors are elected to the Board, without variation or acceleration hereunder except as provided in Section 10.3(b). At any time after grant of an Option, the Committee may, in its sole and absolute discretion and subject to whatever terms and conditions it selects, accelerate the period during which an Option (except an Option granted to an Independent Director) vests. The Committee may also provide that the vesting of an Option granted under the Plan which is intended to qualify as performance-based compensation as described in Section 162(m)(4)(C) of the Code shall occur upon the satisfaction of one or more performance goals based on the performance criteria set forth in Section 7.1.</w:t>
      </w:r>
    </w:p>
    <w:p>
      <w:pPr>
        <w:spacing w:after="0" w:line="78" w:lineRule="exact"/>
        <w:rPr>
          <w:rFonts w:ascii="Arial" w:cs="Arial" w:eastAsia="Arial" w:hAnsi="Arial"/>
          <w:sz w:val="16"/>
          <w:szCs w:val="16"/>
          <w:color w:val="auto"/>
        </w:rPr>
      </w:pPr>
    </w:p>
    <w:p>
      <w:pPr>
        <w:ind w:left="700" w:right="40" w:firstLine="390"/>
        <w:spacing w:after="0" w:line="257" w:lineRule="auto"/>
        <w:tabs>
          <w:tab w:leader="none" w:pos="13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93" w:lineRule="exact"/>
        <w:rPr>
          <w:rFonts w:ascii="Arial" w:cs="Arial" w:eastAsia="Arial" w:hAnsi="Arial"/>
          <w:sz w:val="18"/>
          <w:szCs w:val="18"/>
          <w:color w:val="auto"/>
        </w:rPr>
      </w:pPr>
    </w:p>
    <w:p>
      <w:pPr>
        <w:ind w:left="700" w:right="20" w:firstLine="390"/>
        <w:spacing w:after="0" w:line="293" w:lineRule="auto"/>
        <w:tabs>
          <w:tab w:leader="none" w:pos="133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70"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u w:val="single" w:color="auto"/>
          <w:color w:val="auto"/>
        </w:rPr>
        <w:t>Consideration</w:t>
      </w:r>
      <w:r>
        <w:rPr>
          <w:rFonts w:ascii="Arial" w:cs="Arial" w:eastAsia="Arial" w:hAnsi="Arial"/>
          <w:sz w:val="17"/>
          <w:szCs w:val="17"/>
          <w:i w:val="1"/>
          <w:iCs w:val="1"/>
          <w:color w:val="auto"/>
        </w:rPr>
        <w:t>.</w:t>
      </w:r>
      <w:r>
        <w:rPr>
          <w:rFonts w:ascii="Arial" w:cs="Arial" w:eastAsia="Arial" w:hAnsi="Arial"/>
          <w:sz w:val="17"/>
          <w:szCs w:val="17"/>
          <w:color w:val="auto"/>
        </w:rPr>
        <w:t xml:space="preserve"> In consideration of the granting of an Option, the Optionee shall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36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ARTICLE V.</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EXERCISE OF OPTIONS</w:t>
      </w:r>
    </w:p>
    <w:p>
      <w:pPr>
        <w:spacing w:after="0" w:line="131"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u w:val="single" w:color="auto"/>
          <w:color w:val="auto"/>
        </w:rPr>
        <w:t>Partial Exercise</w:t>
      </w:r>
      <w:r>
        <w:rPr>
          <w:rFonts w:ascii="Arial" w:cs="Arial" w:eastAsia="Arial" w:hAnsi="Arial"/>
          <w:sz w:val="17"/>
          <w:szCs w:val="17"/>
          <w:i w:val="1"/>
          <w:iCs w:val="1"/>
          <w:color w:val="auto"/>
        </w:rPr>
        <w:t>.</w:t>
      </w:r>
      <w:r>
        <w:rPr>
          <w:rFonts w:ascii="Arial" w:cs="Arial" w:eastAsia="Arial" w:hAnsi="Arial"/>
          <w:sz w:val="17"/>
          <w:szCs w:val="17"/>
          <w:color w:val="auto"/>
        </w:rPr>
        <w:t xml:space="preserve">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71"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u w:val="single" w:color="auto"/>
          <w:color w:val="auto"/>
        </w:rPr>
        <w:t>Manner of Exercise</w:t>
      </w:r>
      <w:r>
        <w:rPr>
          <w:rFonts w:ascii="Arial" w:cs="Arial" w:eastAsia="Arial" w:hAnsi="Arial"/>
          <w:sz w:val="18"/>
          <w:szCs w:val="18"/>
          <w:i w:val="1"/>
          <w:iCs w:val="1"/>
          <w:color w:val="auto"/>
        </w:rPr>
        <w:t>.</w:t>
      </w:r>
      <w:r>
        <w:rPr>
          <w:rFonts w:ascii="Arial" w:cs="Arial" w:eastAsia="Arial" w:hAnsi="Arial"/>
          <w:sz w:val="18"/>
          <w:szCs w:val="18"/>
          <w:color w:val="auto"/>
        </w:rPr>
        <w:t xml:space="preserve"> All or a portion of an exercisable Option shall be deemed exercised upon delivery of all of the following to the Secretary of the Company or his office:</w:t>
      </w:r>
    </w:p>
    <w:p>
      <w:pPr>
        <w:spacing w:after="0" w:line="76" w:lineRule="exact"/>
        <w:rPr>
          <w:sz w:val="20"/>
          <w:szCs w:val="20"/>
          <w:color w:val="auto"/>
        </w:rPr>
      </w:pPr>
    </w:p>
    <w:p>
      <w:pPr>
        <w:ind w:left="1080" w:right="260" w:firstLine="391"/>
        <w:spacing w:after="0" w:line="264" w:lineRule="auto"/>
        <w:tabs>
          <w:tab w:leader="none" w:pos="16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86" w:lineRule="exact"/>
        <w:rPr>
          <w:rFonts w:ascii="Arial" w:cs="Arial" w:eastAsia="Arial" w:hAnsi="Arial"/>
          <w:sz w:val="18"/>
          <w:szCs w:val="18"/>
          <w:color w:val="auto"/>
        </w:rPr>
      </w:pPr>
    </w:p>
    <w:p>
      <w:pPr>
        <w:ind w:left="1080" w:right="160" w:firstLine="391"/>
        <w:spacing w:after="0" w:line="297" w:lineRule="auto"/>
        <w:tabs>
          <w:tab w:leader="none" w:pos="1716" w:val="left"/>
        </w:tabs>
        <w:numPr>
          <w:ilvl w:val="1"/>
          <w:numId w:val="41"/>
        </w:numPr>
        <w:rPr>
          <w:rFonts w:ascii="Arial" w:cs="Arial" w:eastAsia="Arial" w:hAnsi="Arial"/>
          <w:sz w:val="16"/>
          <w:szCs w:val="16"/>
          <w:color w:val="auto"/>
        </w:rPr>
      </w:pPr>
      <w:r>
        <w:rPr>
          <w:rFonts w:ascii="Arial" w:cs="Arial" w:eastAsia="Arial" w:hAnsi="Arial"/>
          <w:sz w:val="16"/>
          <w:szCs w:val="16"/>
          <w:color w:val="auto"/>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63" w:lineRule="exact"/>
        <w:rPr>
          <w:rFonts w:ascii="Arial" w:cs="Arial" w:eastAsia="Arial" w:hAnsi="Arial"/>
          <w:sz w:val="16"/>
          <w:szCs w:val="16"/>
          <w:color w:val="auto"/>
        </w:rPr>
      </w:pPr>
    </w:p>
    <w:p>
      <w:pPr>
        <w:ind w:left="1080" w:right="160" w:firstLine="391"/>
        <w:spacing w:after="0" w:line="277" w:lineRule="auto"/>
        <w:tabs>
          <w:tab w:leader="none" w:pos="1706"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10.1 by any person or persons other than the Optionee, appropriate proof of the right of such person or persons to exercise the Option; and</w:t>
      </w:r>
    </w:p>
    <w:p>
      <w:pPr>
        <w:spacing w:after="0" w:line="75" w:lineRule="exact"/>
        <w:rPr>
          <w:rFonts w:ascii="Arial" w:cs="Arial" w:eastAsia="Arial" w:hAnsi="Arial"/>
          <w:sz w:val="18"/>
          <w:szCs w:val="18"/>
          <w:color w:val="auto"/>
        </w:rPr>
      </w:pPr>
    </w:p>
    <w:p>
      <w:pPr>
        <w:jc w:val="both"/>
        <w:ind w:left="1080" w:right="200" w:firstLine="391"/>
        <w:spacing w:after="0" w:line="291" w:lineRule="auto"/>
        <w:tabs>
          <w:tab w:leader="none" w:pos="1716" w:val="left"/>
        </w:tabs>
        <w:numPr>
          <w:ilvl w:val="1"/>
          <w:numId w:val="41"/>
        </w:numPr>
        <w:rPr>
          <w:rFonts w:ascii="Arial" w:cs="Arial" w:eastAsia="Arial" w:hAnsi="Arial"/>
          <w:sz w:val="16"/>
          <w:szCs w:val="16"/>
          <w:color w:val="auto"/>
        </w:rPr>
      </w:pPr>
      <w:r>
        <w:rPr>
          <w:rFonts w:ascii="Arial" w:cs="Arial" w:eastAsia="Arial" w:hAnsi="Arial"/>
          <w:sz w:val="16"/>
          <w:szCs w:val="16"/>
          <w:color w:val="auto"/>
        </w:rPr>
        <w:t>Full cash payment to the Secretary of the Company for the shares with respect to which the Option, or portion thereof, is exercised. However, the Committee (or the Board, in the case of Options granted to Independent Directors), may in its discretion,</w:t>
      </w:r>
    </w:p>
    <w:p>
      <w:pPr>
        <w:ind w:left="1080" w:firstLine="10"/>
        <w:spacing w:after="0" w:line="284" w:lineRule="auto"/>
        <w:tabs>
          <w:tab w:leader="none" w:pos="12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8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u w:val="single" w:color="auto"/>
          <w:color w:val="auto"/>
        </w:rPr>
        <w:t>Conditions to Issuance of Shares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87" w:lineRule="exact"/>
        <w:rPr>
          <w:sz w:val="20"/>
          <w:szCs w:val="20"/>
          <w:color w:val="auto"/>
        </w:rPr>
      </w:pPr>
    </w:p>
    <w:p>
      <w:pPr>
        <w:ind w:left="1720" w:hanging="249"/>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w:t>
      </w:r>
    </w:p>
    <w:p>
      <w:pPr>
        <w:spacing w:after="0" w:line="130" w:lineRule="exact"/>
        <w:rPr>
          <w:rFonts w:ascii="Arial" w:cs="Arial" w:eastAsia="Arial" w:hAnsi="Arial"/>
          <w:sz w:val="18"/>
          <w:szCs w:val="18"/>
          <w:color w:val="auto"/>
        </w:rPr>
      </w:pPr>
    </w:p>
    <w:p>
      <w:pPr>
        <w:ind w:left="1080" w:right="80" w:firstLine="391"/>
        <w:spacing w:after="0" w:line="264" w:lineRule="auto"/>
        <w:tabs>
          <w:tab w:leader="none" w:pos="17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firstLine="391"/>
        <w:spacing w:after="0" w:line="264" w:lineRule="auto"/>
        <w:tabs>
          <w:tab w:leader="none" w:pos="17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86" w:lineRule="exact"/>
        <w:rPr>
          <w:rFonts w:ascii="Arial" w:cs="Arial" w:eastAsia="Arial" w:hAnsi="Arial"/>
          <w:sz w:val="18"/>
          <w:szCs w:val="18"/>
          <w:color w:val="auto"/>
        </w:rPr>
      </w:pPr>
    </w:p>
    <w:p>
      <w:pPr>
        <w:ind w:left="1080" w:firstLine="391"/>
        <w:spacing w:after="0" w:line="342" w:lineRule="auto"/>
        <w:tabs>
          <w:tab w:leader="none" w:pos="171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29" w:lineRule="exact"/>
        <w:rPr>
          <w:rFonts w:ascii="Arial" w:cs="Arial" w:eastAsia="Arial" w:hAnsi="Arial"/>
          <w:sz w:val="16"/>
          <w:szCs w:val="16"/>
          <w:color w:val="auto"/>
        </w:rPr>
      </w:pPr>
    </w:p>
    <w:p>
      <w:pPr>
        <w:ind w:left="1720" w:hanging="249"/>
        <w:spacing w:after="0"/>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receipt by the Company of full payment for such shares, including payment of any applicable withholding tax.</w:t>
      </w:r>
    </w:p>
    <w:p>
      <w:pPr>
        <w:spacing w:after="0" w:line="142" w:lineRule="exact"/>
        <w:rPr>
          <w:sz w:val="20"/>
          <w:szCs w:val="20"/>
          <w:color w:val="auto"/>
        </w:rPr>
      </w:pPr>
    </w:p>
    <w:p>
      <w:pPr>
        <w:ind w:left="700" w:right="320" w:firstLine="397"/>
        <w:spacing w:after="0" w:line="302" w:lineRule="auto"/>
        <w:rPr>
          <w:sz w:val="20"/>
          <w:szCs w:val="20"/>
          <w:color w:val="auto"/>
        </w:rPr>
      </w:pPr>
      <w:r>
        <w:rPr>
          <w:rFonts w:ascii="Arial" w:cs="Arial" w:eastAsia="Arial" w:hAnsi="Arial"/>
          <w:sz w:val="16"/>
          <w:szCs w:val="16"/>
          <w:color w:val="auto"/>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60"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u w:val="single" w:color="auto"/>
          <w:color w:val="auto"/>
        </w:rPr>
        <w:t>Rights as Stockholders</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52" w:lineRule="exact"/>
        <w:rPr>
          <w:sz w:val="20"/>
          <w:szCs w:val="20"/>
          <w:color w:val="auto"/>
        </w:rPr>
      </w:pPr>
    </w:p>
    <w:p>
      <w:pPr>
        <w:ind w:left="700" w:right="140" w:firstLine="397"/>
        <w:spacing w:after="0" w:line="27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u w:val="single" w:color="auto"/>
          <w:color w:val="auto"/>
        </w:rPr>
        <w:t>Ownership and Transfer Restrictions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the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u w:val="single" w:color="auto"/>
          <w:color w:val="auto"/>
        </w:rPr>
        <w:t>Limitations on Exercise of Options Granted to Independent Directors</w:t>
      </w:r>
      <w:r>
        <w:rPr>
          <w:rFonts w:ascii="Arial" w:cs="Arial" w:eastAsia="Arial" w:hAnsi="Arial"/>
          <w:sz w:val="18"/>
          <w:szCs w:val="18"/>
          <w:i w:val="1"/>
          <w:iCs w:val="1"/>
          <w:color w:val="auto"/>
        </w:rPr>
        <w:t>.</w:t>
      </w:r>
      <w:r>
        <w:rPr>
          <w:rFonts w:ascii="Arial" w:cs="Arial" w:eastAsia="Arial" w:hAnsi="Arial"/>
          <w:sz w:val="18"/>
          <w:szCs w:val="18"/>
          <w:color w:val="auto"/>
        </w:rPr>
        <w:t xml:space="preserve"> No Option granted to an Independent Director may be exercised to any extent by anyone after the first to occur of the following events:</w:t>
      </w:r>
    </w:p>
    <w:p>
      <w:pPr>
        <w:spacing w:after="0" w:line="76" w:lineRule="exact"/>
        <w:rPr>
          <w:sz w:val="20"/>
          <w:szCs w:val="20"/>
          <w:color w:val="auto"/>
        </w:rPr>
      </w:pPr>
    </w:p>
    <w:p>
      <w:pPr>
        <w:ind w:left="1720" w:hanging="249"/>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twelve (12) months from the date of the Optionee’s death;</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expiration of twelve (12) months from the date of the Optionee’s Termination of Directorship, Termination of</w:t>
      </w:r>
    </w:p>
    <w:p>
      <w:pPr>
        <w:spacing w:after="0" w:line="34" w:lineRule="exact"/>
        <w:rPr>
          <w:rFonts w:ascii="Arial" w:cs="Arial" w:eastAsia="Arial" w:hAnsi="Arial"/>
          <w:sz w:val="17"/>
          <w:szCs w:val="17"/>
          <w:color w:val="auto"/>
        </w:rPr>
      </w:pPr>
    </w:p>
    <w:p>
      <w:pPr>
        <w:ind w:left="1080" w:right="40"/>
        <w:spacing w:after="0" w:line="261" w:lineRule="auto"/>
        <w:rPr>
          <w:rFonts w:ascii="Arial" w:cs="Arial" w:eastAsia="Arial" w:hAnsi="Arial"/>
          <w:sz w:val="17"/>
          <w:szCs w:val="17"/>
          <w:color w:val="auto"/>
        </w:rPr>
      </w:pPr>
      <w:r>
        <w:rPr>
          <w:rFonts w:ascii="Arial" w:cs="Arial" w:eastAsia="Arial" w:hAnsi="Arial"/>
          <w:sz w:val="18"/>
          <w:szCs w:val="18"/>
          <w:color w:val="auto"/>
        </w:rPr>
        <w:t>Consultancy or Termination of Employment by reason of his permanent and total disability (within the meaning of Section 22(e)(3) of the Code);</w:t>
      </w:r>
    </w:p>
    <w:p>
      <w:pPr>
        <w:spacing w:after="0" w:line="89" w:lineRule="exact"/>
        <w:rPr>
          <w:rFonts w:ascii="Arial" w:cs="Arial" w:eastAsia="Arial" w:hAnsi="Arial"/>
          <w:sz w:val="17"/>
          <w:szCs w:val="17"/>
          <w:color w:val="auto"/>
        </w:rPr>
      </w:pPr>
    </w:p>
    <w:p>
      <w:pPr>
        <w:ind w:left="1080" w:right="320" w:firstLine="391"/>
        <w:spacing w:after="0" w:line="308" w:lineRule="auto"/>
        <w:tabs>
          <w:tab w:leader="none" w:pos="170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expiration of three (3) months from the last to occur of the Optionee’s Termination of Directorship, Termination of Consultancy or Termination of Employment, unless the Optionee dies within said three-month period; or</w:t>
      </w:r>
    </w:p>
    <w:p>
      <w:pPr>
        <w:spacing w:after="0" w:line="51" w:lineRule="exact"/>
        <w:rPr>
          <w:rFonts w:ascii="Arial" w:cs="Arial" w:eastAsia="Arial" w:hAnsi="Arial"/>
          <w:sz w:val="17"/>
          <w:szCs w:val="17"/>
          <w:color w:val="auto"/>
        </w:rPr>
      </w:pPr>
    </w:p>
    <w:p>
      <w:pPr>
        <w:ind w:left="1720" w:hanging="249"/>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six (6) years from the date the Option was granted.</w:t>
      </w:r>
    </w:p>
    <w:p>
      <w:pPr>
        <w:spacing w:after="0" w:line="347"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VI.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AWARD OF RESTRICTED STOCK</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u w:val="single" w:color="auto"/>
          <w:color w:val="auto"/>
        </w:rPr>
        <w:t>Award of Restricted Stock</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200" w:firstLine="390"/>
        <w:spacing w:after="0" w:line="277" w:lineRule="auto"/>
        <w:tabs>
          <w:tab w:leader="none" w:pos="13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Committee (or the Board, in the case of Restricted Stock awarded to Independent Directors) may from time to time, in its absolute discretion:</w:t>
      </w:r>
    </w:p>
    <w:p>
      <w:pPr>
        <w:spacing w:after="0" w:line="75" w:lineRule="exact"/>
        <w:rPr>
          <w:rFonts w:ascii="Arial" w:cs="Arial" w:eastAsia="Arial" w:hAnsi="Arial"/>
          <w:sz w:val="18"/>
          <w:szCs w:val="18"/>
          <w:color w:val="auto"/>
        </w:rPr>
      </w:pPr>
    </w:p>
    <w:p>
      <w:pPr>
        <w:ind w:left="1080" w:firstLine="391"/>
        <w:spacing w:after="0" w:line="264" w:lineRule="auto"/>
        <w:tabs>
          <w:tab w:leader="none" w:pos="16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7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Determine the purchase price, if any, and other terms and conditions applicable to such Restricted Stock, consistent with this Plan.</w:t>
      </w:r>
    </w:p>
    <w:p>
      <w:pPr>
        <w:spacing w:after="0" w:line="75" w:lineRule="exact"/>
        <w:rPr>
          <w:rFonts w:ascii="Arial" w:cs="Arial" w:eastAsia="Arial" w:hAnsi="Arial"/>
          <w:sz w:val="18"/>
          <w:szCs w:val="18"/>
          <w:color w:val="auto"/>
        </w:rPr>
      </w:pPr>
    </w:p>
    <w:p>
      <w:pPr>
        <w:ind w:left="700" w:right="40" w:firstLine="390"/>
        <w:spacing w:after="0" w:line="259" w:lineRule="auto"/>
        <w:tabs>
          <w:tab w:leader="none" w:pos="13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Committee (or the Board, in the case of Restricted Stock awarded to Independent Directors) shall establish the purchase price, if any, and form of payment for Restricted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92" w:lineRule="exact"/>
        <w:rPr>
          <w:rFonts w:ascii="Arial" w:cs="Arial" w:eastAsia="Arial" w:hAnsi="Arial"/>
          <w:sz w:val="18"/>
          <w:szCs w:val="18"/>
          <w:color w:val="auto"/>
        </w:rPr>
      </w:pPr>
    </w:p>
    <w:p>
      <w:pPr>
        <w:jc w:val="both"/>
        <w:ind w:left="700" w:right="220" w:firstLine="390"/>
        <w:spacing w:after="0" w:line="312" w:lineRule="auto"/>
        <w:tabs>
          <w:tab w:leader="none" w:pos="1342"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52"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Restricted Stock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94"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u w:val="single" w:color="auto"/>
          <w:color w:val="auto"/>
        </w:rPr>
        <w:t>Consideration</w:t>
      </w:r>
      <w:r>
        <w:rPr>
          <w:rFonts w:ascii="Arial" w:cs="Arial" w:eastAsia="Arial" w:hAnsi="Arial"/>
          <w:sz w:val="16"/>
          <w:szCs w:val="16"/>
          <w:i w:val="1"/>
          <w:iCs w:val="1"/>
          <w:color w:val="auto"/>
        </w:rPr>
        <w:t>.</w:t>
      </w:r>
      <w:r>
        <w:rPr>
          <w:rFonts w:ascii="Arial" w:cs="Arial" w:eastAsia="Arial" w:hAnsi="Arial"/>
          <w:sz w:val="16"/>
          <w:szCs w:val="16"/>
          <w:color w:val="auto"/>
        </w:rPr>
        <w:t xml:space="preserve">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72"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u w:val="single" w:color="auto"/>
          <w:color w:val="auto"/>
        </w:rPr>
        <w:t>Rights as Stockholders</w:t>
      </w:r>
      <w:r>
        <w:rPr>
          <w:rFonts w:ascii="Arial" w:cs="Arial" w:eastAsia="Arial" w:hAnsi="Arial"/>
          <w:sz w:val="16"/>
          <w:szCs w:val="16"/>
          <w:i w:val="1"/>
          <w:iCs w:val="1"/>
          <w:color w:val="auto"/>
        </w:rPr>
        <w:t>.</w:t>
      </w:r>
      <w:r>
        <w:rPr>
          <w:rFonts w:ascii="Arial" w:cs="Arial" w:eastAsia="Arial" w:hAnsi="Arial"/>
          <w:sz w:val="16"/>
          <w:szCs w:val="16"/>
          <w:color w:val="auto"/>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the right to receive all dividends and other distributions paid or made with respect to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discretion of the Committee (or the Board, in the case of Restricted Stock granted to an Independent Director), any extraordinary distributions with respect to the Common Stock shall be subject to the restrictions set forth in Section 6.5.</w:t>
      </w:r>
    </w:p>
    <w:p>
      <w:pPr>
        <w:spacing w:after="0" w:line="7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u w:val="single" w:color="auto"/>
          <w:color w:val="auto"/>
        </w:rPr>
        <w:t>Restriction</w:t>
      </w:r>
      <w:r>
        <w:rPr>
          <w:rFonts w:ascii="Arial" w:cs="Arial" w:eastAsia="Arial" w:hAnsi="Arial"/>
          <w:sz w:val="16"/>
          <w:szCs w:val="16"/>
          <w:i w:val="1"/>
          <w:iCs w:val="1"/>
          <w:color w:val="auto"/>
        </w:rPr>
        <w:t>.</w:t>
      </w:r>
      <w:r>
        <w:rPr>
          <w:rFonts w:ascii="Arial" w:cs="Arial" w:eastAsia="Arial" w:hAnsi="Arial"/>
          <w:sz w:val="16"/>
          <w:szCs w:val="16"/>
          <w:color w:val="auto"/>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The Committee may also provide that the vesting of Restricted Stock granted under the Plan which is intended to qualify as performance-based compensation as described in Section 162(m)(4)(C) of the Code shall occur upon the satisfaction of one or more performance goals based on the performance criteria set forth in Section 7.1. Notwithstanding the foregoing, except as permitted under Section 10.3 of the Plan,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measuring performance will be at least twelve (12) months. Restricted Stock may not be sold or encumbered until all restrictions are terminated or expire.</w:t>
      </w:r>
    </w:p>
    <w:p>
      <w:pPr>
        <w:spacing w:after="0" w:line="76"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u w:val="single" w:color="auto"/>
          <w:color w:val="auto"/>
        </w:rPr>
        <w:t>Repurchase or Forfeiture of Restricted Stock</w:t>
      </w:r>
      <w:r>
        <w:rPr>
          <w:rFonts w:ascii="Arial" w:cs="Arial" w:eastAsia="Arial" w:hAnsi="Arial"/>
          <w:sz w:val="16"/>
          <w:szCs w:val="16"/>
          <w:i w:val="1"/>
          <w:iCs w:val="1"/>
          <w:color w:val="auto"/>
        </w:rPr>
        <w:t>.</w:t>
      </w:r>
      <w:r>
        <w:rPr>
          <w:rFonts w:ascii="Arial" w:cs="Arial" w:eastAsia="Arial" w:hAnsi="Arial"/>
          <w:sz w:val="16"/>
          <w:szCs w:val="16"/>
          <w:color w:val="auto"/>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78"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u w:val="single" w:color="auto"/>
          <w:color w:val="auto"/>
        </w:rPr>
        <w:t>Escrow</w:t>
      </w:r>
      <w:r>
        <w:rPr>
          <w:rFonts w:ascii="Arial" w:cs="Arial" w:eastAsia="Arial" w:hAnsi="Arial"/>
          <w:sz w:val="18"/>
          <w:szCs w:val="18"/>
          <w:i w:val="1"/>
          <w:iCs w:val="1"/>
          <w:color w:val="auto"/>
        </w:rPr>
        <w:t>.</w:t>
      </w:r>
      <w:r>
        <w:rPr>
          <w:rFonts w:ascii="Arial" w:cs="Arial" w:eastAsia="Arial" w:hAnsi="Arial"/>
          <w:sz w:val="18"/>
          <w:szCs w:val="18"/>
          <w:color w:val="auto"/>
        </w:rPr>
        <w:t xml:space="preserve">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9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u w:val="single" w:color="auto"/>
          <w:color w:val="auto"/>
        </w:rPr>
        <w:t>Legend</w:t>
      </w:r>
      <w:r>
        <w:rPr>
          <w:rFonts w:ascii="Arial" w:cs="Arial" w:eastAsia="Arial" w:hAnsi="Arial"/>
          <w:sz w:val="18"/>
          <w:szCs w:val="18"/>
          <w:i w:val="1"/>
          <w:iCs w:val="1"/>
          <w:color w:val="auto"/>
        </w:rPr>
        <w:t>.</w:t>
      </w:r>
      <w:r>
        <w:rPr>
          <w:rFonts w:ascii="Arial" w:cs="Arial" w:eastAsia="Arial" w:hAnsi="Arial"/>
          <w:sz w:val="18"/>
          <w:szCs w:val="18"/>
          <w:color w:val="auto"/>
        </w:rPr>
        <w:t xml:space="preserve">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30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ARTICLE VII.</w:t>
      </w:r>
    </w:p>
    <w:p>
      <w:pPr>
        <w:spacing w:after="0" w:line="13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PERFORMANCE AWARDS, DIVIDEND EQUIVALENTS, RESTRICTED STOCK UNITS,</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STOCK PAYMENTS</w:t>
      </w:r>
    </w:p>
    <w:p>
      <w:pPr>
        <w:spacing w:after="0" w:line="116"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Performance Awards</w:t>
      </w:r>
      <w:r>
        <w:rPr>
          <w:rFonts w:ascii="Arial" w:cs="Arial" w:eastAsia="Arial" w:hAnsi="Arial"/>
          <w:sz w:val="16"/>
          <w:szCs w:val="16"/>
          <w:i w:val="1"/>
          <w:iCs w:val="1"/>
          <w:color w:val="auto"/>
        </w:rPr>
        <w:t>.</w:t>
      </w:r>
      <w:r>
        <w:rPr>
          <w:rFonts w:ascii="Arial" w:cs="Arial" w:eastAsia="Arial" w:hAnsi="Arial"/>
          <w:sz w:val="16"/>
          <w:szCs w:val="16"/>
          <w:color w:val="auto"/>
        </w:rPr>
        <w:t xml:space="preserve">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shall be used to establish such performance goals shall be limited to the following: (a) net earnings (either before or after one or more of the following: (i) interest, (ii) taxes, (iii) depreciation and (iv) amortization), (b) gross or net sales or revenue, (c) net income (either before or after taxes), (d) operating earnings or profit, (e) cash flow (including, but not limited to, operating cash flow and free cash flow),</w:t>
      </w:r>
    </w:p>
    <w:p>
      <w:pPr>
        <w:spacing w:after="0" w:line="3" w:lineRule="exact"/>
        <w:rPr>
          <w:sz w:val="20"/>
          <w:szCs w:val="20"/>
          <w:color w:val="auto"/>
        </w:rPr>
      </w:pPr>
    </w:p>
    <w:p>
      <w:pPr>
        <w:ind w:left="920" w:hanging="227"/>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return on assets, (g) return on capital, (h) return on stockholders’ equity, (i) return on sales, (j) gross or net profit or operating margin,</w:t>
      </w:r>
    </w:p>
    <w:p>
      <w:pPr>
        <w:spacing w:after="0" w:line="32" w:lineRule="exact"/>
        <w:rPr>
          <w:rFonts w:ascii="Arial" w:cs="Arial" w:eastAsia="Arial" w:hAnsi="Arial"/>
          <w:sz w:val="16"/>
          <w:szCs w:val="16"/>
          <w:color w:val="auto"/>
        </w:rPr>
      </w:pPr>
    </w:p>
    <w:p>
      <w:pPr>
        <w:ind w:left="700" w:right="60" w:hanging="7"/>
        <w:spacing w:after="0" w:line="268" w:lineRule="auto"/>
        <w:tabs>
          <w:tab w:leader="none" w:pos="9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shall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shall consider (among such other factors as it deems relevant in light of the specific type of award) the contributions, responsibilities and other compensation of the particular key Employee, consultant or Independent Director.</w:t>
      </w:r>
    </w:p>
    <w:p>
      <w:pPr>
        <w:spacing w:after="0" w:line="90"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u w:val="single" w:color="auto"/>
          <w:color w:val="auto"/>
        </w:rPr>
        <w:t>Dividend Equivalents</w:t>
      </w:r>
      <w:r>
        <w:rPr>
          <w:rFonts w:ascii="Arial" w:cs="Arial" w:eastAsia="Arial" w:hAnsi="Arial"/>
          <w:sz w:val="18"/>
          <w:szCs w:val="18"/>
          <w:i w:val="1"/>
          <w:iCs w:val="1"/>
          <w:color w:val="auto"/>
        </w:rPr>
        <w:t>.</w:t>
      </w:r>
      <w:r>
        <w:rPr>
          <w:rFonts w:ascii="Arial" w:cs="Arial" w:eastAsia="Arial" w:hAnsi="Arial"/>
          <w:sz w:val="18"/>
          <w:szCs w:val="18"/>
          <w:color w:val="auto"/>
        </w:rPr>
        <w:t xml:space="preserve"> Any key Employee, consultant or Independent Director selected by the Committee (or the Board, in the case of an award to an Independent Director) may be granted Dividend Equivalents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color w:val="auto"/>
        </w:rPr>
        <w:t>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83"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u w:val="single" w:color="auto"/>
          <w:color w:val="auto"/>
        </w:rPr>
        <w:t>Stock Payments</w:t>
      </w:r>
      <w:r>
        <w:rPr>
          <w:rFonts w:ascii="Arial" w:cs="Arial" w:eastAsia="Arial" w:hAnsi="Arial"/>
          <w:sz w:val="16"/>
          <w:szCs w:val="16"/>
          <w:i w:val="1"/>
          <w:iCs w:val="1"/>
          <w:color w:val="auto"/>
        </w:rPr>
        <w:t>.</w:t>
      </w:r>
      <w:r>
        <w:rPr>
          <w:rFonts w:ascii="Arial" w:cs="Arial" w:eastAsia="Arial" w:hAnsi="Arial"/>
          <w:sz w:val="16"/>
          <w:szCs w:val="16"/>
          <w:color w:val="auto"/>
        </w:rPr>
        <w:t xml:space="preserve">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 The Committee may provide that the vesting of Stock Payments granted under the Plan which are intended to qualify as performance-based compensation as described in Section 162(m)(4)(C) of the Code shall occur upon the satisfaction of one or more performance goals based on the performance criteria set forth in Section 7.1.</w:t>
      </w:r>
    </w:p>
    <w:p>
      <w:pPr>
        <w:spacing w:after="0" w:line="72"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u w:val="single" w:color="auto"/>
          <w:color w:val="auto"/>
        </w:rPr>
        <w:t>Restricted Stock Units</w:t>
      </w:r>
      <w:r>
        <w:rPr>
          <w:rFonts w:ascii="Arial" w:cs="Arial" w:eastAsia="Arial" w:hAnsi="Arial"/>
          <w:sz w:val="16"/>
          <w:szCs w:val="16"/>
          <w:i w:val="1"/>
          <w:iCs w:val="1"/>
          <w:color w:val="auto"/>
        </w:rPr>
        <w:t>.</w:t>
      </w:r>
      <w:r>
        <w:rPr>
          <w:rFonts w:ascii="Arial" w:cs="Arial" w:eastAsia="Arial" w:hAnsi="Arial"/>
          <w:sz w:val="16"/>
          <w:szCs w:val="16"/>
          <w:color w:val="auto"/>
        </w:rPr>
        <w:t xml:space="preserve"> 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The Committee may provide that the vesting of Restricted Stock Units granted under the Plan which are intended to qualify as performance-based compensation as described in Section 162(m)(4)(C) of the Code shall occur upon the satisfaction of one or more performance goals based on the performance criteria set forth in Section 7.1.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7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u w:val="single" w:color="auto"/>
          <w:color w:val="auto"/>
        </w:rPr>
        <w:t>Performance Award Agreement, Dividend Equivalent Agreement, Restricted Stock Unit Agreement, Stock Payment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Each Performance Award, Dividend Equivalent, award of Restricted Stock Units and/or Stock Payment shall be evidenced</w:t>
      </w:r>
      <w:r>
        <w:rPr>
          <w:rFonts w:ascii="Arial" w:cs="Arial" w:eastAsia="Arial" w:hAnsi="Arial"/>
          <w:sz w:val="18"/>
          <w:szCs w:val="18"/>
          <w:i w:val="1"/>
          <w:iCs w:val="1"/>
          <w:color w:val="auto"/>
        </w:rPr>
        <w:t xml:space="preserve"> </w:t>
      </w:r>
      <w:r>
        <w:rPr>
          <w:rFonts w:ascii="Arial" w:cs="Arial" w:eastAsia="Arial" w:hAnsi="Arial"/>
          <w:sz w:val="18"/>
          <w:szCs w:val="18"/>
          <w:color w:val="auto"/>
        </w:rPr>
        <w:t>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94"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u w:val="single" w:color="auto"/>
          <w:color w:val="auto"/>
        </w:rPr>
        <w:t>Term</w:t>
      </w:r>
      <w:r>
        <w:rPr>
          <w:rFonts w:ascii="Arial" w:cs="Arial" w:eastAsia="Arial" w:hAnsi="Arial"/>
          <w:sz w:val="18"/>
          <w:szCs w:val="18"/>
          <w:i w:val="1"/>
          <w:iCs w:val="1"/>
          <w:color w:val="auto"/>
        </w:rPr>
        <w:t>.</w:t>
      </w:r>
      <w:r>
        <w:rPr>
          <w:rFonts w:ascii="Arial" w:cs="Arial" w:eastAsia="Arial" w:hAnsi="Arial"/>
          <w:sz w:val="18"/>
          <w:szCs w:val="18"/>
          <w:color w:val="auto"/>
        </w:rPr>
        <w:t xml:space="preserve"> The term of a Performance Award, Dividend Equivalent, award of Restricted Stock Unit and/or Stock Payment shall be set by the Committee (or the Board, in the case of an award to an Independent Director) in its discretion.</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u w:val="single" w:color="auto"/>
          <w:color w:val="auto"/>
        </w:rPr>
        <w:t>Exercise Upon 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99" w:lineRule="exact"/>
        <w:rPr>
          <w:sz w:val="20"/>
          <w:szCs w:val="20"/>
          <w:color w:val="auto"/>
        </w:rPr>
      </w:pPr>
    </w:p>
    <w:p>
      <w:pPr>
        <w:jc w:val="both"/>
        <w:ind w:left="700" w:right="20" w:firstLine="397"/>
        <w:spacing w:after="0" w:line="312"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i w:val="1"/>
          <w:iCs w:val="1"/>
          <w:u w:val="single" w:color="auto"/>
          <w:color w:val="auto"/>
        </w:rPr>
        <w:t>Payment on Exercise</w:t>
      </w:r>
      <w:r>
        <w:rPr>
          <w:rFonts w:ascii="Arial" w:cs="Arial" w:eastAsia="Arial" w:hAnsi="Arial"/>
          <w:sz w:val="16"/>
          <w:szCs w:val="16"/>
          <w:i w:val="1"/>
          <w:iCs w:val="1"/>
          <w:color w:val="auto"/>
        </w:rPr>
        <w:t>.</w:t>
      </w:r>
      <w:r>
        <w:rPr>
          <w:rFonts w:ascii="Arial" w:cs="Arial" w:eastAsia="Arial" w:hAnsi="Arial"/>
          <w:sz w:val="16"/>
          <w:szCs w:val="16"/>
          <w:color w:val="auto"/>
        </w:rPr>
        <w:t xml:space="preserve">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u w:val="single" w:color="auto"/>
          <w:color w:val="auto"/>
        </w:rPr>
        <w:t>Consideration</w:t>
      </w:r>
      <w:r>
        <w:rPr>
          <w:rFonts w:ascii="Arial" w:cs="Arial" w:eastAsia="Arial" w:hAnsi="Arial"/>
          <w:sz w:val="16"/>
          <w:szCs w:val="16"/>
          <w:i w:val="1"/>
          <w:iCs w:val="1"/>
          <w:color w:val="auto"/>
        </w:rPr>
        <w:t>.</w:t>
      </w:r>
      <w:r>
        <w:rPr>
          <w:rFonts w:ascii="Arial" w:cs="Arial" w:eastAsia="Arial" w:hAnsi="Arial"/>
          <w:sz w:val="16"/>
          <w:szCs w:val="16"/>
          <w:color w:val="auto"/>
        </w:rPr>
        <w:t xml:space="preserve">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VIII.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STOCK APPRECIATION RIGHTS</w:t>
      </w:r>
    </w:p>
    <w:p>
      <w:pPr>
        <w:spacing w:after="0" w:line="131"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u w:val="single" w:color="auto"/>
          <w:color w:val="auto"/>
        </w:rPr>
        <w:t>Grant of Stock Appreciation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Stock Appreciation Right shall have a term longer than six (6) years from the date the Stock Appreciation Right is granted. The Committee, in its discretion, may determine whether a Stock Appreciation Right is to qualify as performance-based compensation as described in Section 162(m)(4)(C) of the Code and Stock Appreciation Right Agreements evidencing Stock Appreciation Rights intended to so qualify shall contain such terms and conditions as may be necessary to meet the applicable provisions of Section 162(m) of the Code, including providing that the vesting of such Stock Appreciation Rights shall occur upon the satisfaction of one or more performance goals based on the performance criteria set forth in Section 7.1.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w:t>
      </w:r>
    </w:p>
    <w:p>
      <w:pPr>
        <w:spacing w:after="0" w:line="2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u w:val="single" w:color="auto"/>
          <w:color w:val="auto"/>
        </w:rPr>
        <w:t>Coupled Stock Appreciation Rights</w:t>
      </w:r>
      <w:r>
        <w:rPr>
          <w:rFonts w:ascii="Arial" w:cs="Arial" w:eastAsia="Arial" w:hAnsi="Arial"/>
          <w:sz w:val="18"/>
          <w:szCs w:val="18"/>
          <w:i w:val="1"/>
          <w:iCs w:val="1"/>
          <w:color w:val="auto"/>
        </w:rPr>
        <w:t>.</w:t>
      </w:r>
    </w:p>
    <w:p>
      <w:pPr>
        <w:spacing w:after="0" w:line="131" w:lineRule="exact"/>
        <w:rPr>
          <w:sz w:val="20"/>
          <w:szCs w:val="20"/>
          <w:color w:val="auto"/>
        </w:rPr>
      </w:pPr>
    </w:p>
    <w:p>
      <w:pPr>
        <w:ind w:left="700" w:right="60" w:firstLine="390"/>
        <w:spacing w:after="0" w:line="277" w:lineRule="auto"/>
        <w:tabs>
          <w:tab w:leader="none" w:pos="13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Coupled Stock Appreciation Right (“CSAR”) shall be related to a particular Option and shall be exercisable only when and to the extent the related Option is exercisable.</w:t>
      </w:r>
    </w:p>
    <w:p>
      <w:pPr>
        <w:spacing w:after="0" w:line="75" w:lineRule="exact"/>
        <w:rPr>
          <w:rFonts w:ascii="Arial" w:cs="Arial" w:eastAsia="Arial" w:hAnsi="Arial"/>
          <w:sz w:val="18"/>
          <w:szCs w:val="18"/>
          <w:color w:val="auto"/>
        </w:rPr>
      </w:pPr>
    </w:p>
    <w:p>
      <w:pPr>
        <w:ind w:left="700" w:right="480" w:firstLine="390"/>
        <w:spacing w:after="0" w:line="277" w:lineRule="auto"/>
        <w:tabs>
          <w:tab w:leader="none" w:pos="13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CSAR may be granted to the Grantee for no more than the number of shares subject to the simultaneously or previously granted Option to which it is coupled.</w:t>
      </w:r>
    </w:p>
    <w:p>
      <w:pPr>
        <w:spacing w:after="0" w:line="75" w:lineRule="exact"/>
        <w:rPr>
          <w:rFonts w:ascii="Arial" w:cs="Arial" w:eastAsia="Arial" w:hAnsi="Arial"/>
          <w:sz w:val="18"/>
          <w:szCs w:val="18"/>
          <w:color w:val="auto"/>
        </w:rPr>
      </w:pPr>
    </w:p>
    <w:p>
      <w:pPr>
        <w:ind w:left="700" w:right="140" w:firstLine="390"/>
        <w:spacing w:after="0" w:line="259" w:lineRule="auto"/>
        <w:tabs>
          <w:tab w:leader="none" w:pos="13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of Common Stock on the date of exercise of the CSAR by the number of shares of Common Stock with respect to which the CSAR shall have been exercised, subject to any limitations the Committee may impose.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u w:val="single" w:color="auto"/>
          <w:color w:val="auto"/>
        </w:rPr>
        <w:t>Independent Stock Appreciation Rights</w:t>
      </w:r>
      <w:r>
        <w:rPr>
          <w:rFonts w:ascii="Arial" w:cs="Arial" w:eastAsia="Arial" w:hAnsi="Arial"/>
          <w:sz w:val="18"/>
          <w:szCs w:val="18"/>
          <w:i w:val="1"/>
          <w:iCs w:val="1"/>
          <w:color w:val="auto"/>
        </w:rPr>
        <w:t>.</w:t>
      </w:r>
    </w:p>
    <w:p>
      <w:pPr>
        <w:spacing w:after="0" w:line="131" w:lineRule="exact"/>
        <w:rPr>
          <w:sz w:val="20"/>
          <w:szCs w:val="20"/>
          <w:color w:val="auto"/>
        </w:rPr>
      </w:pPr>
    </w:p>
    <w:p>
      <w:pPr>
        <w:ind w:left="1320" w:hanging="230"/>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Independent Stock Appreciation Right (“ISAR”) shall be unrelated to any Option and shall have a term set by the</w:t>
      </w:r>
    </w:p>
    <w:p>
      <w:pPr>
        <w:spacing w:after="0" w:line="23" w:lineRule="exact"/>
        <w:rPr>
          <w:rFonts w:ascii="Arial" w:cs="Arial" w:eastAsia="Arial" w:hAnsi="Arial"/>
          <w:sz w:val="18"/>
          <w:szCs w:val="18"/>
          <w:color w:val="auto"/>
        </w:rPr>
      </w:pPr>
    </w:p>
    <w:p>
      <w:pPr>
        <w:ind w:left="700" w:right="8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Committee. An ISAR shall be exercisable in such installments as the Committee may determine. An ISAR shall cover such number of shares of Common Stock as the Committee may determine;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price shall not be less than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87" w:lineRule="exact"/>
        <w:rPr>
          <w:rFonts w:ascii="Arial" w:cs="Arial" w:eastAsia="Arial" w:hAnsi="Arial"/>
          <w:sz w:val="18"/>
          <w:szCs w:val="18"/>
          <w:color w:val="auto"/>
        </w:rPr>
      </w:pPr>
    </w:p>
    <w:p>
      <w:pPr>
        <w:ind w:left="700" w:right="20" w:firstLine="390"/>
        <w:spacing w:after="0" w:line="257" w:lineRule="auto"/>
        <w:tabs>
          <w:tab w:leader="none" w:pos="13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u w:val="single" w:color="auto"/>
          <w:color w:val="auto"/>
        </w:rPr>
        <w:t>Payment and Limitations on Exercise</w:t>
      </w:r>
      <w:r>
        <w:rPr>
          <w:rFonts w:ascii="Arial" w:cs="Arial" w:eastAsia="Arial" w:hAnsi="Arial"/>
          <w:sz w:val="18"/>
          <w:szCs w:val="18"/>
          <w:i w:val="1"/>
          <w:iCs w:val="1"/>
          <w:color w:val="auto"/>
        </w:rPr>
        <w:t>.</w:t>
      </w:r>
    </w:p>
    <w:p>
      <w:pPr>
        <w:spacing w:after="0" w:line="131" w:lineRule="exact"/>
        <w:rPr>
          <w:sz w:val="20"/>
          <w:szCs w:val="20"/>
          <w:color w:val="auto"/>
        </w:rPr>
      </w:pPr>
    </w:p>
    <w:p>
      <w:pPr>
        <w:jc w:val="both"/>
        <w:ind w:left="700" w:firstLine="390"/>
        <w:spacing w:after="0" w:line="259" w:lineRule="auto"/>
        <w:tabs>
          <w:tab w:leader="none" w:pos="13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92" w:lineRule="exact"/>
        <w:rPr>
          <w:rFonts w:ascii="Arial" w:cs="Arial" w:eastAsia="Arial" w:hAnsi="Arial"/>
          <w:sz w:val="18"/>
          <w:szCs w:val="18"/>
          <w:color w:val="auto"/>
        </w:rPr>
      </w:pPr>
    </w:p>
    <w:p>
      <w:pPr>
        <w:ind w:left="700" w:right="240" w:firstLine="390"/>
        <w:spacing w:after="0" w:line="264" w:lineRule="auto"/>
        <w:tabs>
          <w:tab w:leader="none" w:pos="13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87" w:lineRule="exact"/>
        <w:rPr>
          <w:sz w:val="20"/>
          <w:szCs w:val="20"/>
          <w:color w:val="auto"/>
        </w:rPr>
      </w:pPr>
    </w:p>
    <w:p>
      <w:pPr>
        <w:ind w:left="700" w:right="100" w:firstLine="397"/>
        <w:spacing w:after="0" w:line="27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u w:val="single" w:color="auto"/>
          <w:color w:val="auto"/>
        </w:rPr>
        <w:t>Consideration</w:t>
      </w:r>
      <w:r>
        <w:rPr>
          <w:rFonts w:ascii="Arial" w:cs="Arial" w:eastAsia="Arial" w:hAnsi="Arial"/>
          <w:sz w:val="17"/>
          <w:szCs w:val="17"/>
          <w:i w:val="1"/>
          <w:iCs w:val="1"/>
          <w:color w:val="auto"/>
        </w:rPr>
        <w:t>.</w:t>
      </w:r>
      <w:r>
        <w:rPr>
          <w:rFonts w:ascii="Arial" w:cs="Arial" w:eastAsia="Arial" w:hAnsi="Arial"/>
          <w:sz w:val="17"/>
          <w:szCs w:val="17"/>
          <w:color w:val="auto"/>
        </w:rPr>
        <w:t xml:space="preserve"> As consideration for the granting of a Stock Appreciation Right, the Grantee shall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30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IX.</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ADMINISTRATION</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u w:val="single" w:color="auto"/>
          <w:color w:val="auto"/>
        </w:rPr>
        <w:t>Compensation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Compensation Committee (or another committee or a subcommittee of the Board assuming the functions of the Committee under this Plan) shall consist solely of two or more Independent Directors appointed by and holding office at the pleasure of the Board, each of whom is both a “non-employee director” as defined by Rule 16b-3 and an “outside director” for purposes of Section 162(m) of the Code.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Appointment of Committee members shall be effective upon acceptance of appointment. Committee members may resign at any time by delivering written notice to the Board. Vacancies in the Committee may be filled by the Board.</w:t>
      </w:r>
    </w:p>
    <w:p>
      <w:pPr>
        <w:spacing w:after="0" w:line="76" w:lineRule="exact"/>
        <w:rPr>
          <w:sz w:val="20"/>
          <w:szCs w:val="20"/>
          <w:color w:val="auto"/>
        </w:rPr>
      </w:pPr>
    </w:p>
    <w:p>
      <w:pPr>
        <w:ind w:left="700" w:right="20" w:firstLine="397"/>
        <w:spacing w:after="0" w:line="28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u w:val="single" w:color="auto"/>
          <w:color w:val="auto"/>
        </w:rPr>
        <w:t>Duties and Powers of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this Plan except with respect to matters which under Rule 16b-3 or Section 162(m) of the Code, or any regulations or rules issued thereunder, are required to be determined in the sole discretion of the Committee. To the extent permitted by applicable law, the Committee may from time to time delegate to a committee of one or more members of the Board or one or more officers of the Company the authority to grant or amend awards to Participants other than (a) senior executives of the Company who are subject to Section 16 of the Exchange Act, (b) any Employee who is, or could be, a “covered employee” within the meaning of Section 162(m) of the Code, or</w:t>
      </w:r>
    </w:p>
    <w:p>
      <w:pPr>
        <w:spacing w:after="0" w:line="2" w:lineRule="exact"/>
        <w:rPr>
          <w:sz w:val="20"/>
          <w:szCs w:val="20"/>
          <w:color w:val="auto"/>
        </w:rPr>
      </w:pPr>
    </w:p>
    <w:p>
      <w:pPr>
        <w:ind w:left="700" w:hanging="7"/>
        <w:spacing w:after="0" w:line="254" w:lineRule="auto"/>
        <w:tabs>
          <w:tab w:leader="none" w:pos="9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95"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u w:val="single" w:color="auto"/>
          <w:color w:val="auto"/>
        </w:rPr>
        <w:t>Majority Rule; Unanimous Written Consent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Committee shall act by a majority of its members in attendance at a meeting at which a quorum is present or by a memorandum or other written instrument signed by all members of the Committee.</w:t>
      </w:r>
    </w:p>
    <w:p>
      <w:pPr>
        <w:spacing w:after="0" w:line="52"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u w:val="single" w:color="auto"/>
          <w:color w:val="auto"/>
        </w:rPr>
        <w:t>Compensation; Professional Assistance; Good Faith Actions</w:t>
      </w:r>
      <w:r>
        <w:rPr>
          <w:rFonts w:ascii="Arial" w:cs="Arial" w:eastAsia="Arial" w:hAnsi="Arial"/>
          <w:sz w:val="17"/>
          <w:szCs w:val="17"/>
          <w:i w:val="1"/>
          <w:iCs w:val="1"/>
          <w:color w:val="auto"/>
        </w:rPr>
        <w:t>.</w:t>
      </w:r>
      <w:r>
        <w:rPr>
          <w:rFonts w:ascii="Arial" w:cs="Arial" w:eastAsia="Arial" w:hAnsi="Arial"/>
          <w:sz w:val="17"/>
          <w:szCs w:val="17"/>
          <w:color w:val="auto"/>
        </w:rPr>
        <w:t xml:space="preserve">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305"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ARTICLE X.</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MISCELLANEOUS PROVISIONS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u w:val="single" w:color="auto"/>
          <w:color w:val="auto"/>
        </w:rPr>
        <w:t>Not Transferable</w:t>
      </w:r>
      <w:r>
        <w:rPr>
          <w:rFonts w:ascii="Arial" w:cs="Arial" w:eastAsia="Arial" w:hAnsi="Arial"/>
          <w:sz w:val="17"/>
          <w:szCs w:val="17"/>
          <w:i w:val="1"/>
          <w:iCs w:val="1"/>
          <w:color w:val="auto"/>
        </w:rPr>
        <w:t>.</w:t>
      </w:r>
      <w:r>
        <w:rPr>
          <w:rFonts w:ascii="Arial" w:cs="Arial" w:eastAsia="Arial" w:hAnsi="Arial"/>
          <w:sz w:val="17"/>
          <w:szCs w:val="17"/>
          <w:color w:val="auto"/>
        </w:rPr>
        <w:t xml:space="preserve"> 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80"/>
        <w:spacing w:after="0" w:line="264" w:lineRule="auto"/>
        <w:rPr>
          <w:sz w:val="20"/>
          <w:szCs w:val="20"/>
          <w:color w:val="auto"/>
        </w:rPr>
      </w:pPr>
      <w:r>
        <w:rPr>
          <w:rFonts w:ascii="Arial" w:cs="Arial" w:eastAsia="Arial" w:hAnsi="Arial"/>
          <w:sz w:val="18"/>
          <w:szCs w:val="18"/>
          <w:color w:val="auto"/>
        </w:rPr>
        <w:t>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87"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6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u w:val="single" w:color="auto"/>
          <w:color w:val="auto"/>
        </w:rPr>
        <w:t>Amendment, Suspension or Termination of this Plan</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otherwise provided in this Section 10.2, this Plan may be wholly or partially amended or otherwise modified, suspended or terminated at any time or from time to time by the Board or the Committee. However, without approval of the Company’s 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the first to occur of the following events:</w:t>
      </w:r>
    </w:p>
    <w:p>
      <w:pPr>
        <w:spacing w:after="0" w:line="91" w:lineRule="exact"/>
        <w:rPr>
          <w:sz w:val="20"/>
          <w:szCs w:val="20"/>
          <w:color w:val="auto"/>
        </w:rPr>
      </w:pPr>
    </w:p>
    <w:p>
      <w:pPr>
        <w:ind w:left="1720" w:hanging="249"/>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is adopted by the Board; or</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expiration of ten years from the date the Plan is approved by the Company’s stockholders under Section 10.4.</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u w:val="single" w:color="auto"/>
          <w:color w:val="auto"/>
        </w:rPr>
        <w:t>Changes in Common Stock or Assets of the Company, Acquisition or Liquidation of the Company and Other Corporate Events</w:t>
      </w:r>
      <w:r>
        <w:rPr>
          <w:rFonts w:ascii="Arial" w:cs="Arial" w:eastAsia="Arial" w:hAnsi="Arial"/>
          <w:sz w:val="18"/>
          <w:szCs w:val="18"/>
          <w:i w:val="1"/>
          <w:iCs w:val="1"/>
          <w:color w:val="auto"/>
        </w:rPr>
        <w:t>.</w:t>
      </w:r>
    </w:p>
    <w:p>
      <w:pPr>
        <w:spacing w:after="0" w:line="131" w:lineRule="exact"/>
        <w:rPr>
          <w:sz w:val="20"/>
          <w:szCs w:val="20"/>
          <w:color w:val="auto"/>
        </w:rPr>
      </w:pPr>
    </w:p>
    <w:p>
      <w:pPr>
        <w:ind w:left="700" w:firstLine="390"/>
        <w:spacing w:after="0" w:line="287" w:lineRule="auto"/>
        <w:tabs>
          <w:tab w:leader="none" w:pos="1342"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74" w:lineRule="exact"/>
        <w:rPr>
          <w:rFonts w:ascii="Arial" w:cs="Arial" w:eastAsia="Arial" w:hAnsi="Arial"/>
          <w:sz w:val="16"/>
          <w:szCs w:val="16"/>
          <w:color w:val="auto"/>
        </w:rPr>
      </w:pPr>
    </w:p>
    <w:p>
      <w:pPr>
        <w:ind w:left="1080" w:right="20" w:firstLine="391"/>
        <w:spacing w:after="0" w:line="259" w:lineRule="auto"/>
        <w:tabs>
          <w:tab w:leader="none" w:pos="16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of shares which may be issued, adjustments of the Award Limit and adjustments of the manner in which shares subject to Full Value Awards will be counted),</w:t>
      </w:r>
    </w:p>
    <w:p>
      <w:pPr>
        <w:spacing w:after="0" w:line="76" w:lineRule="exact"/>
        <w:rPr>
          <w:sz w:val="20"/>
          <w:szCs w:val="20"/>
          <w:color w:val="auto"/>
        </w:rPr>
      </w:pPr>
    </w:p>
    <w:p>
      <w:pPr>
        <w:ind w:left="1080" w:right="420" w:firstLine="391"/>
        <w:spacing w:after="0" w:line="264" w:lineRule="auto"/>
        <w:tabs>
          <w:tab w:leader="none" w:pos="172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 and</w:t>
      </w:r>
    </w:p>
    <w:p>
      <w:pPr>
        <w:spacing w:after="0" w:line="86" w:lineRule="exact"/>
        <w:rPr>
          <w:rFonts w:ascii="Arial" w:cs="Arial" w:eastAsia="Arial" w:hAnsi="Arial"/>
          <w:sz w:val="18"/>
          <w:szCs w:val="18"/>
          <w:color w:val="auto"/>
        </w:rPr>
      </w:pPr>
    </w:p>
    <w:p>
      <w:pPr>
        <w:ind w:left="1080" w:right="360" w:firstLine="391"/>
        <w:spacing w:after="0" w:line="277" w:lineRule="auto"/>
        <w:tabs>
          <w:tab w:leader="none" w:pos="17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grant or exercise price with respect to any Option, Restricted Stock Unit, Performance Award, Stock Appreciation Right, Dividend Equivalent or Stock Payment, and</w:t>
      </w:r>
    </w:p>
    <w:p>
      <w:pPr>
        <w:spacing w:after="0" w:line="75" w:lineRule="exact"/>
        <w:rPr>
          <w:rFonts w:ascii="Arial" w:cs="Arial" w:eastAsia="Arial" w:hAnsi="Arial"/>
          <w:sz w:val="18"/>
          <w:szCs w:val="18"/>
          <w:color w:val="auto"/>
        </w:rPr>
      </w:pPr>
    </w:p>
    <w:p>
      <w:pPr>
        <w:ind w:left="1080" w:right="220" w:firstLine="391"/>
        <w:spacing w:after="0" w:line="277" w:lineRule="auto"/>
        <w:tabs>
          <w:tab w:leader="none" w:pos="176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for which automatic grants of Options are subsequently to be made to new and continuing Independent Directors pursuant to Section 3.4(d).</w:t>
      </w:r>
    </w:p>
    <w:p>
      <w:pPr>
        <w:spacing w:after="0" w:line="75" w:lineRule="exact"/>
        <w:rPr>
          <w:rFonts w:ascii="Arial" w:cs="Arial" w:eastAsia="Arial" w:hAnsi="Arial"/>
          <w:sz w:val="18"/>
          <w:szCs w:val="18"/>
          <w:color w:val="auto"/>
        </w:rPr>
      </w:pPr>
    </w:p>
    <w:p>
      <w:pPr>
        <w:ind w:left="700" w:right="20" w:firstLine="390"/>
        <w:spacing w:after="0" w:line="271" w:lineRule="auto"/>
        <w:tabs>
          <w:tab w:leader="none" w:pos="1352"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84" w:lineRule="exact"/>
        <w:rPr>
          <w:rFonts w:ascii="Arial" w:cs="Arial" w:eastAsia="Arial" w:hAnsi="Arial"/>
          <w:sz w:val="17"/>
          <w:szCs w:val="17"/>
          <w:color w:val="auto"/>
        </w:rPr>
      </w:pPr>
    </w:p>
    <w:p>
      <w:pPr>
        <w:ind w:left="1080" w:right="60" w:firstLine="391"/>
        <w:spacing w:after="0" w:line="271" w:lineRule="auto"/>
        <w:tabs>
          <w:tab w:leader="none" w:pos="1676" w:val="left"/>
        </w:tabs>
        <w:numPr>
          <w:ilvl w:val="1"/>
          <w:numId w:val="58"/>
        </w:numPr>
        <w:rPr>
          <w:rFonts w:ascii="Arial" w:cs="Arial" w:eastAsia="Arial" w:hAnsi="Arial"/>
          <w:sz w:val="17"/>
          <w:szCs w:val="17"/>
          <w:color w:val="auto"/>
        </w:rPr>
      </w:pPr>
      <w:r>
        <w:rPr>
          <w:rFonts w:ascii="Arial" w:cs="Arial" w:eastAsia="Arial" w:hAnsi="Arial"/>
          <w:sz w:val="17"/>
          <w:szCs w:val="17"/>
          <w:color w:val="auto"/>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optionee’s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optionee’s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84" w:lineRule="exact"/>
        <w:rPr>
          <w:rFonts w:ascii="Arial" w:cs="Arial" w:eastAsia="Arial" w:hAnsi="Arial"/>
          <w:sz w:val="17"/>
          <w:szCs w:val="17"/>
          <w:color w:val="auto"/>
        </w:rPr>
      </w:pPr>
    </w:p>
    <w:p>
      <w:pPr>
        <w:ind w:left="1080" w:right="100" w:firstLine="391"/>
        <w:spacing w:after="0" w:line="259" w:lineRule="auto"/>
        <w:tabs>
          <w:tab w:leader="none" w:pos="1726"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92" w:lineRule="exact"/>
        <w:rPr>
          <w:rFonts w:ascii="Arial" w:cs="Arial" w:eastAsia="Arial" w:hAnsi="Arial"/>
          <w:sz w:val="18"/>
          <w:szCs w:val="18"/>
          <w:color w:val="auto"/>
        </w:rPr>
      </w:pPr>
    </w:p>
    <w:p>
      <w:pPr>
        <w:ind w:left="1080" w:firstLine="391"/>
        <w:spacing w:after="0" w:line="285" w:lineRule="auto"/>
        <w:tabs>
          <w:tab w:leader="none" w:pos="1776"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w:t>
      </w:r>
    </w:p>
    <w:p>
      <w:pPr>
        <w:spacing w:after="0" w:line="2" w:lineRule="exact"/>
        <w:rPr>
          <w:rFonts w:ascii="Arial" w:cs="Arial" w:eastAsia="Arial" w:hAnsi="Arial"/>
          <w:sz w:val="16"/>
          <w:szCs w:val="16"/>
          <w:color w:val="auto"/>
        </w:rPr>
      </w:pPr>
    </w:p>
    <w:p>
      <w:pPr>
        <w:ind w:left="1080" w:right="140" w:firstLine="10"/>
        <w:spacing w:after="0" w:line="261" w:lineRule="auto"/>
        <w:tabs>
          <w:tab w:leader="none" w:pos="12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4.4 or (ii) the provisions of such Option, Performance Award, Stock Appreciation Right, Dividend Equivalent, or Stock Payment, or Restricted Stock or Restricted Stock Unit award;</w:t>
      </w:r>
    </w:p>
    <w:p>
      <w:pPr>
        <w:spacing w:after="0" w:line="89" w:lineRule="exact"/>
        <w:rPr>
          <w:rFonts w:ascii="Arial" w:cs="Arial" w:eastAsia="Arial" w:hAnsi="Arial"/>
          <w:sz w:val="18"/>
          <w:szCs w:val="18"/>
          <w:color w:val="auto"/>
        </w:rPr>
      </w:pPr>
    </w:p>
    <w:p>
      <w:pPr>
        <w:jc w:val="both"/>
        <w:ind w:left="1080" w:right="20" w:firstLine="391"/>
        <w:spacing w:after="0" w:line="297" w:lineRule="auto"/>
        <w:tabs>
          <w:tab w:leader="none" w:pos="17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77" w:lineRule="auto"/>
        <w:rPr>
          <w:sz w:val="20"/>
          <w:szCs w:val="20"/>
          <w:color w:val="auto"/>
        </w:rPr>
      </w:pPr>
      <w:r>
        <w:rPr>
          <w:rFonts w:ascii="Arial" w:cs="Arial" w:eastAsia="Arial" w:hAnsi="Arial"/>
          <w:sz w:val="18"/>
          <w:szCs w:val="18"/>
          <w:color w:val="auto"/>
        </w:rPr>
        <w:t>covering the stock of the successor or survivor corporation, or a parent or subsidiary thereof, with appropriate adjustments as to the number and kind of shares and prices;</w:t>
      </w:r>
    </w:p>
    <w:p>
      <w:pPr>
        <w:spacing w:after="0" w:line="76" w:lineRule="exact"/>
        <w:rPr>
          <w:sz w:val="20"/>
          <w:szCs w:val="20"/>
          <w:color w:val="auto"/>
        </w:rPr>
      </w:pPr>
    </w:p>
    <w:p>
      <w:pPr>
        <w:ind w:left="1080" w:right="60" w:firstLine="391"/>
        <w:spacing w:after="0" w:line="273" w:lineRule="auto"/>
        <w:tabs>
          <w:tab w:leader="none" w:pos="1716"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83" w:lineRule="exact"/>
        <w:rPr>
          <w:rFonts w:ascii="Arial" w:cs="Arial" w:eastAsia="Arial" w:hAnsi="Arial"/>
          <w:sz w:val="17"/>
          <w:szCs w:val="17"/>
          <w:color w:val="auto"/>
        </w:rPr>
      </w:pPr>
    </w:p>
    <w:p>
      <w:pPr>
        <w:ind w:left="1080" w:right="120" w:firstLine="391"/>
        <w:spacing w:after="0" w:line="257" w:lineRule="auto"/>
        <w:tabs>
          <w:tab w:leader="none" w:pos="17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93" w:lineRule="exact"/>
        <w:rPr>
          <w:rFonts w:ascii="Arial" w:cs="Arial" w:eastAsia="Arial" w:hAnsi="Arial"/>
          <w:sz w:val="18"/>
          <w:szCs w:val="18"/>
          <w:color w:val="auto"/>
        </w:rPr>
      </w:pPr>
    </w:p>
    <w:p>
      <w:pPr>
        <w:ind w:left="1080" w:right="60" w:firstLine="391"/>
        <w:spacing w:after="0" w:line="287" w:lineRule="auto"/>
        <w:tabs>
          <w:tab w:leader="none" w:pos="1816" w:val="left"/>
        </w:tabs>
        <w:numPr>
          <w:ilvl w:val="1"/>
          <w:numId w:val="60"/>
        </w:numPr>
        <w:rPr>
          <w:rFonts w:ascii="Arial" w:cs="Arial" w:eastAsia="Arial" w:hAnsi="Arial"/>
          <w:sz w:val="16"/>
          <w:szCs w:val="16"/>
          <w:color w:val="auto"/>
        </w:rPr>
      </w:pPr>
      <w:r>
        <w:rPr>
          <w:rFonts w:ascii="Arial" w:cs="Arial" w:eastAsia="Arial" w:hAnsi="Arial"/>
          <w:sz w:val="16"/>
          <w:szCs w:val="16"/>
          <w:color w:val="auto"/>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Options.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74" w:lineRule="exact"/>
        <w:rPr>
          <w:rFonts w:ascii="Arial" w:cs="Arial" w:eastAsia="Arial" w:hAnsi="Arial"/>
          <w:sz w:val="16"/>
          <w:szCs w:val="16"/>
          <w:color w:val="auto"/>
        </w:rPr>
      </w:pPr>
    </w:p>
    <w:p>
      <w:pPr>
        <w:ind w:left="700" w:right="20" w:firstLine="390"/>
        <w:spacing w:after="0" w:line="259" w:lineRule="auto"/>
        <w:tabs>
          <w:tab w:leader="none" w:pos="13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Sections 10.3(d) and 10.8,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92" w:lineRule="exact"/>
        <w:rPr>
          <w:rFonts w:ascii="Arial" w:cs="Arial" w:eastAsia="Arial" w:hAnsi="Arial"/>
          <w:sz w:val="18"/>
          <w:szCs w:val="18"/>
          <w:color w:val="auto"/>
        </w:rPr>
      </w:pPr>
    </w:p>
    <w:p>
      <w:pPr>
        <w:ind w:left="1340" w:hanging="250"/>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Incentive Stock Options and awards intended to qualify as performance-based compensation under</w:t>
      </w:r>
    </w:p>
    <w:p>
      <w:pPr>
        <w:spacing w:after="0" w:line="23" w:lineRule="exact"/>
        <w:rPr>
          <w:sz w:val="20"/>
          <w:szCs w:val="20"/>
          <w:color w:val="auto"/>
        </w:rPr>
      </w:pPr>
    </w:p>
    <w:p>
      <w:pPr>
        <w:ind w:left="700"/>
        <w:spacing w:after="0" w:line="269" w:lineRule="auto"/>
        <w:rPr>
          <w:sz w:val="20"/>
          <w:szCs w:val="20"/>
          <w:color w:val="auto"/>
        </w:rPr>
      </w:pPr>
      <w:r>
        <w:rPr>
          <w:rFonts w:ascii="Arial" w:cs="Arial" w:eastAsia="Arial" w:hAnsi="Arial"/>
          <w:sz w:val="17"/>
          <w:szCs w:val="17"/>
          <w:color w:val="auto"/>
        </w:rPr>
        <w:t>Section 162(m), no adjustment or action described in this Section 10.3 or in any other provision of the Plan shall be authorized to the extent that such adjustment or action would cause the Plan to violate Section 422(b)(1) of the Code or would cause such award to fail to so qualify under Section 162(m), as the case may be, or any successor provisions thereto.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86" w:lineRule="exact"/>
        <w:rPr>
          <w:sz w:val="20"/>
          <w:szCs w:val="20"/>
          <w:color w:val="auto"/>
        </w:rPr>
      </w:pPr>
    </w:p>
    <w:p>
      <w:pPr>
        <w:ind w:left="700" w:right="40" w:firstLine="390"/>
        <w:spacing w:after="0" w:line="277" w:lineRule="auto"/>
        <w:tabs>
          <w:tab w:leader="none" w:pos="13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Sections 10.3(a) and 10.3(b):</w:t>
      </w:r>
    </w:p>
    <w:p>
      <w:pPr>
        <w:spacing w:after="0" w:line="75" w:lineRule="exact"/>
        <w:rPr>
          <w:rFonts w:ascii="Arial" w:cs="Arial" w:eastAsia="Arial" w:hAnsi="Arial"/>
          <w:sz w:val="18"/>
          <w:szCs w:val="18"/>
          <w:color w:val="auto"/>
        </w:rPr>
      </w:pPr>
    </w:p>
    <w:p>
      <w:pPr>
        <w:ind w:left="1080" w:right="280" w:firstLine="391"/>
        <w:spacing w:after="0" w:line="264" w:lineRule="auto"/>
        <w:tabs>
          <w:tab w:leader="none" w:pos="16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86" w:lineRule="exact"/>
        <w:rPr>
          <w:rFonts w:ascii="Arial" w:cs="Arial" w:eastAsia="Arial" w:hAnsi="Arial"/>
          <w:sz w:val="18"/>
          <w:szCs w:val="18"/>
          <w:color w:val="auto"/>
        </w:rPr>
      </w:pPr>
    </w:p>
    <w:p>
      <w:pPr>
        <w:ind w:left="1080" w:right="760" w:firstLine="391"/>
        <w:spacing w:after="0" w:line="277" w:lineRule="auto"/>
        <w:tabs>
          <w:tab w:leader="none" w:pos="172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Committee (or the Board, in the case of awards granted to Independent Directors) shall make such equitable adjustments, if any, as the Committee may deem appropriate to reflect such Equity</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60"/>
        <w:spacing w:after="0" w:line="312" w:lineRule="auto"/>
        <w:rPr>
          <w:sz w:val="20"/>
          <w:szCs w:val="20"/>
          <w:color w:val="auto"/>
        </w:rPr>
      </w:pPr>
      <w:r>
        <w:rPr>
          <w:rFonts w:ascii="Arial" w:cs="Arial" w:eastAsia="Arial" w:hAnsi="Arial"/>
          <w:sz w:val="16"/>
          <w:szCs w:val="16"/>
          <w:color w:val="auto"/>
        </w:rPr>
        <w:t>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52"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u w:val="single" w:color="auto"/>
          <w:color w:val="auto"/>
        </w:rPr>
        <w:t>Approval of Plan by Stockholders</w:t>
      </w:r>
      <w:r>
        <w:rPr>
          <w:rFonts w:ascii="Arial" w:cs="Arial" w:eastAsia="Arial" w:hAnsi="Arial"/>
          <w:sz w:val="16"/>
          <w:szCs w:val="16"/>
          <w:i w:val="1"/>
          <w:iCs w:val="1"/>
          <w:color w:val="auto"/>
        </w:rPr>
        <w:t>.</w:t>
      </w:r>
      <w:r>
        <w:rPr>
          <w:rFonts w:ascii="Arial" w:cs="Arial" w:eastAsia="Arial" w:hAnsi="Arial"/>
          <w:sz w:val="16"/>
          <w:szCs w:val="16"/>
          <w:color w:val="auto"/>
        </w:rPr>
        <w:t xml:space="preserve"> This Plan will be submitted for the approval of the Company’s stockholders within twelve months after the date of the Board’s initial adoption of this Plan. Options, Restricted Stock Units, Performance Awards, Stock Appreciation Rights, Dividend Equivalents or Stock Payments may be granted and Restricted Stock may be awarded prior to such stockholder approval, provided that such Options, Performance Awards, Stock Appreciation Rights, Dividend Equivalents or Stock Payments shall not be exercisable and such Restricted Stock or Restricted Stock Units shall not vest prior to the time when this Plan is approved by the stockholders, and provided further that if such approval has not been obtained at the end of said twelve-month period, all Options, Performance Awards, Stock Appreciation Rights, Dividend Equivalents or Stock Payments previously granted and all Restricted Stock or Restricted Stock Units previously awarded under this Plan shall thereupon be canceled and become null and void.</w:t>
      </w:r>
    </w:p>
    <w:p>
      <w:pPr>
        <w:spacing w:after="0" w:line="72"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u w:val="single" w:color="auto"/>
          <w:color w:val="auto"/>
        </w:rPr>
        <w:t>Tax Withholding</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be entitled to require payment in cash or deduction from other compensation payable to each Optionee, Grantee or Restricted Stockholder of any sums required by federal, state or local tax law to be withheld with respect to the issuance, vesting or exercise of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elect to have the Company withhold shares of Common Stock otherwise issuable under such Option or other award (or allow the return of shares of Common Stock) having a Fair Market Value equal to the minimum amounts required to be withheld.</w:t>
      </w:r>
    </w:p>
    <w:p>
      <w:pPr>
        <w:spacing w:after="0" w:line="73"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u w:val="single" w:color="auto"/>
          <w:color w:val="auto"/>
        </w:rPr>
        <w:t>Loans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99"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i w:val="1"/>
          <w:iCs w:val="1"/>
          <w:u w:val="single" w:color="auto"/>
          <w:color w:val="auto"/>
        </w:rPr>
        <w:t>Forfeiture Provisions</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7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i w:val="1"/>
          <w:iCs w:val="1"/>
          <w:u w:val="single" w:color="auto"/>
          <w:color w:val="auto"/>
        </w:rPr>
        <w:t>Limitations Applicable to Section 16 Persons and Performance-Based Compensation</w:t>
      </w:r>
      <w:r>
        <w:rPr>
          <w:rFonts w:ascii="Arial" w:cs="Arial" w:eastAsia="Arial" w:hAnsi="Arial"/>
          <w:sz w:val="17"/>
          <w:szCs w:val="17"/>
          <w:i w:val="1"/>
          <w:iCs w:val="1"/>
          <w:color w:val="auto"/>
        </w:rPr>
        <w:t>.</w:t>
      </w:r>
      <w:r>
        <w:rPr>
          <w:rFonts w:ascii="Arial" w:cs="Arial" w:eastAsia="Arial" w:hAnsi="Arial"/>
          <w:sz w:val="17"/>
          <w:szCs w:val="17"/>
          <w:color w:val="auto"/>
        </w:rPr>
        <w:t xml:space="preserve">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be deemed amended to the extent necessary to conform to such applicable exemptive rule. Furthermore, notwithstanding any other provision of this Plan, any Option, Performance Award, Stock Appreciation Right, Dividend Equivalent, Stock Payment, Restricted Stock or Restricted Stock Unit intended to qualify as performance-based compensation as described in Section 162(m)(4)(C)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 and this Plan shall be deemed amended to the extent necessary to conform to such requirements.</w:t>
      </w:r>
    </w:p>
    <w:p>
      <w:pPr>
        <w:spacing w:after="0" w:line="95" w:lineRule="exact"/>
        <w:rPr>
          <w:sz w:val="20"/>
          <w:szCs w:val="20"/>
          <w:color w:val="auto"/>
        </w:rPr>
      </w:pPr>
    </w:p>
    <w:p>
      <w:pPr>
        <w:ind w:left="700" w:right="200" w:firstLine="397"/>
        <w:spacing w:after="0" w:line="291"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i w:val="1"/>
          <w:iCs w:val="1"/>
          <w:u w:val="single" w:color="auto"/>
          <w:color w:val="auto"/>
        </w:rPr>
        <w:t>Effect of Plan Upon Options and Compensation Plans</w:t>
      </w:r>
      <w:r>
        <w:rPr>
          <w:rFonts w:ascii="Arial" w:cs="Arial" w:eastAsia="Arial" w:hAnsi="Arial"/>
          <w:sz w:val="16"/>
          <w:szCs w:val="16"/>
          <w:i w:val="1"/>
          <w:iCs w:val="1"/>
          <w:color w:val="auto"/>
        </w:rPr>
        <w:t>.</w:t>
      </w:r>
      <w:r>
        <w:rPr>
          <w:rFonts w:ascii="Arial" w:cs="Arial" w:eastAsia="Arial" w:hAnsi="Arial"/>
          <w:sz w:val="16"/>
          <w:szCs w:val="16"/>
          <w:color w:val="auto"/>
        </w:rPr>
        <w:t xml:space="preserve"> The adoption of this Plan shall not affect any other compensation or incentive plans in effect for the Company or any Subsidiary. Nothing in this Plan shall be construed to limit the right of the Company</w:t>
      </w:r>
    </w:p>
    <w:p>
      <w:pPr>
        <w:ind w:left="700" w:hanging="7"/>
        <w:spacing w:after="0" w:line="295" w:lineRule="auto"/>
        <w:tabs>
          <w:tab w:leader="none" w:pos="91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67" w:lineRule="exact"/>
        <w:rPr>
          <w:sz w:val="20"/>
          <w:szCs w:val="20"/>
          <w:color w:val="auto"/>
        </w:rPr>
      </w:pPr>
    </w:p>
    <w:p>
      <w:pPr>
        <w:ind w:left="700" w:right="80" w:firstLine="397"/>
        <w:spacing w:after="0" w:line="287"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i w:val="1"/>
          <w:iCs w:val="1"/>
          <w:u w:val="single" w:color="auto"/>
          <w:color w:val="auto"/>
        </w:rPr>
        <w:t>Compliance with Laws</w:t>
      </w:r>
      <w:r>
        <w:rPr>
          <w:rFonts w:ascii="Arial" w:cs="Arial" w:eastAsia="Arial" w:hAnsi="Arial"/>
          <w:sz w:val="16"/>
          <w:szCs w:val="16"/>
          <w:i w:val="1"/>
          <w:iCs w:val="1"/>
          <w:color w:val="auto"/>
        </w:rPr>
        <w:t>.</w:t>
      </w:r>
      <w:r>
        <w:rPr>
          <w:rFonts w:ascii="Arial" w:cs="Arial" w:eastAsia="Arial" w:hAnsi="Arial"/>
          <w:sz w:val="16"/>
          <w:szCs w:val="16"/>
          <w:color w:val="auto"/>
        </w:rPr>
        <w:t xml:space="preserve">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i w:val="1"/>
          <w:iCs w:val="1"/>
          <w:u w:val="single" w:color="auto"/>
          <w:color w:val="auto"/>
        </w:rPr>
        <w:t>Titles</w:t>
      </w:r>
      <w:r>
        <w:rPr>
          <w:rFonts w:ascii="Arial" w:cs="Arial" w:eastAsia="Arial" w:hAnsi="Arial"/>
          <w:sz w:val="16"/>
          <w:szCs w:val="16"/>
          <w:i w:val="1"/>
          <w:iCs w:val="1"/>
          <w:color w:val="auto"/>
        </w:rPr>
        <w:t>.</w:t>
      </w:r>
      <w:r>
        <w:rPr>
          <w:rFonts w:ascii="Arial" w:cs="Arial" w:eastAsia="Arial" w:hAnsi="Arial"/>
          <w:sz w:val="16"/>
          <w:szCs w:val="16"/>
          <w:color w:val="auto"/>
        </w:rPr>
        <w:t xml:space="preserve"> Titles are provided herein for convenience only and are not to serve as a basis for interpretation or construction of this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Plan.</w:t>
      </w:r>
    </w:p>
    <w:p>
      <w:pPr>
        <w:spacing w:after="0" w:line="116"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w:t>
      </w:r>
      <w:r>
        <w:rPr>
          <w:rFonts w:ascii="Arial" w:cs="Arial" w:eastAsia="Arial" w:hAnsi="Arial"/>
          <w:sz w:val="18"/>
          <w:szCs w:val="18"/>
          <w:color w:val="auto"/>
        </w:rPr>
        <w:t xml:space="preserve"> This Plan and any agreements hereunder shall be administered, interpreted and enforced under the internal laws of the State of California without regard to conflicts of laws thereof.</w:t>
      </w:r>
    </w:p>
    <w:p>
      <w:pPr>
        <w:spacing w:after="0" w:line="76"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i w:val="1"/>
          <w:iCs w:val="1"/>
          <w:u w:val="single" w:color="auto"/>
          <w:color w:val="auto"/>
        </w:rPr>
        <w:t>Section 409A</w:t>
      </w:r>
      <w:r>
        <w:rPr>
          <w:rFonts w:ascii="Arial" w:cs="Arial" w:eastAsia="Arial" w:hAnsi="Arial"/>
          <w:sz w:val="16"/>
          <w:szCs w:val="16"/>
          <w:i w:val="1"/>
          <w:iCs w:val="1"/>
          <w:color w:val="auto"/>
        </w:rPr>
        <w:t>.</w:t>
      </w:r>
      <w:r>
        <w:rPr>
          <w:rFonts w:ascii="Arial" w:cs="Arial" w:eastAsia="Arial" w:hAnsi="Arial"/>
          <w:sz w:val="16"/>
          <w:szCs w:val="16"/>
          <w:color w:val="auto"/>
        </w:rPr>
        <w:t xml:space="preserve">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3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0430" cy="7891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789178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237490</wp:posOffset>
            </wp:positionV>
            <wp:extent cx="6174740" cy="6715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4740" cy="671512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o"/>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6"/>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3"/>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
    </w:lvl>
    <w:lvl w:ilvl="1">
      <w:lvlJc w:val="left"/>
      <w:lvlText w:val="(%2)"/>
      <w:numFmt w:val="lowerRoman"/>
      <w:start w:val="1"/>
    </w:lvl>
  </w:abstractNum>
  <w:abstractNum w:abstractNumId="37">
    <w:nsid w:val="3DC240FB"/>
    <w:multiLevelType w:val="hybridMultilevel"/>
    <w:lvl w:ilvl="0">
      <w:lvlJc w:val="left"/>
      <w:lvlText w:val="%1"/>
      <w:numFmt w:val="lowerLetter"/>
      <w:start w:val="1"/>
    </w:lvl>
    <w:lvl w:ilvl="1">
      <w:lvlJc w:val="left"/>
      <w:lvlText w:val="(%2)"/>
      <w:numFmt w:val="lowerRoman"/>
      <w:start w:val="4"/>
    </w:lvl>
  </w:abstractNum>
  <w:abstractNum w:abstractNumId="38">
    <w:nsid w:val="1BA026FA"/>
    <w:multiLevelType w:val="hybridMultilevel"/>
    <w:lvl w:ilvl="0">
      <w:lvlJc w:val="left"/>
      <w:lvlText w:val="(%1)"/>
      <w:numFmt w:val="lowerLetter"/>
      <w:start w:val="2"/>
    </w:lvl>
    <w:lvl w:ilvl="1">
      <w:lvlJc w:val="left"/>
      <w:lvlText w:val="%2"/>
      <w:numFmt w:val="lowerRoman"/>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1"/>
    </w:lvl>
    <w:lvl w:ilvl="1">
      <w:lvlJc w:val="left"/>
      <w:lvlText w:val="(%2)"/>
      <w:numFmt w:val="lowerLetter"/>
      <w:start w:val="1"/>
    </w:lvl>
  </w:abstractNum>
  <w:abstractNum w:abstractNumId="41">
    <w:nsid w:val="12E685FB"/>
    <w:multiLevelType w:val="hybridMultilevel"/>
    <w:lvl w:ilvl="0">
      <w:lvlJc w:val="left"/>
      <w:lvlText w:val="(%1)"/>
      <w:numFmt w:val="lowerLetter"/>
      <w:start w:val="9"/>
    </w:lvl>
    <w:lvl w:ilvl="1">
      <w:lvlJc w:val="left"/>
      <w:lvlText w:val="%2"/>
      <w:numFmt w:val="lowerLetter"/>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3"/>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1"/>
    </w:lvl>
    <w:lvl w:ilvl="1">
      <w:lvlJc w:val="left"/>
      <w:lvlText w:val="(%2)"/>
      <w:numFmt w:val="lowerLetter"/>
      <w:start w:val="9"/>
    </w:lvl>
  </w:abstractNum>
  <w:abstractNum w:abstractNumId="46">
    <w:nsid w:val="23F9C13C"/>
    <w:multiLevelType w:val="hybridMultilevel"/>
    <w:lvl w:ilvl="0">
      <w:lvlJc w:val="left"/>
      <w:lvlText w:val="%1"/>
      <w:numFmt w:val="lowerLetter"/>
      <w:start w:val="1"/>
    </w:lvl>
    <w:lvl w:ilvl="1">
      <w:lvlJc w:val="left"/>
      <w:lvlText w:val="(%2)"/>
      <w:numFmt w:val="lowerLetter"/>
      <w:start w:val="35"/>
    </w:lvl>
  </w:abstractNum>
  <w:abstractNum w:abstractNumId="47">
    <w:nsid w:val="649BB77C"/>
    <w:multiLevelType w:val="hybridMultilevel"/>
    <w:lvl w:ilvl="0">
      <w:lvlJc w:val="left"/>
      <w:lvlText w:val="(%1)"/>
      <w:numFmt w:val="lowerLetter"/>
      <w:start w:val="2"/>
    </w:lvl>
    <w:lvl w:ilvl="1">
      <w:lvlJc w:val="left"/>
      <w:lvlText w:val="%2"/>
      <w:numFmt w:val="lowerLetter"/>
      <w:start w:val="1"/>
    </w:lvl>
  </w:abstractNum>
  <w:abstractNum w:abstractNumId="48">
    <w:nsid w:val="275AC794"/>
    <w:multiLevelType w:val="hybridMultilevel"/>
    <w:lvl w:ilvl="0">
      <w:lvlJc w:val="left"/>
      <w:lvlText w:val="(%1)"/>
      <w:numFmt w:val="lowerLetter"/>
      <w:start w:val="6"/>
    </w:lvl>
  </w:abstractNum>
  <w:abstractNum w:abstractNumId="49">
    <w:nsid w:val="39386575"/>
    <w:multiLevelType w:val="hybridMultilevel"/>
    <w:lvl w:ilvl="0">
      <w:lvlJc w:val="left"/>
      <w:lvlText w:val="(%1)"/>
      <w:numFmt w:val="lowerLetter"/>
      <w:start w:val="1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lvl w:ilvl="1">
      <w:lvlJc w:val="left"/>
      <w:lvlText w:val="(%2)"/>
      <w:numFmt w:val="lowerLetter"/>
      <w:start w:val="9"/>
    </w:lvl>
  </w:abstractNum>
  <w:abstractNum w:abstractNumId="56">
    <w:nsid w:val="741226BB"/>
    <w:multiLevelType w:val="hybridMultilevel"/>
    <w:lvl w:ilvl="0">
      <w:lvlJc w:val="left"/>
      <w:lvlText w:val="%1"/>
      <w:numFmt w:val="lowerLetter"/>
      <w:start w:val="1"/>
    </w:lvl>
    <w:lvl w:ilvl="1">
      <w:lvlJc w:val="left"/>
      <w:lvlText w:val="(%2)"/>
      <w:numFmt w:val="lowerRoman"/>
      <w:start w:val="2"/>
    </w:lvl>
  </w:abstractNum>
  <w:abstractNum w:abstractNumId="57">
    <w:nsid w:val="D34B6A8"/>
    <w:multiLevelType w:val="hybridMultilevel"/>
    <w:lvl w:ilvl="0">
      <w:lvlJc w:val="left"/>
      <w:lvlText w:val="(%1)"/>
      <w:numFmt w:val="lowerLetter"/>
      <w:start w:val="2"/>
    </w:lvl>
    <w:lvl w:ilvl="1">
      <w:lvlJc w:val="left"/>
      <w:lvlText w:val="(%2)"/>
      <w:numFmt w:val="lowerRoman"/>
      <w:start w:val="1"/>
    </w:lvl>
  </w:abstractNum>
  <w:abstractNum w:abstractNumId="58">
    <w:nsid w:val="10233C99"/>
    <w:multiLevelType w:val="hybridMultilevel"/>
    <w:lvl w:ilvl="0">
      <w:lvlJc w:val="left"/>
      <w:lvlText w:val="(%1)"/>
      <w:numFmt w:val="lowerLetter"/>
      <w:start w:val="9"/>
    </w:lvl>
    <w:lvl w:ilvl="1">
      <w:lvlJc w:val="left"/>
      <w:lvlText w:val="(%2)"/>
      <w:numFmt w:val="lowerRoman"/>
      <w:start w:val="4"/>
    </w:lvl>
  </w:abstractNum>
  <w:abstractNum w:abstractNumId="59">
    <w:nsid w:val="3F6AB60F"/>
    <w:multiLevelType w:val="hybridMultilevel"/>
    <w:lvl w:ilvl="0">
      <w:lvlJc w:val="left"/>
      <w:lvlText w:val="%1"/>
      <w:numFmt w:val="lowerLetter"/>
      <w:start w:val="1"/>
    </w:lvl>
    <w:lvl w:ilvl="1">
      <w:lvlJc w:val="left"/>
      <w:lvlText w:val="(%2)"/>
      <w:numFmt w:val="lowerRoman"/>
      <w:start w:val="5"/>
    </w:lvl>
  </w:abstractNum>
  <w:abstractNum w:abstractNumId="60">
    <w:nsid w:val="61574095"/>
    <w:multiLevelType w:val="hybridMultilevel"/>
    <w:lvl w:ilvl="0">
      <w:lvlJc w:val="left"/>
      <w:lvlText w:val="(%1)"/>
      <w:numFmt w:val="lowerLetter"/>
      <w:start w:val="3"/>
    </w:lvl>
    <w:lvl w:ilvl="1">
      <w:lvlJc w:val="left"/>
      <w:lvlText w:val="%2"/>
      <w:numFmt w:val="lowerRoman"/>
      <w:start w:val="1"/>
    </w:lvl>
  </w:abstractNum>
  <w:abstractNum w:abstractNumId="61">
    <w:nsid w:val="7E0C57B1"/>
    <w:multiLevelType w:val="hybridMultilevel"/>
    <w:lvl w:ilvl="0">
      <w:lvlJc w:val="left"/>
      <w:lvlText w:val="(%1)"/>
      <w:numFmt w:val="lowerLetter"/>
      <w:start w:val="5"/>
    </w:lvl>
    <w:lvl w:ilvl="1">
      <w:lvlJc w:val="left"/>
      <w:lvlText w:val="(%2)"/>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2019-12-13T16:43:55Z</dcterms:created>
  <dcterms:modified xsi:type="dcterms:W3CDTF">2019-12-13T16:43:55Z</dcterms:modified>
</cp:coreProperties>
</file>